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5A2" w:rsidRPr="00680F91" w:rsidRDefault="00694DF4" w:rsidP="00694DF4">
      <w:pPr>
        <w:spacing w:before="0" w:after="0"/>
        <w:ind w:firstLine="0"/>
        <w:jc w:val="center"/>
        <w:rPr>
          <w:b/>
          <w:i/>
          <w:sz w:val="24"/>
          <w:lang w:eastAsia="x-none"/>
        </w:rPr>
      </w:pPr>
      <w:r w:rsidRPr="00680F91">
        <w:rPr>
          <w:b/>
          <w:i/>
          <w:sz w:val="24"/>
          <w:lang w:eastAsia="x-none"/>
        </w:rPr>
        <w:t>GOOD CORPORATE GOVERNAN</w:t>
      </w:r>
      <w:bookmarkStart w:id="0" w:name="_GoBack"/>
      <w:bookmarkEnd w:id="0"/>
      <w:r w:rsidRPr="00680F91">
        <w:rPr>
          <w:b/>
          <w:i/>
          <w:sz w:val="24"/>
          <w:lang w:eastAsia="x-none"/>
        </w:rPr>
        <w:t xml:space="preserve">CE </w:t>
      </w:r>
      <w:r w:rsidR="009F45A2" w:rsidRPr="00680F91">
        <w:rPr>
          <w:b/>
          <w:i/>
          <w:sz w:val="24"/>
          <w:lang w:eastAsia="x-none"/>
        </w:rPr>
        <w:t xml:space="preserve">AND BANK PERFORMANCE : </w:t>
      </w:r>
    </w:p>
    <w:p w:rsidR="009F45A2" w:rsidRPr="00680F91" w:rsidRDefault="009F45A2" w:rsidP="00694DF4">
      <w:pPr>
        <w:spacing w:before="0" w:after="0"/>
        <w:ind w:firstLine="0"/>
        <w:jc w:val="center"/>
        <w:rPr>
          <w:b/>
          <w:i/>
          <w:sz w:val="24"/>
          <w:lang w:eastAsia="x-none"/>
        </w:rPr>
      </w:pPr>
      <w:r w:rsidRPr="00680F91">
        <w:rPr>
          <w:b/>
          <w:i/>
          <w:sz w:val="24"/>
          <w:lang w:eastAsia="x-none"/>
        </w:rPr>
        <w:t xml:space="preserve">A BALANCED SCORECARD APPROACH </w:t>
      </w:r>
    </w:p>
    <w:p w:rsidR="00694DF4" w:rsidRDefault="00694DF4" w:rsidP="00694DF4">
      <w:pPr>
        <w:spacing w:before="0" w:after="0"/>
        <w:ind w:firstLine="0"/>
        <w:jc w:val="center"/>
        <w:rPr>
          <w:b/>
          <w:sz w:val="24"/>
          <w:lang w:eastAsia="x-none"/>
        </w:rPr>
      </w:pPr>
    </w:p>
    <w:p w:rsidR="00F56DA2" w:rsidRPr="00F56DA2" w:rsidRDefault="00694DF4" w:rsidP="00F56DA2">
      <w:pPr>
        <w:pStyle w:val="Title"/>
        <w:rPr>
          <w:rFonts w:ascii="Times New Roman" w:hAnsi="Times New Roman"/>
          <w:b/>
          <w:sz w:val="20"/>
          <w:lang w:val="id-ID"/>
        </w:rPr>
      </w:pPr>
      <w:r>
        <w:rPr>
          <w:rFonts w:ascii="Times New Roman" w:hAnsi="Times New Roman"/>
          <w:b/>
          <w:sz w:val="20"/>
        </w:rPr>
        <w:t>Agus Supriyatna</w:t>
      </w:r>
      <w:r w:rsidR="00B24C10">
        <w:rPr>
          <w:rFonts w:ascii="Times New Roman" w:hAnsi="Times New Roman"/>
          <w:b/>
          <w:sz w:val="20"/>
          <w:vertAlign w:val="superscript"/>
        </w:rPr>
        <w:t>1</w:t>
      </w:r>
      <w:r w:rsidR="00B24C10" w:rsidRPr="00B24C10">
        <w:rPr>
          <w:rFonts w:ascii="Times New Roman" w:hAnsi="Times New Roman"/>
          <w:b/>
          <w:sz w:val="20"/>
        </w:rPr>
        <w:t xml:space="preserve">, </w:t>
      </w:r>
      <w:r>
        <w:rPr>
          <w:rFonts w:ascii="Times New Roman" w:hAnsi="Times New Roman"/>
          <w:b/>
          <w:sz w:val="20"/>
        </w:rPr>
        <w:t>Agus Rahayu</w:t>
      </w:r>
      <w:r w:rsidR="000C4CB5">
        <w:rPr>
          <w:rFonts w:ascii="Times New Roman" w:hAnsi="Times New Roman"/>
          <w:b/>
          <w:sz w:val="20"/>
        </w:rPr>
        <w:t xml:space="preserve"> </w:t>
      </w:r>
      <w:r w:rsidR="00B24C10">
        <w:rPr>
          <w:rFonts w:ascii="Times New Roman" w:hAnsi="Times New Roman"/>
          <w:b/>
          <w:sz w:val="20"/>
          <w:vertAlign w:val="superscript"/>
        </w:rPr>
        <w:t>2</w:t>
      </w:r>
      <w:r w:rsidR="000C4CB5" w:rsidRPr="000C4CB5">
        <w:rPr>
          <w:rFonts w:ascii="Times New Roman" w:hAnsi="Times New Roman"/>
          <w:b/>
          <w:color w:val="000000" w:themeColor="text1"/>
          <w:sz w:val="20"/>
          <w:shd w:val="clear" w:color="auto" w:fill="FFFFFF"/>
        </w:rPr>
        <w:t>Moch. </w:t>
      </w:r>
      <w:r w:rsidR="000C4CB5" w:rsidRPr="000C4CB5">
        <w:rPr>
          <w:rStyle w:val="Emphasis"/>
          <w:rFonts w:ascii="Times New Roman" w:hAnsi="Times New Roman"/>
          <w:b/>
          <w:bCs/>
          <w:i w:val="0"/>
          <w:iCs w:val="0"/>
          <w:color w:val="000000" w:themeColor="text1"/>
          <w:sz w:val="20"/>
          <w:shd w:val="clear" w:color="auto" w:fill="FFFFFF"/>
        </w:rPr>
        <w:t>Dudih</w:t>
      </w:r>
      <w:r w:rsidR="000C4CB5" w:rsidRPr="000C4CB5">
        <w:rPr>
          <w:rFonts w:ascii="Times New Roman" w:hAnsi="Times New Roman"/>
          <w:b/>
          <w:color w:val="000000" w:themeColor="text1"/>
          <w:sz w:val="20"/>
          <w:shd w:val="clear" w:color="auto" w:fill="FFFFFF"/>
        </w:rPr>
        <w:t> Sugiharto</w:t>
      </w:r>
    </w:p>
    <w:p w:rsidR="00F56DA2" w:rsidRPr="00B24C10" w:rsidRDefault="00694DF4" w:rsidP="00694DF4">
      <w:pPr>
        <w:pStyle w:val="Title"/>
        <w:ind w:firstLine="720"/>
        <w:rPr>
          <w:rFonts w:ascii="Times New Roman" w:hAnsi="Times New Roman"/>
          <w:sz w:val="20"/>
        </w:rPr>
      </w:pPr>
      <w:r>
        <w:rPr>
          <w:rFonts w:ascii="Times New Roman" w:hAnsi="Times New Roman"/>
          <w:sz w:val="20"/>
        </w:rPr>
        <w:t>Universitas Pendidikan Indonesia</w:t>
      </w:r>
      <w:r w:rsidR="00B24C10">
        <w:rPr>
          <w:rFonts w:ascii="Times New Roman" w:hAnsi="Times New Roman"/>
          <w:sz w:val="20"/>
          <w:vertAlign w:val="superscript"/>
        </w:rPr>
        <w:t>1</w:t>
      </w:r>
      <w:r>
        <w:rPr>
          <w:rFonts w:ascii="Times New Roman" w:hAnsi="Times New Roman"/>
          <w:sz w:val="20"/>
          <w:vertAlign w:val="superscript"/>
        </w:rPr>
        <w:t>,2</w:t>
      </w:r>
    </w:p>
    <w:p w:rsidR="00F56DA2" w:rsidRPr="00E52415" w:rsidRDefault="00201C44" w:rsidP="00F56DA2">
      <w:pPr>
        <w:pStyle w:val="Title"/>
        <w:rPr>
          <w:rFonts w:ascii="Times New Roman" w:hAnsi="Times New Roman"/>
          <w:sz w:val="20"/>
        </w:rPr>
      </w:pPr>
      <w:r w:rsidRPr="00201C44">
        <w:rPr>
          <w:rFonts w:ascii="Times New Roman" w:hAnsi="Times New Roman"/>
          <w:sz w:val="20"/>
          <w:lang w:val="id-ID"/>
        </w:rPr>
        <w:t>Jl. Dr. Setiabudhi No. 229</w:t>
      </w:r>
      <w:r>
        <w:rPr>
          <w:rFonts w:ascii="Times New Roman" w:hAnsi="Times New Roman"/>
          <w:sz w:val="20"/>
        </w:rPr>
        <w:t>,</w:t>
      </w:r>
      <w:r w:rsidRPr="00201C44">
        <w:rPr>
          <w:rFonts w:ascii="Times New Roman" w:hAnsi="Times New Roman"/>
          <w:sz w:val="20"/>
          <w:lang w:val="id-ID"/>
        </w:rPr>
        <w:t xml:space="preserve"> Bandun</w:t>
      </w:r>
      <w:r>
        <w:rPr>
          <w:rFonts w:ascii="Times New Roman" w:hAnsi="Times New Roman"/>
          <w:sz w:val="20"/>
        </w:rPr>
        <w:t>g, West Java</w:t>
      </w:r>
      <w:r w:rsidR="00694DF4" w:rsidRPr="00694DF4">
        <w:rPr>
          <w:rFonts w:ascii="Times New Roman" w:hAnsi="Times New Roman"/>
          <w:sz w:val="20"/>
          <w:vertAlign w:val="superscript"/>
        </w:rPr>
        <w:t>,</w:t>
      </w:r>
      <w:r w:rsidR="00E52415">
        <w:rPr>
          <w:rFonts w:ascii="Times New Roman" w:hAnsi="Times New Roman"/>
          <w:sz w:val="20"/>
          <w:vertAlign w:val="superscript"/>
        </w:rPr>
        <w:t>2</w:t>
      </w:r>
    </w:p>
    <w:p w:rsidR="007106AB" w:rsidRPr="00E52415" w:rsidRDefault="00D03731" w:rsidP="00F56DA2">
      <w:pPr>
        <w:pStyle w:val="Title"/>
        <w:rPr>
          <w:rFonts w:ascii="Times New Roman" w:hAnsi="Times New Roman"/>
          <w:color w:val="000000"/>
          <w:sz w:val="20"/>
          <w:vertAlign w:val="superscript"/>
        </w:rPr>
      </w:pPr>
      <w:hyperlink r:id="rId8" w:history="1">
        <w:r w:rsidR="00694DF4">
          <w:rPr>
            <w:rStyle w:val="Hyperlink"/>
            <w:rFonts w:ascii="Times New Roman" w:hAnsi="Times New Roman"/>
            <w:color w:val="000000"/>
            <w:sz w:val="20"/>
            <w:u w:val="none"/>
          </w:rPr>
          <w:t>ajoey_bjb</w:t>
        </w:r>
        <w:r w:rsidR="00E52415" w:rsidRPr="0071257E">
          <w:rPr>
            <w:rStyle w:val="Hyperlink"/>
            <w:rFonts w:ascii="Times New Roman" w:hAnsi="Times New Roman"/>
            <w:color w:val="000000"/>
            <w:sz w:val="20"/>
            <w:u w:val="none"/>
            <w:lang w:val="id-ID"/>
          </w:rPr>
          <w:t>@yahoo.com</w:t>
        </w:r>
      </w:hyperlink>
      <w:r w:rsidR="00E52415" w:rsidRPr="00E52415">
        <w:rPr>
          <w:rFonts w:ascii="Times New Roman" w:hAnsi="Times New Roman"/>
          <w:color w:val="000000"/>
          <w:sz w:val="20"/>
          <w:vertAlign w:val="superscript"/>
        </w:rPr>
        <w:t>1</w:t>
      </w:r>
      <w:r w:rsidR="00F56DA2" w:rsidRPr="0071257E">
        <w:rPr>
          <w:rFonts w:ascii="Times New Roman" w:hAnsi="Times New Roman"/>
          <w:color w:val="000000"/>
          <w:sz w:val="20"/>
          <w:lang w:val="id-ID"/>
        </w:rPr>
        <w:t xml:space="preserve">, </w:t>
      </w:r>
      <w:r w:rsidR="00694DF4" w:rsidRPr="00694DF4">
        <w:rPr>
          <w:rFonts w:ascii="Times New Roman" w:hAnsi="Times New Roman"/>
          <w:color w:val="000000"/>
          <w:sz w:val="20"/>
          <w:lang w:val="id-ID"/>
        </w:rPr>
        <w:t>agusrahayu@upi.edu</w:t>
      </w:r>
      <w:r w:rsidR="00E52415">
        <w:rPr>
          <w:rFonts w:ascii="Times New Roman" w:hAnsi="Times New Roman"/>
          <w:color w:val="000000"/>
          <w:sz w:val="20"/>
          <w:vertAlign w:val="superscript"/>
        </w:rPr>
        <w:t>2</w:t>
      </w:r>
    </w:p>
    <w:p w:rsidR="006D37E4" w:rsidRDefault="006D37E4" w:rsidP="006029DC">
      <w:pPr>
        <w:pStyle w:val="Heading1"/>
        <w:numPr>
          <w:ilvl w:val="0"/>
          <w:numId w:val="0"/>
        </w:numPr>
        <w:spacing w:before="0"/>
        <w:rPr>
          <w:lang w:val="en-US"/>
        </w:rPr>
      </w:pPr>
    </w:p>
    <w:p w:rsidR="006029DC" w:rsidRDefault="006029DC" w:rsidP="006029DC">
      <w:pPr>
        <w:pStyle w:val="Heading1"/>
        <w:numPr>
          <w:ilvl w:val="0"/>
          <w:numId w:val="0"/>
        </w:numPr>
        <w:spacing w:before="0"/>
      </w:pPr>
      <w:r>
        <w:rPr>
          <w:lang w:val="en-US"/>
        </w:rPr>
        <w:t>Abstract</w:t>
      </w:r>
    </w:p>
    <w:p w:rsidR="006029DC" w:rsidRDefault="006029DC" w:rsidP="006029DC">
      <w:pPr>
        <w:pStyle w:val="Title"/>
        <w:jc w:val="both"/>
        <w:rPr>
          <w:rFonts w:ascii="Times New Roman" w:hAnsi="Times New Roman"/>
          <w:sz w:val="20"/>
        </w:rPr>
      </w:pPr>
    </w:p>
    <w:p w:rsidR="00A02D2F" w:rsidRPr="00C14A60" w:rsidRDefault="00445F83" w:rsidP="003D75A1">
      <w:pPr>
        <w:pStyle w:val="Title"/>
        <w:ind w:firstLine="720"/>
        <w:jc w:val="both"/>
        <w:rPr>
          <w:rFonts w:ascii="Times New Roman" w:hAnsi="Times New Roman"/>
          <w:sz w:val="20"/>
          <w:lang w:val="en-ID"/>
        </w:rPr>
      </w:pPr>
      <w:r w:rsidRPr="00445F83">
        <w:rPr>
          <w:rFonts w:ascii="Times New Roman" w:hAnsi="Times New Roman"/>
          <w:iCs/>
          <w:sz w:val="20"/>
        </w:rPr>
        <w:t xml:space="preserve">Kinerja merupakan gambaran dari pencapaian pelaksanaan suatu kegiatan dalam mewujudkan tujuan perusahaan. Dalam menjalankan kegiatan usahanya bank dituntut untuk selalu berada dalam </w:t>
      </w:r>
      <w:r w:rsidR="00435424">
        <w:rPr>
          <w:rFonts w:ascii="Times New Roman" w:hAnsi="Times New Roman"/>
          <w:iCs/>
          <w:sz w:val="20"/>
        </w:rPr>
        <w:t xml:space="preserve">kinerja yang baik dan </w:t>
      </w:r>
      <w:r w:rsidRPr="00445F83">
        <w:rPr>
          <w:rFonts w:ascii="Times New Roman" w:hAnsi="Times New Roman"/>
          <w:iCs/>
          <w:sz w:val="20"/>
        </w:rPr>
        <w:t>keadaaan yang sehat. Bank yang sehat akan menumbuhkan kepercayaan masyarakat.</w:t>
      </w:r>
      <w:r>
        <w:rPr>
          <w:rFonts w:ascii="Times New Roman" w:hAnsi="Times New Roman"/>
          <w:iCs/>
          <w:sz w:val="20"/>
        </w:rPr>
        <w:t xml:space="preserve"> Berdasarkan </w:t>
      </w:r>
      <w:r w:rsidRPr="00445F83">
        <w:rPr>
          <w:rFonts w:ascii="Times New Roman" w:hAnsi="Times New Roman"/>
          <w:iCs/>
          <w:sz w:val="20"/>
        </w:rPr>
        <w:t>hasil pengolahan data kinerja dan rasio keuangan perbankan nasional yang diambil langsung dari situ</w:t>
      </w:r>
      <w:r>
        <w:rPr>
          <w:rFonts w:ascii="Times New Roman" w:hAnsi="Times New Roman"/>
          <w:iCs/>
          <w:sz w:val="20"/>
        </w:rPr>
        <w:t xml:space="preserve">s resmi Otoritas Jasa Keuangan dalam lima tahun terakhir </w:t>
      </w:r>
      <w:r w:rsidRPr="00445F83">
        <w:rPr>
          <w:rFonts w:ascii="Times New Roman" w:hAnsi="Times New Roman"/>
          <w:iCs/>
          <w:sz w:val="20"/>
        </w:rPr>
        <w:t>dapat dilihat bahwa terdapat indikator-indikator dengan tren yang tidak stabil se</w:t>
      </w:r>
      <w:r>
        <w:rPr>
          <w:rFonts w:ascii="Times New Roman" w:hAnsi="Times New Roman"/>
          <w:iCs/>
          <w:sz w:val="20"/>
        </w:rPr>
        <w:t>perti L</w:t>
      </w:r>
      <w:r w:rsidRPr="00445F83">
        <w:rPr>
          <w:rFonts w:ascii="Times New Roman" w:hAnsi="Times New Roman"/>
          <w:iCs/>
          <w:sz w:val="20"/>
        </w:rPr>
        <w:t>aba, ROA dan ROE.</w:t>
      </w:r>
      <w:r>
        <w:rPr>
          <w:rFonts w:ascii="Times New Roman" w:hAnsi="Times New Roman"/>
          <w:iCs/>
          <w:sz w:val="20"/>
        </w:rPr>
        <w:t xml:space="preserve"> </w:t>
      </w:r>
      <w:r w:rsidR="00A02D2F">
        <w:rPr>
          <w:rFonts w:ascii="Times New Roman" w:hAnsi="Times New Roman"/>
          <w:iCs/>
          <w:sz w:val="20"/>
        </w:rPr>
        <w:t xml:space="preserve">Demikian pula yang terjadi pada </w:t>
      </w:r>
      <w:r w:rsidR="00A02D2F" w:rsidRPr="00A02D2F">
        <w:rPr>
          <w:rFonts w:ascii="Times New Roman" w:hAnsi="Times New Roman"/>
          <w:iCs/>
          <w:sz w:val="20"/>
        </w:rPr>
        <w:t xml:space="preserve">PT. Bank Pembangunan Daerah Jawa Barat &amp; Banten, Tbk. dengan </w:t>
      </w:r>
      <w:r w:rsidR="00A02D2F" w:rsidRPr="00A02D2F">
        <w:rPr>
          <w:rFonts w:ascii="Times New Roman" w:hAnsi="Times New Roman"/>
          <w:i/>
          <w:iCs/>
          <w:sz w:val="20"/>
        </w:rPr>
        <w:t>call name</w:t>
      </w:r>
      <w:r w:rsidR="00A02D2F" w:rsidRPr="00A02D2F">
        <w:rPr>
          <w:rFonts w:ascii="Times New Roman" w:hAnsi="Times New Roman"/>
          <w:iCs/>
          <w:sz w:val="20"/>
        </w:rPr>
        <w:t xml:space="preserve"> bank </w:t>
      </w:r>
      <w:r w:rsidR="00A02D2F" w:rsidRPr="00A02D2F">
        <w:rPr>
          <w:rFonts w:ascii="Times New Roman" w:hAnsi="Times New Roman"/>
          <w:b/>
          <w:iCs/>
          <w:sz w:val="20"/>
        </w:rPr>
        <w:t>bjb</w:t>
      </w:r>
      <w:r w:rsidR="00A02D2F">
        <w:rPr>
          <w:rFonts w:ascii="Times New Roman" w:hAnsi="Times New Roman"/>
          <w:iCs/>
          <w:sz w:val="20"/>
        </w:rPr>
        <w:t xml:space="preserve">. Berdasarkan data </w:t>
      </w:r>
      <w:r w:rsidR="00A02D2F" w:rsidRPr="00A02D2F">
        <w:rPr>
          <w:rFonts w:ascii="Times New Roman" w:hAnsi="Times New Roman"/>
          <w:i/>
          <w:iCs/>
          <w:sz w:val="20"/>
        </w:rPr>
        <w:t>balanced scorecard</w:t>
      </w:r>
      <w:r w:rsidR="00A02D2F" w:rsidRPr="00A02D2F">
        <w:rPr>
          <w:rFonts w:ascii="Times New Roman" w:hAnsi="Times New Roman"/>
          <w:iCs/>
          <w:sz w:val="20"/>
        </w:rPr>
        <w:t xml:space="preserve"> </w:t>
      </w:r>
      <w:r w:rsidR="00CC587E">
        <w:rPr>
          <w:rFonts w:ascii="Times New Roman" w:hAnsi="Times New Roman"/>
          <w:iCs/>
          <w:sz w:val="20"/>
        </w:rPr>
        <w:t xml:space="preserve">(BSC) </w:t>
      </w:r>
      <w:r w:rsidR="00A02D2F" w:rsidRPr="00A02D2F">
        <w:rPr>
          <w:rFonts w:ascii="Times New Roman" w:hAnsi="Times New Roman"/>
          <w:iCs/>
          <w:sz w:val="20"/>
        </w:rPr>
        <w:t xml:space="preserve">yang menunjukan index kinerja kantor cabang bank </w:t>
      </w:r>
      <w:r w:rsidR="00A02D2F" w:rsidRPr="00A02D2F">
        <w:rPr>
          <w:rFonts w:ascii="Times New Roman" w:hAnsi="Times New Roman"/>
          <w:b/>
          <w:iCs/>
          <w:sz w:val="20"/>
        </w:rPr>
        <w:t>bjb</w:t>
      </w:r>
      <w:r w:rsidR="00A02D2F" w:rsidRPr="00A02D2F">
        <w:rPr>
          <w:rFonts w:ascii="Times New Roman" w:hAnsi="Times New Roman"/>
          <w:iCs/>
          <w:sz w:val="20"/>
        </w:rPr>
        <w:t xml:space="preserve"> tahun 2012-2017 dapat dilihat bahwa kinerja dari setiap kantor cabang fluktuatif dari tahun ke tahun</w:t>
      </w:r>
      <w:r w:rsidR="00A02D2F">
        <w:rPr>
          <w:rFonts w:ascii="Times New Roman" w:hAnsi="Times New Roman"/>
          <w:iCs/>
          <w:sz w:val="20"/>
        </w:rPr>
        <w:t xml:space="preserve">. </w:t>
      </w:r>
      <w:r w:rsidR="00A02D2F" w:rsidRPr="00A02D2F">
        <w:rPr>
          <w:rFonts w:ascii="Times New Roman" w:hAnsi="Times New Roman"/>
          <w:iCs/>
          <w:sz w:val="20"/>
        </w:rPr>
        <w:t xml:space="preserve">Permasalahan mengenai kinerja bank </w:t>
      </w:r>
      <w:r w:rsidR="00A02D2F" w:rsidRPr="004D7155">
        <w:rPr>
          <w:rFonts w:ascii="Times New Roman" w:hAnsi="Times New Roman"/>
          <w:b/>
          <w:iCs/>
          <w:sz w:val="20"/>
        </w:rPr>
        <w:t>bjb</w:t>
      </w:r>
      <w:r w:rsidR="00A02D2F" w:rsidRPr="00A02D2F">
        <w:rPr>
          <w:rFonts w:ascii="Times New Roman" w:hAnsi="Times New Roman"/>
          <w:iCs/>
          <w:sz w:val="20"/>
        </w:rPr>
        <w:t xml:space="preserve"> selaras dengan data statistik </w:t>
      </w:r>
      <w:r w:rsidR="00CC587E">
        <w:rPr>
          <w:rFonts w:ascii="Times New Roman" w:hAnsi="Times New Roman"/>
          <w:i/>
          <w:sz w:val="20"/>
        </w:rPr>
        <w:t xml:space="preserve">good corporate governance </w:t>
      </w:r>
      <w:r w:rsidR="00CC587E">
        <w:rPr>
          <w:rFonts w:ascii="Times New Roman" w:hAnsi="Times New Roman"/>
          <w:sz w:val="20"/>
        </w:rPr>
        <w:t xml:space="preserve">(GCG) </w:t>
      </w:r>
      <w:r w:rsidR="00A02D2F" w:rsidRPr="00A02D2F">
        <w:rPr>
          <w:rFonts w:ascii="Times New Roman" w:hAnsi="Times New Roman"/>
          <w:iCs/>
          <w:sz w:val="20"/>
        </w:rPr>
        <w:t xml:space="preserve">yang dikeluarkan oleh LPPI (2018). Berdasarkan data perbandingan rata-rata masing-masing bank terhadap BUKU 3 dan Standar Industri, terlihat bahwa nilai GCG dari bank </w:t>
      </w:r>
      <w:r w:rsidR="00A02D2F" w:rsidRPr="00CC587E">
        <w:rPr>
          <w:rFonts w:ascii="Times New Roman" w:hAnsi="Times New Roman"/>
          <w:b/>
          <w:iCs/>
          <w:sz w:val="20"/>
        </w:rPr>
        <w:t>bjb</w:t>
      </w:r>
      <w:r w:rsidR="00A02D2F" w:rsidRPr="00A02D2F">
        <w:rPr>
          <w:rFonts w:ascii="Times New Roman" w:hAnsi="Times New Roman"/>
          <w:iCs/>
          <w:sz w:val="20"/>
        </w:rPr>
        <w:t xml:space="preserve"> masih berada di atas rata-rata nilai GCG dari bank kelom</w:t>
      </w:r>
      <w:r w:rsidR="00A02D2F">
        <w:rPr>
          <w:rFonts w:ascii="Times New Roman" w:hAnsi="Times New Roman"/>
          <w:iCs/>
          <w:sz w:val="20"/>
        </w:rPr>
        <w:t xml:space="preserve">pok BUKU 3 dan standar industri. </w:t>
      </w:r>
      <w:r>
        <w:rPr>
          <w:rFonts w:ascii="Times New Roman" w:hAnsi="Times New Roman"/>
          <w:sz w:val="20"/>
        </w:rPr>
        <w:t xml:space="preserve">Penelitian ini bertujuan untuk mempelajari hubungan antara </w:t>
      </w:r>
      <w:r w:rsidR="00CC587E">
        <w:rPr>
          <w:rFonts w:ascii="Times New Roman" w:hAnsi="Times New Roman"/>
          <w:sz w:val="20"/>
        </w:rPr>
        <w:t xml:space="preserve">GCG </w:t>
      </w:r>
      <w:r>
        <w:rPr>
          <w:rFonts w:ascii="Times New Roman" w:hAnsi="Times New Roman"/>
          <w:sz w:val="20"/>
        </w:rPr>
        <w:t xml:space="preserve">dengan kinerja bank menggunakan pendekatan </w:t>
      </w:r>
      <w:r w:rsidR="00CC587E">
        <w:rPr>
          <w:rFonts w:ascii="Times New Roman" w:hAnsi="Times New Roman"/>
          <w:sz w:val="20"/>
        </w:rPr>
        <w:t>BSC</w:t>
      </w:r>
      <w:r>
        <w:rPr>
          <w:rFonts w:ascii="Times New Roman" w:hAnsi="Times New Roman"/>
          <w:i/>
          <w:sz w:val="20"/>
        </w:rPr>
        <w:t xml:space="preserve">. </w:t>
      </w:r>
      <w:r w:rsidR="00CC587E" w:rsidRPr="00CC587E">
        <w:rPr>
          <w:rFonts w:ascii="Times New Roman" w:hAnsi="Times New Roman"/>
          <w:sz w:val="20"/>
        </w:rPr>
        <w:t>Metode penelitian yang digunakan adalah metode</w:t>
      </w:r>
      <w:r w:rsidR="00CC587E" w:rsidRPr="00CC587E">
        <w:rPr>
          <w:rFonts w:ascii="Times New Roman" w:hAnsi="Times New Roman"/>
          <w:i/>
          <w:sz w:val="20"/>
        </w:rPr>
        <w:t xml:space="preserve"> explanatory survey. </w:t>
      </w:r>
      <w:r>
        <w:rPr>
          <w:rFonts w:ascii="Times New Roman" w:hAnsi="Times New Roman"/>
          <w:sz w:val="20"/>
        </w:rPr>
        <w:t xml:space="preserve">Data diambil dari 65 objek penelitian dalam bentuk data primer maupun data sekunder menggunakan </w:t>
      </w:r>
      <w:r w:rsidR="00CC587E">
        <w:rPr>
          <w:rFonts w:ascii="Times New Roman" w:hAnsi="Times New Roman"/>
          <w:sz w:val="20"/>
        </w:rPr>
        <w:t>kuisioner</w:t>
      </w:r>
      <w:r w:rsidR="00A02D2F">
        <w:rPr>
          <w:rFonts w:ascii="Times New Roman" w:hAnsi="Times New Roman"/>
          <w:sz w:val="20"/>
        </w:rPr>
        <w:t xml:space="preserve"> yang akan diolah melalui </w:t>
      </w:r>
      <w:r w:rsidR="003A6CB4">
        <w:rPr>
          <w:rFonts w:ascii="Times New Roman" w:hAnsi="Times New Roman"/>
          <w:sz w:val="20"/>
        </w:rPr>
        <w:t xml:space="preserve">analisis regresi linier berganda </w:t>
      </w:r>
      <w:r w:rsidR="00A02D2F">
        <w:rPr>
          <w:rFonts w:ascii="Times New Roman" w:hAnsi="Times New Roman"/>
          <w:sz w:val="20"/>
        </w:rPr>
        <w:t xml:space="preserve">menggunakan </w:t>
      </w:r>
      <w:r w:rsidR="003D75A1" w:rsidRPr="003D75A1">
        <w:rPr>
          <w:rFonts w:ascii="Times New Roman" w:hAnsi="Times New Roman"/>
          <w:sz w:val="20"/>
        </w:rPr>
        <w:t xml:space="preserve">SPSS. </w:t>
      </w:r>
      <w:r w:rsidR="00A02D2F">
        <w:rPr>
          <w:rFonts w:ascii="Times New Roman" w:hAnsi="Times New Roman"/>
          <w:sz w:val="20"/>
        </w:rPr>
        <w:t xml:space="preserve">Temuan yang dihasilkan </w:t>
      </w:r>
      <w:r w:rsidR="00CC587E">
        <w:rPr>
          <w:rFonts w:ascii="Times New Roman" w:hAnsi="Times New Roman"/>
          <w:sz w:val="20"/>
        </w:rPr>
        <w:t>menunjukkan bahwa GCG</w:t>
      </w:r>
      <w:r w:rsidR="00CC587E">
        <w:rPr>
          <w:rFonts w:ascii="Times New Roman" w:hAnsi="Times New Roman"/>
          <w:i/>
          <w:sz w:val="20"/>
        </w:rPr>
        <w:t xml:space="preserve"> </w:t>
      </w:r>
      <w:r w:rsidR="00CC587E">
        <w:rPr>
          <w:rFonts w:ascii="Times New Roman" w:hAnsi="Times New Roman"/>
          <w:sz w:val="20"/>
        </w:rPr>
        <w:t>mempunyai pengaruh terhadap kinerja bank</w:t>
      </w:r>
      <w:r w:rsidR="00C14A60">
        <w:rPr>
          <w:rFonts w:ascii="Times New Roman" w:hAnsi="Times New Roman"/>
          <w:sz w:val="20"/>
        </w:rPr>
        <w:t xml:space="preserve"> </w:t>
      </w:r>
      <w:r w:rsidR="00C14A60" w:rsidRPr="00C14A60">
        <w:rPr>
          <w:rFonts w:ascii="Times New Roman" w:hAnsi="Times New Roman"/>
          <w:b/>
          <w:sz w:val="20"/>
        </w:rPr>
        <w:t>bjb</w:t>
      </w:r>
      <w:r w:rsidR="003A6CB4">
        <w:rPr>
          <w:rFonts w:ascii="Times New Roman" w:hAnsi="Times New Roman"/>
          <w:sz w:val="20"/>
        </w:rPr>
        <w:t xml:space="preserve">. </w:t>
      </w:r>
      <w:r w:rsidR="00C14A60">
        <w:rPr>
          <w:rFonts w:ascii="Times New Roman" w:hAnsi="Times New Roman"/>
          <w:bCs/>
          <w:sz w:val="20"/>
          <w:lang w:val="en-ID"/>
        </w:rPr>
        <w:t xml:space="preserve">Jika diimplementasikan dengan baik, </w:t>
      </w:r>
      <w:r w:rsidR="003A6CB4">
        <w:rPr>
          <w:rFonts w:ascii="Times New Roman" w:hAnsi="Times New Roman"/>
          <w:bCs/>
          <w:sz w:val="20"/>
          <w:lang w:val="en-ID"/>
        </w:rPr>
        <w:t xml:space="preserve">maka </w:t>
      </w:r>
      <w:r w:rsidR="00C14A60">
        <w:rPr>
          <w:rFonts w:ascii="Times New Roman" w:hAnsi="Times New Roman"/>
          <w:bCs/>
          <w:sz w:val="20"/>
          <w:lang w:val="en-ID"/>
        </w:rPr>
        <w:t xml:space="preserve">GCG akan menjadi salah satu komponen yang berpengaruh terhadap kinerja bank khususnya dalam meningkatkan </w:t>
      </w:r>
      <w:r w:rsidR="0002275D">
        <w:rPr>
          <w:rFonts w:ascii="Times New Roman" w:hAnsi="Times New Roman"/>
          <w:bCs/>
          <w:sz w:val="20"/>
          <w:lang w:val="en-ID"/>
        </w:rPr>
        <w:t>pencapaian BSC</w:t>
      </w:r>
      <w:r w:rsidR="00C14A60">
        <w:rPr>
          <w:rFonts w:ascii="Times New Roman" w:hAnsi="Times New Roman"/>
          <w:b/>
          <w:sz w:val="20"/>
        </w:rPr>
        <w:t xml:space="preserve">. </w:t>
      </w:r>
    </w:p>
    <w:p w:rsidR="00A02D2F" w:rsidRDefault="00A02D2F" w:rsidP="003D75A1">
      <w:pPr>
        <w:pStyle w:val="Title"/>
        <w:ind w:firstLine="720"/>
        <w:jc w:val="both"/>
        <w:rPr>
          <w:rFonts w:ascii="Times New Roman" w:hAnsi="Times New Roman"/>
          <w:sz w:val="20"/>
        </w:rPr>
      </w:pPr>
    </w:p>
    <w:p w:rsidR="00DF60CF" w:rsidRDefault="000222A4" w:rsidP="000222A4">
      <w:pPr>
        <w:pStyle w:val="Title"/>
        <w:jc w:val="both"/>
        <w:rPr>
          <w:rFonts w:ascii="Times New Roman" w:hAnsi="Times New Roman"/>
          <w:i/>
          <w:sz w:val="20"/>
        </w:rPr>
      </w:pPr>
      <w:r w:rsidRPr="000222A4">
        <w:rPr>
          <w:rFonts w:ascii="Times New Roman" w:hAnsi="Times New Roman"/>
          <w:b/>
          <w:i/>
          <w:sz w:val="20"/>
        </w:rPr>
        <w:t>Keywords:</w:t>
      </w:r>
      <w:r w:rsidRPr="000222A4">
        <w:rPr>
          <w:rFonts w:ascii="Times New Roman" w:hAnsi="Times New Roman"/>
          <w:i/>
          <w:sz w:val="20"/>
        </w:rPr>
        <w:t xml:space="preserve"> </w:t>
      </w:r>
      <w:r w:rsidR="001B12F4">
        <w:rPr>
          <w:rFonts w:ascii="Times New Roman" w:hAnsi="Times New Roman"/>
          <w:i/>
          <w:sz w:val="20"/>
        </w:rPr>
        <w:t>Good Corporate Governance</w:t>
      </w:r>
      <w:r w:rsidRPr="000222A4">
        <w:rPr>
          <w:rFonts w:ascii="Times New Roman" w:hAnsi="Times New Roman"/>
          <w:i/>
          <w:sz w:val="20"/>
        </w:rPr>
        <w:t xml:space="preserve">, </w:t>
      </w:r>
      <w:r w:rsidR="001B12F4">
        <w:rPr>
          <w:rFonts w:ascii="Times New Roman" w:hAnsi="Times New Roman"/>
          <w:i/>
          <w:sz w:val="20"/>
        </w:rPr>
        <w:t xml:space="preserve">Bank Performance, </w:t>
      </w:r>
      <w:r w:rsidR="009F45A2">
        <w:rPr>
          <w:rFonts w:ascii="Times New Roman" w:hAnsi="Times New Roman"/>
          <w:i/>
          <w:sz w:val="20"/>
        </w:rPr>
        <w:t>Balanced Scorecard</w:t>
      </w:r>
    </w:p>
    <w:p w:rsidR="00474C09" w:rsidRDefault="00474C09" w:rsidP="000222A4">
      <w:pPr>
        <w:pStyle w:val="Title"/>
        <w:jc w:val="both"/>
        <w:rPr>
          <w:rFonts w:ascii="Times New Roman" w:hAnsi="Times New Roman"/>
          <w:sz w:val="20"/>
          <w:lang w:val="id-ID"/>
        </w:rPr>
      </w:pPr>
    </w:p>
    <w:p w:rsidR="00474C09" w:rsidRDefault="00474C09" w:rsidP="000222A4">
      <w:pPr>
        <w:pStyle w:val="Title"/>
        <w:jc w:val="both"/>
        <w:rPr>
          <w:rFonts w:ascii="Times New Roman" w:hAnsi="Times New Roman"/>
          <w:sz w:val="20"/>
          <w:lang w:val="id-ID"/>
        </w:rPr>
        <w:sectPr w:rsidR="00474C09" w:rsidSect="00474C09">
          <w:headerReference w:type="default" r:id="rId9"/>
          <w:footerReference w:type="default" r:id="rId10"/>
          <w:pgSz w:w="11907" w:h="16840" w:code="9"/>
          <w:pgMar w:top="1134" w:right="1134" w:bottom="1134" w:left="1701" w:header="720" w:footer="1140" w:gutter="0"/>
          <w:cols w:space="720"/>
          <w:docGrid w:linePitch="360"/>
        </w:sectPr>
      </w:pPr>
    </w:p>
    <w:p w:rsidR="00DD2972" w:rsidRPr="00E46C9B" w:rsidRDefault="00126AA7" w:rsidP="00DF60CF">
      <w:pPr>
        <w:pStyle w:val="Heading1"/>
        <w:spacing w:before="0"/>
        <w:rPr>
          <w:i/>
        </w:rPr>
      </w:pPr>
      <w:r w:rsidRPr="00E46C9B">
        <w:rPr>
          <w:i/>
        </w:rPr>
        <w:lastRenderedPageBreak/>
        <w:t>Introduction</w:t>
      </w:r>
    </w:p>
    <w:p w:rsidR="00171FC2" w:rsidRDefault="00171FC2" w:rsidP="00DF60CF">
      <w:pPr>
        <w:spacing w:before="0" w:after="0"/>
        <w:rPr>
          <w:lang w:val="id-ID"/>
        </w:rPr>
      </w:pPr>
    </w:p>
    <w:p w:rsidR="003D75A1" w:rsidRDefault="003D75A1" w:rsidP="003D75A1">
      <w:pPr>
        <w:spacing w:before="0" w:after="0"/>
        <w:rPr>
          <w:iCs/>
        </w:rPr>
      </w:pPr>
      <w:r w:rsidRPr="003D75A1">
        <w:rPr>
          <w:iCs/>
        </w:rPr>
        <w:t>Kinerja merupakan gambaran dari pencapaian pelaksanaan suatu kegiatan dalam mewujudkan tujuan perusahaan. Hal ini tentunya akan menjadi keunggulan tersendiri bagi suatu perusahaan apabila memiliki kinerja bisnis yang baik (Sebahattin et al., 2014). Kinerja merupakan suatu proses manajemen yang dirancang untuk menghubungkan tujuan organisasi dengan tujuan individu sedemikian rupa, sehingga baik tujuan individu maupun tujuan korporasi dapat bertemu (Martinez-simarro, D</w:t>
      </w:r>
      <w:r>
        <w:rPr>
          <w:iCs/>
        </w:rPr>
        <w:t xml:space="preserve">evece, &amp; Llopis-albert, 2015). </w:t>
      </w:r>
    </w:p>
    <w:p w:rsidR="003D75A1" w:rsidRDefault="00C14A60" w:rsidP="003D75A1">
      <w:pPr>
        <w:spacing w:before="0" w:after="0"/>
        <w:rPr>
          <w:iCs/>
        </w:rPr>
      </w:pPr>
      <w:r w:rsidRPr="00445F83">
        <w:rPr>
          <w:iCs/>
        </w:rPr>
        <w:t>Perbankan merupakan salah satu sektor yang berkontribusi dalam pembangunan nasional yang bertujuan untuk meningkat taraf hidup rakyat banyak. Dalam menjalankan kegiatan usahanya bank dituntut untuk selalu berada dalam keadaaan yang sehat. Bank yang sehat akan menumbuhkan kepercayaan masyarakat.</w:t>
      </w:r>
      <w:r>
        <w:rPr>
          <w:iCs/>
        </w:rPr>
        <w:t xml:space="preserve"> Berdasarkan </w:t>
      </w:r>
      <w:r w:rsidRPr="00445F83">
        <w:rPr>
          <w:iCs/>
        </w:rPr>
        <w:t>hasil pengolahan data kinerja dan rasio keuangan perbankan nasional yang diambil langsung dari situ</w:t>
      </w:r>
      <w:r>
        <w:rPr>
          <w:iCs/>
        </w:rPr>
        <w:t xml:space="preserve">s resmi Otoritas Jasa Keuangan dalam lima tahun terakhir </w:t>
      </w:r>
      <w:r w:rsidRPr="00445F83">
        <w:rPr>
          <w:iCs/>
        </w:rPr>
        <w:t>dapat dilihat bahwa terdapat indikator-indikator dengan tren yang tidak stabil se</w:t>
      </w:r>
      <w:r>
        <w:rPr>
          <w:iCs/>
        </w:rPr>
        <w:t>perti L</w:t>
      </w:r>
      <w:r w:rsidRPr="00445F83">
        <w:rPr>
          <w:iCs/>
        </w:rPr>
        <w:t>aba, ROA dan ROE</w:t>
      </w:r>
      <w:r w:rsidR="009E4176">
        <w:rPr>
          <w:iCs/>
        </w:rPr>
        <w:t xml:space="preserve"> (OJK, 2018)</w:t>
      </w:r>
      <w:r w:rsidRPr="00445F83">
        <w:rPr>
          <w:iCs/>
        </w:rPr>
        <w:t>.</w:t>
      </w:r>
    </w:p>
    <w:p w:rsidR="00C14A60" w:rsidRDefault="00C14A60" w:rsidP="00C14A60">
      <w:pPr>
        <w:spacing w:before="0" w:after="0"/>
        <w:rPr>
          <w:iCs/>
        </w:rPr>
      </w:pPr>
      <w:r w:rsidRPr="00C14A60">
        <w:rPr>
          <w:iCs/>
        </w:rPr>
        <w:lastRenderedPageBreak/>
        <w:t xml:space="preserve">PT. Bank Pembangunan Daerah Jawa Barat &amp; Banten, Tbk. dengan </w:t>
      </w:r>
      <w:r w:rsidRPr="00C14A60">
        <w:rPr>
          <w:i/>
          <w:iCs/>
        </w:rPr>
        <w:t>call name</w:t>
      </w:r>
      <w:r w:rsidRPr="00C14A60">
        <w:rPr>
          <w:iCs/>
        </w:rPr>
        <w:t xml:space="preserve"> bank </w:t>
      </w:r>
      <w:r w:rsidRPr="00C14A60">
        <w:rPr>
          <w:b/>
          <w:iCs/>
        </w:rPr>
        <w:t>bjb</w:t>
      </w:r>
      <w:r w:rsidRPr="00C14A60">
        <w:rPr>
          <w:iCs/>
        </w:rPr>
        <w:t xml:space="preserve"> merupakan salah satu Badan Usaha Milik Daerah (BUMD) yang bergerak di sektor perbankan (Annual Report, 2017).</w:t>
      </w:r>
      <w:r w:rsidR="004D7155">
        <w:rPr>
          <w:iCs/>
        </w:rPr>
        <w:t xml:space="preserve"> </w:t>
      </w:r>
      <w:r w:rsidR="004D7155" w:rsidRPr="004D7155">
        <w:rPr>
          <w:iCs/>
        </w:rPr>
        <w:t xml:space="preserve">bank </w:t>
      </w:r>
      <w:r w:rsidR="004D7155" w:rsidRPr="009E4176">
        <w:rPr>
          <w:b/>
          <w:iCs/>
        </w:rPr>
        <w:t>bjb</w:t>
      </w:r>
      <w:r w:rsidR="004D7155" w:rsidRPr="004D7155">
        <w:rPr>
          <w:iCs/>
        </w:rPr>
        <w:t xml:space="preserve"> merupakan bank umum yang mengemban misi sebagai penggerak dan pendorong laju pertumbuhan perekonomian daerah. bank </w:t>
      </w:r>
      <w:r w:rsidR="004D7155" w:rsidRPr="009E4176">
        <w:rPr>
          <w:b/>
          <w:iCs/>
        </w:rPr>
        <w:t>bjb</w:t>
      </w:r>
      <w:r w:rsidR="004D7155" w:rsidRPr="004D7155">
        <w:rPr>
          <w:iCs/>
        </w:rPr>
        <w:t xml:space="preserve"> merupakan salah satu perbankan nasional dan masuk ke dalam peringkat ke-12 bank terbesar dari 115 bank di Indonesia serta Bank Pembangunan Daerah nomor satu di Indonesia (infobank, 2018).</w:t>
      </w:r>
    </w:p>
    <w:p w:rsidR="004D7155" w:rsidRDefault="004D7155" w:rsidP="00C14A60">
      <w:pPr>
        <w:spacing w:before="0" w:after="0"/>
        <w:rPr>
          <w:iCs/>
        </w:rPr>
      </w:pPr>
      <w:r>
        <w:rPr>
          <w:iCs/>
        </w:rPr>
        <w:t xml:space="preserve">Berdasarkan data </w:t>
      </w:r>
      <w:r w:rsidRPr="00A02D2F">
        <w:rPr>
          <w:i/>
          <w:iCs/>
        </w:rPr>
        <w:t>balanced scorecard</w:t>
      </w:r>
      <w:r w:rsidRPr="00A02D2F">
        <w:rPr>
          <w:iCs/>
        </w:rPr>
        <w:t xml:space="preserve"> </w:t>
      </w:r>
      <w:r>
        <w:rPr>
          <w:iCs/>
        </w:rPr>
        <w:t xml:space="preserve">(BSC) </w:t>
      </w:r>
      <w:r w:rsidRPr="00A02D2F">
        <w:rPr>
          <w:iCs/>
        </w:rPr>
        <w:t xml:space="preserve">yang menunjukan index kinerja kantor cabang bank </w:t>
      </w:r>
      <w:r w:rsidRPr="00A02D2F">
        <w:rPr>
          <w:b/>
          <w:iCs/>
        </w:rPr>
        <w:t>bjb</w:t>
      </w:r>
      <w:r w:rsidRPr="00A02D2F">
        <w:rPr>
          <w:iCs/>
        </w:rPr>
        <w:t xml:space="preserve"> tahun 2012-2017 dapat dilihat bahwa kinerja dari setiap kantor cabang fluktuatif dari tahun ke tahun</w:t>
      </w:r>
      <w:r>
        <w:rPr>
          <w:iCs/>
        </w:rPr>
        <w:t xml:space="preserve">. </w:t>
      </w:r>
      <w:r w:rsidRPr="00A02D2F">
        <w:rPr>
          <w:iCs/>
        </w:rPr>
        <w:t xml:space="preserve">Permasalahan mengenai kinerja bank </w:t>
      </w:r>
      <w:r w:rsidRPr="004D7155">
        <w:rPr>
          <w:b/>
          <w:iCs/>
        </w:rPr>
        <w:t>bjb</w:t>
      </w:r>
      <w:r w:rsidRPr="00A02D2F">
        <w:rPr>
          <w:iCs/>
        </w:rPr>
        <w:t xml:space="preserve"> selaras dengan data statistik </w:t>
      </w:r>
      <w:r>
        <w:rPr>
          <w:i/>
        </w:rPr>
        <w:t xml:space="preserve">good corporate governance </w:t>
      </w:r>
      <w:r>
        <w:t xml:space="preserve">(GCG) </w:t>
      </w:r>
      <w:r w:rsidRPr="00A02D2F">
        <w:rPr>
          <w:iCs/>
        </w:rPr>
        <w:t xml:space="preserve">yang dikeluarkan oleh LPPI (2018). Berdasarkan data perbandingan rata-rata masing-masing bank terhadap BUKU 3 dan Standar Industri, terlihat bahwa nilai GCG dari bank </w:t>
      </w:r>
      <w:r w:rsidRPr="00CC587E">
        <w:rPr>
          <w:b/>
          <w:iCs/>
        </w:rPr>
        <w:t>bjb</w:t>
      </w:r>
      <w:r w:rsidRPr="00A02D2F">
        <w:rPr>
          <w:iCs/>
        </w:rPr>
        <w:t xml:space="preserve"> masih berada di atas rata-rata nilai GCG dari bank kelom</w:t>
      </w:r>
      <w:r>
        <w:rPr>
          <w:iCs/>
        </w:rPr>
        <w:t>pok BUKU 3 dan standar industri.</w:t>
      </w:r>
    </w:p>
    <w:p w:rsidR="006F3073" w:rsidRDefault="00435424" w:rsidP="006F3073">
      <w:pPr>
        <w:spacing w:before="0" w:after="0"/>
        <w:rPr>
          <w:iCs/>
        </w:rPr>
      </w:pPr>
      <w:r>
        <w:rPr>
          <w:bCs/>
          <w:i/>
          <w:szCs w:val="20"/>
        </w:rPr>
        <w:t>P</w:t>
      </w:r>
      <w:r w:rsidR="004D7155" w:rsidRPr="00650E83">
        <w:rPr>
          <w:bCs/>
          <w:i/>
          <w:szCs w:val="20"/>
        </w:rPr>
        <w:t xml:space="preserve">erformance is the end of result of activities, it includes the outcome of strategic management process. The practice of strategic management is </w:t>
      </w:r>
      <w:r w:rsidR="004D7155" w:rsidRPr="00650E83">
        <w:rPr>
          <w:bCs/>
          <w:i/>
          <w:szCs w:val="20"/>
        </w:rPr>
        <w:lastRenderedPageBreak/>
        <w:t>justified in term of it’s ability to improve an organization’s performance, typically measured in term of profits and return in investment</w:t>
      </w:r>
      <w:r>
        <w:rPr>
          <w:bCs/>
          <w:i/>
          <w:szCs w:val="20"/>
        </w:rPr>
        <w:t xml:space="preserve"> </w:t>
      </w:r>
      <w:r>
        <w:rPr>
          <w:bCs/>
          <w:szCs w:val="20"/>
        </w:rPr>
        <w:t>(Wheelen &amp; Hunger, 2008)</w:t>
      </w:r>
      <w:r w:rsidR="004D7155" w:rsidRPr="00650E83">
        <w:rPr>
          <w:bCs/>
          <w:i/>
          <w:szCs w:val="20"/>
        </w:rPr>
        <w:t>.</w:t>
      </w:r>
      <w:r w:rsidR="006F3073">
        <w:rPr>
          <w:bCs/>
          <w:szCs w:val="20"/>
        </w:rPr>
        <w:t xml:space="preserve"> </w:t>
      </w:r>
      <w:r w:rsidR="006F3073" w:rsidRPr="006F3073">
        <w:rPr>
          <w:bCs/>
          <w:szCs w:val="20"/>
        </w:rPr>
        <w:t xml:space="preserve">Pengukuran kinerja bisnis </w:t>
      </w:r>
      <w:r w:rsidR="006F3073">
        <w:rPr>
          <w:bCs/>
          <w:szCs w:val="20"/>
        </w:rPr>
        <w:t xml:space="preserve">sebaiknya tidak hanya </w:t>
      </w:r>
      <w:r w:rsidR="006F3073" w:rsidRPr="006F3073">
        <w:rPr>
          <w:bCs/>
          <w:szCs w:val="20"/>
        </w:rPr>
        <w:t>diukur dengan menggunakan alat ukur keuangan saja, tetapi juga harus mempertimbangkan beberapa alat ukur non keuangan</w:t>
      </w:r>
      <w:r w:rsidR="006F3073">
        <w:rPr>
          <w:bCs/>
          <w:szCs w:val="20"/>
        </w:rPr>
        <w:t>. Instrumen yang umum digunakan yaitu BSC (</w:t>
      </w:r>
      <w:r w:rsidR="006F3073" w:rsidRPr="006F3073">
        <w:rPr>
          <w:bCs/>
          <w:szCs w:val="20"/>
        </w:rPr>
        <w:t>Kaplan &amp; Norton, 1991</w:t>
      </w:r>
      <w:r w:rsidR="006F3073">
        <w:rPr>
          <w:bCs/>
          <w:szCs w:val="20"/>
        </w:rPr>
        <w:t>).</w:t>
      </w:r>
    </w:p>
    <w:p w:rsidR="004D7155" w:rsidRDefault="004D7155" w:rsidP="006F3073">
      <w:pPr>
        <w:spacing w:before="0" w:after="0"/>
        <w:rPr>
          <w:bCs/>
          <w:szCs w:val="20"/>
          <w:lang w:val="id-ID"/>
        </w:rPr>
      </w:pPr>
      <w:r>
        <w:rPr>
          <w:iCs/>
        </w:rPr>
        <w:t xml:space="preserve">Berdasarkan POJK no. 55 tahun 2017, disebutkan bahwa GCG atau </w:t>
      </w:r>
      <w:r w:rsidRPr="00650E83">
        <w:rPr>
          <w:bCs/>
          <w:szCs w:val="20"/>
          <w:lang w:val="id-ID"/>
        </w:rPr>
        <w:t>Tata Kelola yang baik adalah suatu tata cara pengelolaan Bank yang menerapkan prinsip-prinsip keterbukaan (</w:t>
      </w:r>
      <w:r w:rsidRPr="00650E83">
        <w:rPr>
          <w:bCs/>
          <w:i/>
          <w:szCs w:val="20"/>
          <w:lang w:val="id-ID"/>
        </w:rPr>
        <w:t>transparency</w:t>
      </w:r>
      <w:r w:rsidRPr="00650E83">
        <w:rPr>
          <w:bCs/>
          <w:szCs w:val="20"/>
          <w:lang w:val="id-ID"/>
        </w:rPr>
        <w:t>), akuntabilitas (</w:t>
      </w:r>
      <w:r w:rsidRPr="00650E83">
        <w:rPr>
          <w:bCs/>
          <w:i/>
          <w:szCs w:val="20"/>
          <w:lang w:val="id-ID"/>
        </w:rPr>
        <w:t>accountability</w:t>
      </w:r>
      <w:r w:rsidRPr="00650E83">
        <w:rPr>
          <w:bCs/>
          <w:szCs w:val="20"/>
          <w:lang w:val="id-ID"/>
        </w:rPr>
        <w:t>),</w:t>
      </w:r>
      <w:r w:rsidRPr="00650E83">
        <w:rPr>
          <w:bCs/>
          <w:szCs w:val="20"/>
          <w:lang w:val="en-ID"/>
        </w:rPr>
        <w:t xml:space="preserve"> </w:t>
      </w:r>
      <w:r w:rsidRPr="00650E83">
        <w:rPr>
          <w:bCs/>
          <w:szCs w:val="20"/>
          <w:lang w:val="id-ID"/>
        </w:rPr>
        <w:t>pertanggungjawaban (</w:t>
      </w:r>
      <w:r w:rsidRPr="00650E83">
        <w:rPr>
          <w:bCs/>
          <w:i/>
          <w:szCs w:val="20"/>
          <w:lang w:val="id-ID"/>
        </w:rPr>
        <w:t>responsibility</w:t>
      </w:r>
      <w:r w:rsidRPr="00650E83">
        <w:rPr>
          <w:bCs/>
          <w:szCs w:val="20"/>
          <w:lang w:val="id-ID"/>
        </w:rPr>
        <w:t>), independensi (</w:t>
      </w:r>
      <w:r w:rsidRPr="00650E83">
        <w:rPr>
          <w:bCs/>
          <w:i/>
          <w:szCs w:val="20"/>
          <w:lang w:val="id-ID"/>
        </w:rPr>
        <w:t>independency</w:t>
      </w:r>
      <w:r w:rsidRPr="00650E83">
        <w:rPr>
          <w:bCs/>
          <w:szCs w:val="20"/>
          <w:lang w:val="id-ID"/>
        </w:rPr>
        <w:t>), dan kewajaran (</w:t>
      </w:r>
      <w:r w:rsidRPr="00650E83">
        <w:rPr>
          <w:bCs/>
          <w:i/>
          <w:szCs w:val="20"/>
          <w:lang w:val="id-ID"/>
        </w:rPr>
        <w:t>fairness</w:t>
      </w:r>
      <w:r w:rsidR="006F3073">
        <w:rPr>
          <w:bCs/>
          <w:szCs w:val="20"/>
          <w:lang w:val="id-ID"/>
        </w:rPr>
        <w:t>).</w:t>
      </w:r>
    </w:p>
    <w:p w:rsidR="006F3073" w:rsidRDefault="006F3073" w:rsidP="006F3073">
      <w:pPr>
        <w:spacing w:before="0" w:after="0"/>
        <w:rPr>
          <w:bCs/>
          <w:szCs w:val="20"/>
          <w:lang w:val="en-ID"/>
        </w:rPr>
      </w:pPr>
      <w:r>
        <w:rPr>
          <w:bCs/>
          <w:szCs w:val="20"/>
          <w:lang w:val="en-ID"/>
        </w:rPr>
        <w:t xml:space="preserve">Beberapa </w:t>
      </w:r>
      <w:r>
        <w:rPr>
          <w:bCs/>
          <w:i/>
          <w:szCs w:val="20"/>
          <w:lang w:val="en-ID"/>
        </w:rPr>
        <w:t xml:space="preserve">Research gap </w:t>
      </w:r>
      <w:r>
        <w:rPr>
          <w:bCs/>
          <w:szCs w:val="20"/>
          <w:lang w:val="en-ID"/>
        </w:rPr>
        <w:t>yang telah dikumpulkan terkait dengan pengaruh antara GCG dan kinerja perusahaan dapat dilihat pada tabel 1 berikut.</w:t>
      </w:r>
    </w:p>
    <w:p w:rsidR="006F3073" w:rsidRDefault="006F3073" w:rsidP="006F3073">
      <w:pPr>
        <w:spacing w:before="0" w:after="0"/>
        <w:ind w:firstLine="0"/>
        <w:rPr>
          <w:bCs/>
          <w:szCs w:val="20"/>
          <w:lang w:val="en-ID"/>
        </w:rPr>
      </w:pPr>
      <w:r>
        <w:rPr>
          <w:bCs/>
          <w:szCs w:val="20"/>
          <w:lang w:val="en-ID"/>
        </w:rPr>
        <w:t xml:space="preserve">Tabel 1. </w:t>
      </w:r>
      <w:r>
        <w:rPr>
          <w:bCs/>
          <w:i/>
          <w:szCs w:val="20"/>
          <w:lang w:val="en-ID"/>
        </w:rPr>
        <w:t xml:space="preserve">Research Gap </w:t>
      </w:r>
      <w:r>
        <w:rPr>
          <w:bCs/>
          <w:szCs w:val="20"/>
          <w:lang w:val="en-ID"/>
        </w:rPr>
        <w:t>Terkait Pengaruh GCG dan Kinerja Perusahaan</w:t>
      </w:r>
    </w:p>
    <w:tbl>
      <w:tblPr>
        <w:tblStyle w:val="TableGrid"/>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92"/>
        <w:gridCol w:w="2835"/>
      </w:tblGrid>
      <w:tr w:rsidR="006F3073" w:rsidRPr="00CE239F" w:rsidTr="00CE239F">
        <w:tc>
          <w:tcPr>
            <w:tcW w:w="426" w:type="dxa"/>
            <w:tcBorders>
              <w:top w:val="single" w:sz="4" w:space="0" w:color="auto"/>
              <w:bottom w:val="single" w:sz="4" w:space="0" w:color="auto"/>
            </w:tcBorders>
          </w:tcPr>
          <w:p w:rsidR="006F3073" w:rsidRPr="00CE239F" w:rsidRDefault="006F3073" w:rsidP="006F3073">
            <w:pPr>
              <w:spacing w:before="0" w:after="0"/>
              <w:ind w:firstLine="0"/>
              <w:jc w:val="center"/>
              <w:rPr>
                <w:b/>
                <w:iCs/>
                <w:sz w:val="16"/>
                <w:szCs w:val="20"/>
                <w:lang w:val="en-ID"/>
              </w:rPr>
            </w:pPr>
            <w:r w:rsidRPr="00CE239F">
              <w:rPr>
                <w:b/>
                <w:iCs/>
                <w:sz w:val="16"/>
                <w:szCs w:val="20"/>
                <w:lang w:val="en-ID"/>
              </w:rPr>
              <w:t>No</w:t>
            </w:r>
          </w:p>
        </w:tc>
        <w:tc>
          <w:tcPr>
            <w:tcW w:w="992" w:type="dxa"/>
            <w:tcBorders>
              <w:top w:val="single" w:sz="4" w:space="0" w:color="auto"/>
              <w:bottom w:val="single" w:sz="4" w:space="0" w:color="auto"/>
            </w:tcBorders>
          </w:tcPr>
          <w:p w:rsidR="006F3073" w:rsidRPr="00CE239F" w:rsidRDefault="006F3073" w:rsidP="006F3073">
            <w:pPr>
              <w:spacing w:before="0" w:after="0"/>
              <w:ind w:firstLine="0"/>
              <w:jc w:val="center"/>
              <w:rPr>
                <w:b/>
                <w:iCs/>
                <w:sz w:val="16"/>
                <w:szCs w:val="20"/>
                <w:lang w:val="en-ID"/>
              </w:rPr>
            </w:pPr>
            <w:r w:rsidRPr="00CE239F">
              <w:rPr>
                <w:b/>
                <w:iCs/>
                <w:sz w:val="16"/>
                <w:szCs w:val="20"/>
                <w:lang w:val="en-ID"/>
              </w:rPr>
              <w:t>Korelasi</w:t>
            </w:r>
          </w:p>
        </w:tc>
        <w:tc>
          <w:tcPr>
            <w:tcW w:w="2835" w:type="dxa"/>
            <w:tcBorders>
              <w:top w:val="single" w:sz="4" w:space="0" w:color="auto"/>
              <w:bottom w:val="single" w:sz="4" w:space="0" w:color="auto"/>
            </w:tcBorders>
          </w:tcPr>
          <w:p w:rsidR="006F3073" w:rsidRPr="00CE239F" w:rsidRDefault="006F3073" w:rsidP="006F3073">
            <w:pPr>
              <w:spacing w:before="0" w:after="0"/>
              <w:ind w:firstLine="0"/>
              <w:jc w:val="center"/>
              <w:rPr>
                <w:b/>
                <w:iCs/>
                <w:sz w:val="16"/>
                <w:szCs w:val="20"/>
                <w:lang w:val="en-ID"/>
              </w:rPr>
            </w:pPr>
            <w:r w:rsidRPr="00CE239F">
              <w:rPr>
                <w:b/>
                <w:iCs/>
                <w:sz w:val="16"/>
                <w:szCs w:val="20"/>
                <w:lang w:val="en-ID"/>
              </w:rPr>
              <w:t>Penelitian</w:t>
            </w:r>
          </w:p>
        </w:tc>
      </w:tr>
      <w:tr w:rsidR="006F3073" w:rsidRPr="00CE239F" w:rsidTr="00CE239F">
        <w:tc>
          <w:tcPr>
            <w:tcW w:w="426" w:type="dxa"/>
            <w:tcBorders>
              <w:top w:val="single" w:sz="4" w:space="0" w:color="auto"/>
            </w:tcBorders>
          </w:tcPr>
          <w:p w:rsidR="006F3073" w:rsidRPr="00CE239F" w:rsidRDefault="006F3073" w:rsidP="006F3073">
            <w:pPr>
              <w:spacing w:before="0" w:after="0"/>
              <w:ind w:firstLine="0"/>
              <w:jc w:val="center"/>
              <w:rPr>
                <w:iCs/>
                <w:sz w:val="16"/>
                <w:szCs w:val="20"/>
                <w:lang w:val="en-ID"/>
              </w:rPr>
            </w:pPr>
            <w:r w:rsidRPr="00CE239F">
              <w:rPr>
                <w:iCs/>
                <w:sz w:val="16"/>
                <w:szCs w:val="20"/>
                <w:lang w:val="en-ID"/>
              </w:rPr>
              <w:t>1</w:t>
            </w:r>
          </w:p>
        </w:tc>
        <w:tc>
          <w:tcPr>
            <w:tcW w:w="992" w:type="dxa"/>
            <w:tcBorders>
              <w:top w:val="single" w:sz="4" w:space="0" w:color="auto"/>
            </w:tcBorders>
          </w:tcPr>
          <w:p w:rsidR="006F3073" w:rsidRPr="00CE239F" w:rsidRDefault="006F3073" w:rsidP="006F3073">
            <w:pPr>
              <w:spacing w:before="0" w:after="0"/>
              <w:ind w:firstLine="0"/>
              <w:rPr>
                <w:i/>
                <w:iCs/>
                <w:sz w:val="16"/>
                <w:szCs w:val="20"/>
                <w:lang w:val="en-ID"/>
              </w:rPr>
            </w:pPr>
            <w:r w:rsidRPr="00CE239F">
              <w:rPr>
                <w:i/>
                <w:iCs/>
                <w:sz w:val="16"/>
                <w:szCs w:val="20"/>
                <w:lang w:val="en-ID"/>
              </w:rPr>
              <w:t>Positive Correlation</w:t>
            </w:r>
          </w:p>
        </w:tc>
        <w:tc>
          <w:tcPr>
            <w:tcW w:w="2835" w:type="dxa"/>
            <w:tcBorders>
              <w:top w:val="single" w:sz="4" w:space="0" w:color="auto"/>
            </w:tcBorders>
          </w:tcPr>
          <w:p w:rsidR="006F3073" w:rsidRPr="00CE239F" w:rsidRDefault="006F3073" w:rsidP="006F3073">
            <w:pPr>
              <w:spacing w:before="0" w:after="0"/>
              <w:ind w:firstLine="0"/>
              <w:rPr>
                <w:iCs/>
                <w:sz w:val="16"/>
                <w:szCs w:val="20"/>
                <w:lang w:val="en-ID"/>
              </w:rPr>
            </w:pPr>
            <w:r w:rsidRPr="00CE239F">
              <w:rPr>
                <w:iCs/>
                <w:sz w:val="16"/>
                <w:szCs w:val="20"/>
                <w:lang w:val="en-ID"/>
              </w:rPr>
              <w:t>Chung, Wright &amp; Kedial (2003); Callahan, Millar &amp; Schulman (2003); Mak &amp; Kusnadi (2005); Krivogorsky (2006); Brown and Caylor (2006); Nicholson and Kiel (2007); Larcker et al. (2007); Bhagat and Bolton (2007); Sunday (2008); Daines et al. (2008); Carline et al. (2009); Renders, Gaeremynck &amp; Sercu (2010)</w:t>
            </w:r>
          </w:p>
        </w:tc>
      </w:tr>
      <w:tr w:rsidR="006F3073" w:rsidRPr="00CE239F" w:rsidTr="00CE239F">
        <w:tc>
          <w:tcPr>
            <w:tcW w:w="426" w:type="dxa"/>
          </w:tcPr>
          <w:p w:rsidR="006F3073" w:rsidRPr="00CE239F" w:rsidRDefault="006F3073" w:rsidP="006F3073">
            <w:pPr>
              <w:spacing w:before="0" w:after="0"/>
              <w:ind w:firstLine="0"/>
              <w:jc w:val="center"/>
              <w:rPr>
                <w:iCs/>
                <w:sz w:val="16"/>
                <w:szCs w:val="20"/>
                <w:lang w:val="en-ID"/>
              </w:rPr>
            </w:pPr>
            <w:r w:rsidRPr="00CE239F">
              <w:rPr>
                <w:iCs/>
                <w:sz w:val="16"/>
                <w:szCs w:val="20"/>
                <w:lang w:val="en-ID"/>
              </w:rPr>
              <w:t>2</w:t>
            </w:r>
          </w:p>
        </w:tc>
        <w:tc>
          <w:tcPr>
            <w:tcW w:w="992" w:type="dxa"/>
          </w:tcPr>
          <w:p w:rsidR="006F3073" w:rsidRPr="00CE239F" w:rsidRDefault="006F3073" w:rsidP="006F3073">
            <w:pPr>
              <w:spacing w:before="0" w:after="0"/>
              <w:ind w:firstLine="0"/>
              <w:rPr>
                <w:iCs/>
                <w:sz w:val="16"/>
                <w:szCs w:val="20"/>
                <w:lang w:val="en-ID"/>
              </w:rPr>
            </w:pPr>
            <w:r w:rsidRPr="00CE239F">
              <w:rPr>
                <w:i/>
                <w:iCs/>
                <w:sz w:val="16"/>
                <w:szCs w:val="20"/>
                <w:lang w:val="en-ID"/>
              </w:rPr>
              <w:t>No Correlation</w:t>
            </w:r>
          </w:p>
        </w:tc>
        <w:tc>
          <w:tcPr>
            <w:tcW w:w="2835" w:type="dxa"/>
          </w:tcPr>
          <w:p w:rsidR="006F3073" w:rsidRPr="00CE239F" w:rsidRDefault="006F3073" w:rsidP="006F3073">
            <w:pPr>
              <w:spacing w:before="0" w:after="0"/>
              <w:ind w:firstLine="0"/>
              <w:rPr>
                <w:iCs/>
                <w:sz w:val="16"/>
                <w:szCs w:val="20"/>
                <w:lang w:val="en-ID"/>
              </w:rPr>
            </w:pPr>
            <w:r w:rsidRPr="00CE239F">
              <w:rPr>
                <w:iCs/>
                <w:sz w:val="16"/>
                <w:szCs w:val="20"/>
                <w:lang w:val="en-ID"/>
              </w:rPr>
              <w:t>Grove et al. (2011); Brenes et al. (2011); Castaner and Kavadis (2013); Shank, Hill and Stand (2013); Gupta, Chandrasekhar and Tourani-Rad (2013)</w:t>
            </w:r>
          </w:p>
        </w:tc>
      </w:tr>
      <w:tr w:rsidR="006F3073" w:rsidRPr="00CE239F" w:rsidTr="00CE239F">
        <w:tc>
          <w:tcPr>
            <w:tcW w:w="426" w:type="dxa"/>
            <w:tcBorders>
              <w:bottom w:val="single" w:sz="4" w:space="0" w:color="auto"/>
            </w:tcBorders>
          </w:tcPr>
          <w:p w:rsidR="006F3073" w:rsidRPr="00CE239F" w:rsidRDefault="006F3073" w:rsidP="006F3073">
            <w:pPr>
              <w:spacing w:before="0" w:after="0"/>
              <w:ind w:firstLine="0"/>
              <w:jc w:val="center"/>
              <w:rPr>
                <w:iCs/>
                <w:sz w:val="16"/>
                <w:szCs w:val="20"/>
                <w:lang w:val="en-ID"/>
              </w:rPr>
            </w:pPr>
            <w:r w:rsidRPr="00CE239F">
              <w:rPr>
                <w:iCs/>
                <w:sz w:val="16"/>
                <w:szCs w:val="20"/>
                <w:lang w:val="en-ID"/>
              </w:rPr>
              <w:t>3</w:t>
            </w:r>
          </w:p>
        </w:tc>
        <w:tc>
          <w:tcPr>
            <w:tcW w:w="992" w:type="dxa"/>
            <w:tcBorders>
              <w:bottom w:val="single" w:sz="4" w:space="0" w:color="auto"/>
            </w:tcBorders>
          </w:tcPr>
          <w:p w:rsidR="006F3073" w:rsidRPr="00CE239F" w:rsidRDefault="006F3073" w:rsidP="006F3073">
            <w:pPr>
              <w:spacing w:before="0" w:after="0"/>
              <w:ind w:firstLine="0"/>
              <w:rPr>
                <w:iCs/>
                <w:sz w:val="16"/>
                <w:szCs w:val="20"/>
                <w:lang w:val="en-ID"/>
              </w:rPr>
            </w:pPr>
            <w:r w:rsidRPr="00CE239F">
              <w:rPr>
                <w:i/>
                <w:iCs/>
                <w:sz w:val="16"/>
                <w:szCs w:val="20"/>
                <w:lang w:val="en-ID"/>
              </w:rPr>
              <w:t>Negative Correlation</w:t>
            </w:r>
          </w:p>
        </w:tc>
        <w:tc>
          <w:tcPr>
            <w:tcW w:w="2835" w:type="dxa"/>
            <w:tcBorders>
              <w:bottom w:val="single" w:sz="4" w:space="0" w:color="auto"/>
            </w:tcBorders>
          </w:tcPr>
          <w:p w:rsidR="006F3073" w:rsidRPr="00CE239F" w:rsidRDefault="006F3073" w:rsidP="006F3073">
            <w:pPr>
              <w:spacing w:before="0" w:after="0"/>
              <w:ind w:firstLine="0"/>
              <w:rPr>
                <w:iCs/>
                <w:sz w:val="16"/>
                <w:szCs w:val="20"/>
                <w:lang w:val="en-ID"/>
              </w:rPr>
            </w:pPr>
            <w:r w:rsidRPr="00CE239F">
              <w:rPr>
                <w:iCs/>
                <w:sz w:val="16"/>
                <w:szCs w:val="20"/>
                <w:lang w:val="en-ID"/>
              </w:rPr>
              <w:t>Hutchinson (2002); Bauer et al. (2004); Giroud and Mueller (2010)</w:t>
            </w:r>
          </w:p>
        </w:tc>
      </w:tr>
    </w:tbl>
    <w:p w:rsidR="006F3073" w:rsidRPr="006F3073" w:rsidRDefault="006F3073" w:rsidP="006F3073">
      <w:pPr>
        <w:spacing w:before="0" w:after="0"/>
        <w:ind w:firstLine="0"/>
        <w:rPr>
          <w:iCs/>
          <w:lang w:val="en-ID"/>
        </w:rPr>
      </w:pPr>
    </w:p>
    <w:p w:rsidR="004D7155" w:rsidRPr="004D7155" w:rsidRDefault="004D7155" w:rsidP="00C14A60">
      <w:pPr>
        <w:spacing w:before="0" w:after="0"/>
        <w:rPr>
          <w:iCs/>
        </w:rPr>
      </w:pPr>
      <w:r>
        <w:t>Penelitian ini bertujuan untuk mempelajari hubungan antara GCG dengan kinerja bank menggunakan pendekatan BSC</w:t>
      </w:r>
      <w:r>
        <w:rPr>
          <w:i/>
        </w:rPr>
        <w:t>.</w:t>
      </w:r>
      <w:r>
        <w:t xml:space="preserve"> </w:t>
      </w:r>
      <w:r w:rsidR="009D4CAA">
        <w:t xml:space="preserve">Hubungan antara GCG dan kinerja menggunakan indikator non keuangan yaitu BSC masih jarang digunakan pada penelitian-penelitian sebelumnya sehingga penelitian ini akan mengisi </w:t>
      </w:r>
      <w:r w:rsidR="009D4CAA">
        <w:rPr>
          <w:i/>
        </w:rPr>
        <w:t xml:space="preserve">gap </w:t>
      </w:r>
      <w:r w:rsidR="009D4CAA">
        <w:t xml:space="preserve">tersebut. </w:t>
      </w:r>
      <w:r>
        <w:t>Indikator-indikator yang akan digunakan di dalam penelitian ini antara lain lima prinsip GCG dan empat komponen BSC sehingga akan diketahui komponen yang memiliki pengaruh yang kuat maupun pengaruh yang lemah antara GCG dan kinerja dengan menggunakan pendekatan BSC.</w:t>
      </w:r>
    </w:p>
    <w:p w:rsidR="00F56DA2" w:rsidRPr="00390DFC" w:rsidRDefault="00F56DA2" w:rsidP="00DF60CF">
      <w:pPr>
        <w:pStyle w:val="Title"/>
        <w:jc w:val="both"/>
        <w:rPr>
          <w:rFonts w:ascii="Times New Roman" w:hAnsi="Times New Roman"/>
          <w:bCs/>
          <w:sz w:val="20"/>
        </w:rPr>
      </w:pPr>
    </w:p>
    <w:p w:rsidR="00F56DA2" w:rsidRPr="00E46C9B" w:rsidRDefault="00126AA7" w:rsidP="00DF60CF">
      <w:pPr>
        <w:pStyle w:val="Heading1"/>
        <w:spacing w:before="0"/>
        <w:rPr>
          <w:i/>
        </w:rPr>
      </w:pPr>
      <w:r w:rsidRPr="00E46C9B">
        <w:rPr>
          <w:i/>
          <w:lang w:val="en-US"/>
        </w:rPr>
        <w:t>Literature review</w:t>
      </w:r>
    </w:p>
    <w:p w:rsidR="00010DD6" w:rsidRPr="00010DD6" w:rsidRDefault="00010DD6" w:rsidP="00010DD6">
      <w:pPr>
        <w:pStyle w:val="Heading2"/>
        <w:numPr>
          <w:ilvl w:val="0"/>
          <w:numId w:val="0"/>
        </w:numPr>
        <w:spacing w:before="0" w:after="0"/>
        <w:ind w:left="576" w:hanging="576"/>
      </w:pPr>
    </w:p>
    <w:p w:rsidR="00F56DA2" w:rsidRPr="00E46C9B" w:rsidRDefault="00D4552A" w:rsidP="00DF60CF">
      <w:pPr>
        <w:pStyle w:val="Heading2"/>
        <w:spacing w:before="0" w:after="0"/>
        <w:rPr>
          <w:i/>
        </w:rPr>
      </w:pPr>
      <w:r w:rsidRPr="00E46C9B">
        <w:rPr>
          <w:i/>
          <w:lang w:val="en-US"/>
        </w:rPr>
        <w:t>Performance</w:t>
      </w:r>
    </w:p>
    <w:p w:rsidR="00EA2979" w:rsidRDefault="003942BC" w:rsidP="006841C4">
      <w:pPr>
        <w:spacing w:before="0" w:after="0"/>
      </w:pPr>
      <w:r>
        <w:t>K</w:t>
      </w:r>
      <w:r w:rsidR="00EA2979">
        <w:t>inerja bisnis dapat dinyatakan sebagai hasil akhir dari berbagai aktivitas perusahaan. Di dalam proses manajemen stratejik, tujuan yang telah ditetapkan sebelumnya seharusnya dapat digunakan untuk mengukur kinerja perusahaan setelah strategi tersebut diterapkan</w:t>
      </w:r>
      <w:r>
        <w:t xml:space="preserve"> </w:t>
      </w:r>
      <w:r>
        <w:rPr>
          <w:bCs/>
          <w:szCs w:val="20"/>
        </w:rPr>
        <w:t>(Wheelen &amp; Hunger, 2008)</w:t>
      </w:r>
      <w:r w:rsidR="00EA2979">
        <w:t>.</w:t>
      </w:r>
    </w:p>
    <w:p w:rsidR="00EA2979" w:rsidRDefault="00EA2979" w:rsidP="00EA2979">
      <w:pPr>
        <w:spacing w:before="0" w:after="0"/>
      </w:pPr>
      <w:r w:rsidRPr="00EA2979">
        <w:lastRenderedPageBreak/>
        <w:t xml:space="preserve">Pengukuran kinerja bisnis sangat beragam. Alat ukur kinerja perusahaan dapat dipilih berdasarkan organisasi yang akan dinilai dan tujuan yang ingin dicapai (Wheelen </w:t>
      </w:r>
      <w:r>
        <w:t>&amp; Hunger, 2008)</w:t>
      </w:r>
      <w:r w:rsidRPr="00EA2979">
        <w:t>. Pengukuran kinerja bisnis tidak memungkinkan jika hanya diukur dengan menggunakan alat ukur keuangan saja, tetapi juga harus mempertimbangkan beberapa alat ukur non keuangan (Civelek, 2015; Kaplan &amp; Norton, 1991; Marques &amp; Ferreira, 2009; Pucciarelli &amp; Kaplan, 2016).</w:t>
      </w:r>
      <w:r>
        <w:t xml:space="preserve"> </w:t>
      </w:r>
    </w:p>
    <w:p w:rsidR="00EA2979" w:rsidRDefault="00EA2979" w:rsidP="00EA2979">
      <w:pPr>
        <w:spacing w:before="0" w:after="0"/>
      </w:pPr>
      <w:r w:rsidRPr="00680F91">
        <w:rPr>
          <w:i/>
        </w:rPr>
        <w:t>Business performances are indicator of how well does organization accomplish its goals</w:t>
      </w:r>
      <w:r>
        <w:t xml:space="preserve"> (Lin &amp; Kuo, 2007). </w:t>
      </w:r>
      <w:r w:rsidR="003942BC">
        <w:t>I</w:t>
      </w:r>
      <w:r>
        <w:t>ndikator kinerja bisnis dapat dilihat dari aspek pemasaran dan melalui kinerja keuangan perusahaan. Pengukuran kinerja bisnis melalui kinerja pem</w:t>
      </w:r>
      <w:r w:rsidR="00455675">
        <w:t xml:space="preserve">asaran dapat diukur diantaranya </w:t>
      </w:r>
      <w:r>
        <w:t>dengan penjualan, pertumbuhan pasar, dan pangsa pasar. Perspektif kinerja keuangan diukur dengan menggunakan ukuran Return On Investment (ROI), bauran pendapatan (revenue mix), pemanfaatan aktiva yang diukur dengan asset turn over, dan berkurangnya biaya secara signifikan yang diukur dengan rasio BOPO</w:t>
      </w:r>
      <w:r w:rsidR="003942BC">
        <w:t xml:space="preserve"> (Hubbard &amp; Beamish, 2011)</w:t>
      </w:r>
      <w:r>
        <w:t xml:space="preserve">. </w:t>
      </w:r>
    </w:p>
    <w:p w:rsidR="00EA2979" w:rsidRDefault="003942BC" w:rsidP="00EA2979">
      <w:pPr>
        <w:spacing w:before="0" w:after="0"/>
      </w:pPr>
      <w:r>
        <w:t xml:space="preserve">Empat </w:t>
      </w:r>
      <w:r w:rsidR="00EA2979">
        <w:t>perspektif pengukuran kinerja perusahaan sebagai alat ukur yang seimbang melalui konsep balanced score card</w:t>
      </w:r>
      <w:r>
        <w:t xml:space="preserve"> antara lain </w:t>
      </w:r>
      <w:r w:rsidR="00EA2979">
        <w:t>perspektif keuangan, pelanggan, proses bisnis internal, pertumbuhan dan pembelajaran organisasi (Kaplan &amp; Norton, 1991). Beberapa peneliti lain juga mempertimbangkan pengukuran kinerja perusahaan berdasarkan sudut pandang multidimensional, antara lain melalui omset / penjualan, laba / rugi bersih, keberhasilan yang dicapai dengan produk baru, dan persepsi hasil yang diperoleh perusahaan (Marques &amp; Ferreira, 2009).</w:t>
      </w:r>
    </w:p>
    <w:p w:rsidR="00EA2979" w:rsidRPr="00E46C9B" w:rsidRDefault="009635A2" w:rsidP="00EA2979">
      <w:pPr>
        <w:spacing w:before="0" w:after="0"/>
        <w:rPr>
          <w:i/>
        </w:rPr>
      </w:pPr>
      <w:r>
        <w:t>F</w:t>
      </w:r>
      <w:r w:rsidR="00EA2979" w:rsidRPr="00EA2979">
        <w:t>aktor internal dan eksternal seperti Market Based View dan Resource Based View m</w:t>
      </w:r>
      <w:r w:rsidR="00455675">
        <w:t>empengaruhi kinerja perusahaan</w:t>
      </w:r>
      <w:r>
        <w:t xml:space="preserve"> (Wernerfelt, </w:t>
      </w:r>
      <w:r w:rsidRPr="00EA2979">
        <w:t>1984)</w:t>
      </w:r>
      <w:r w:rsidR="00455675">
        <w:t xml:space="preserve">. </w:t>
      </w:r>
      <w:r w:rsidR="00EA2979" w:rsidRPr="00EA2979">
        <w:t xml:space="preserve">Penelitian empirik Huygens et all., (2001); McGahan dan Porter (1997); dan Silverman et al. (1997) mengungkapkan hubungan resiprokal antara lingkungan persaingan dengan kapabilitas. Ketika perusahaan dihadapkan pada persaingan, maka perusahaan selalu berusaha meningkatkan kapabilitasnya agar dapat meningkatkan kinerja (Barnett dan Hansen, 1996; Huygens et al., 2001). Pengaruh resiprokal antara lingkungan dan strategi juga ditunjukkan oleh penelitian Tan dan Litschert (1994) dan Tan (2005). Penelitian tersebut menunjukkan bahwa orientasi stratejik sebagai pola perilaku dan ketidakpastian lingkungan bersifat </w:t>
      </w:r>
      <w:r w:rsidR="00EA2979" w:rsidRPr="00E46C9B">
        <w:rPr>
          <w:i/>
        </w:rPr>
        <w:t>co-evolving.</w:t>
      </w:r>
    </w:p>
    <w:p w:rsidR="00EA2979" w:rsidRDefault="00EA2979" w:rsidP="00EA2979">
      <w:pPr>
        <w:spacing w:before="0" w:after="0"/>
      </w:pPr>
    </w:p>
    <w:p w:rsidR="00F56DA2" w:rsidRPr="00E46C9B" w:rsidRDefault="00D4552A" w:rsidP="00DF60CF">
      <w:pPr>
        <w:pStyle w:val="Heading2"/>
        <w:spacing w:before="0" w:after="0"/>
        <w:rPr>
          <w:i/>
          <w:lang w:val="id-ID"/>
        </w:rPr>
      </w:pPr>
      <w:r w:rsidRPr="00E46C9B">
        <w:rPr>
          <w:i/>
          <w:lang w:val="en-US"/>
        </w:rPr>
        <w:t>Good Corporate Governance</w:t>
      </w:r>
    </w:p>
    <w:p w:rsidR="00547CBB" w:rsidRDefault="00547CBB" w:rsidP="00547CBB">
      <w:pPr>
        <w:pStyle w:val="Title"/>
        <w:ind w:firstLine="349"/>
        <w:jc w:val="both"/>
        <w:rPr>
          <w:rFonts w:ascii="Times New Roman" w:hAnsi="Times New Roman"/>
          <w:sz w:val="20"/>
          <w:lang w:val="id-ID"/>
        </w:rPr>
      </w:pPr>
      <w:r w:rsidRPr="00547CBB">
        <w:rPr>
          <w:rFonts w:ascii="Times New Roman" w:hAnsi="Times New Roman"/>
          <w:sz w:val="20"/>
          <w:lang w:val="id-ID"/>
        </w:rPr>
        <w:t xml:space="preserve">Pada tahun 1992, Komite Cadbury melalui Cadbury Report, mengeluarkan definisi tentang </w:t>
      </w:r>
      <w:r w:rsidRPr="00E46C9B">
        <w:rPr>
          <w:rFonts w:ascii="Times New Roman" w:hAnsi="Times New Roman"/>
          <w:i/>
          <w:sz w:val="20"/>
          <w:lang w:val="id-ID"/>
        </w:rPr>
        <w:t>Good Corporate Governance</w:t>
      </w:r>
      <w:r w:rsidRPr="00547CBB">
        <w:rPr>
          <w:rFonts w:ascii="Times New Roman" w:hAnsi="Times New Roman"/>
          <w:sz w:val="20"/>
          <w:lang w:val="id-ID"/>
        </w:rPr>
        <w:t xml:space="preserve"> (selanjutnya disebut </w:t>
      </w:r>
      <w:r w:rsidRPr="00547CBB">
        <w:rPr>
          <w:rFonts w:ascii="Times New Roman" w:hAnsi="Times New Roman"/>
          <w:sz w:val="20"/>
          <w:lang w:val="id-ID"/>
        </w:rPr>
        <w:lastRenderedPageBreak/>
        <w:t xml:space="preserve">GCG). GCG </w:t>
      </w:r>
      <w:r w:rsidR="003942BC">
        <w:rPr>
          <w:rFonts w:ascii="Times New Roman" w:hAnsi="Times New Roman"/>
          <w:sz w:val="20"/>
        </w:rPr>
        <w:t xml:space="preserve">merupakan </w:t>
      </w:r>
      <w:r w:rsidRPr="00547CBB">
        <w:rPr>
          <w:rFonts w:ascii="Times New Roman" w:hAnsi="Times New Roman"/>
          <w:sz w:val="20"/>
          <w:lang w:val="id-ID"/>
        </w:rPr>
        <w:t xml:space="preserve">prinsip yang mengarahkan dan mengendalikan perusahaan agar mencapai keseimbangan antara kekuatan serta kewenangan perusahaan dalam memberikan pertanggungjawabannya kepada para shareholder khususnya, dan stakeholder pada umumnya. Hal ini dimaksudkan untuk mengatur kewenangan direktur, manajer, pemegang saham, dan pihak lain yang berhubungan dengan perkembangan perusahaan di lingkungan tertentu. </w:t>
      </w:r>
    </w:p>
    <w:p w:rsidR="00547CBB" w:rsidRDefault="00547CBB" w:rsidP="00547CBB">
      <w:pPr>
        <w:pStyle w:val="Title"/>
        <w:ind w:firstLine="349"/>
        <w:jc w:val="both"/>
        <w:rPr>
          <w:rFonts w:ascii="Times New Roman" w:hAnsi="Times New Roman"/>
          <w:sz w:val="20"/>
          <w:lang w:val="id-ID"/>
        </w:rPr>
      </w:pPr>
      <w:r w:rsidRPr="00547CBB">
        <w:rPr>
          <w:rFonts w:ascii="Times New Roman" w:hAnsi="Times New Roman"/>
          <w:sz w:val="20"/>
          <w:lang w:val="id-ID"/>
        </w:rPr>
        <w:t>Di Indonesia, konsep GCG mulai diperkenalkan pada tahun 1999 setelah pemerintah membentuk Komite Nasional Kebijakan Governance (KNKG). KNKG mengeluarkan Pedoman Umum GCG Indonesia pada tahun 2000 yang kemudian direvisi pada tahun 2006. Isi dari pedoman tersebut adalah setiap perusahaan harus membuat pernyataan tentang kesesuaian penerapan GCG dengan pedoman yang telah dikeluarkan oleh KNKG dalam laporan tahunannya.</w:t>
      </w:r>
    </w:p>
    <w:p w:rsidR="00547CBB" w:rsidRDefault="00547CBB" w:rsidP="00547CBB">
      <w:pPr>
        <w:pStyle w:val="Title"/>
        <w:ind w:firstLine="349"/>
        <w:jc w:val="both"/>
        <w:rPr>
          <w:rFonts w:ascii="Times New Roman" w:hAnsi="Times New Roman"/>
          <w:sz w:val="20"/>
        </w:rPr>
      </w:pPr>
      <w:r w:rsidRPr="00547CBB">
        <w:rPr>
          <w:rFonts w:ascii="Times New Roman" w:hAnsi="Times New Roman"/>
          <w:sz w:val="20"/>
          <w:lang w:val="id-ID"/>
        </w:rPr>
        <w:t>Secara umum dalam UU Perbankan telah diatur ketentuan yang terkait dengan GCG yang kemudian diatur secara khusus di dalam Peraturan Otoritas Jasa Keuangan Nomor 55/POJK.03/2016 tanggal 07 Desember 2016 tentang Penerapan Tata Kelola Bagi Bank Umum yang terdiri atas : pertama, uji kelayakan dan kepatutan (</w:t>
      </w:r>
      <w:r w:rsidRPr="00E46C9B">
        <w:rPr>
          <w:rFonts w:ascii="Times New Roman" w:hAnsi="Times New Roman"/>
          <w:i/>
          <w:sz w:val="20"/>
          <w:lang w:val="id-ID"/>
        </w:rPr>
        <w:t>fit and proper test</w:t>
      </w:r>
      <w:r w:rsidRPr="00547CBB">
        <w:rPr>
          <w:rFonts w:ascii="Times New Roman" w:hAnsi="Times New Roman"/>
          <w:sz w:val="20"/>
          <w:lang w:val="id-ID"/>
        </w:rPr>
        <w:t>), yang mengatur perlunya peningkatan kompetensi dan integritas manajemen perbankan melalui uji kelayakan dan kepatutan terhadap pemilik, pemegang saham pengendali, dewan komisaris, direksi, dan pejabat eksekutif bank dalam aktivitas pengelolaan bank. Kedua, independensi manajemen bank, para anggota dewan komisaris dan direksi tidak boleh memiliki hubungan kekerabatan atau memiliki hubungan financial dengan dewan komisaris dan direksi atau menjadi pemegang saham pengendali di perusahaan lain. Ketiga, ketentuan bagi direktur kepatutan dan peningkatan fungsi audit bank publik. Dalam standar penerapan fungsi internal audit bank publik, bank diwajibkan untuk menunjuk direktur kepatuhan yang bertanggung jawab atas kepatuhan bank terhadap regulasi yang ad</w:t>
      </w:r>
      <w:r w:rsidR="00474C09">
        <w:rPr>
          <w:rFonts w:ascii="Times New Roman" w:hAnsi="Times New Roman"/>
          <w:sz w:val="20"/>
          <w:lang w:val="id-ID"/>
        </w:rPr>
        <w:t>a (Regalli, 2012; Damian, 2015)</w:t>
      </w:r>
    </w:p>
    <w:p w:rsidR="009B7840" w:rsidRDefault="00547CBB" w:rsidP="009B7840">
      <w:pPr>
        <w:pStyle w:val="Title"/>
        <w:ind w:firstLine="349"/>
        <w:jc w:val="both"/>
        <w:rPr>
          <w:rFonts w:ascii="Times New Roman" w:hAnsi="Times New Roman"/>
          <w:sz w:val="20"/>
        </w:rPr>
      </w:pPr>
      <w:r w:rsidRPr="00547CBB">
        <w:rPr>
          <w:rFonts w:ascii="Times New Roman" w:hAnsi="Times New Roman"/>
          <w:sz w:val="20"/>
          <w:lang w:val="id-ID"/>
        </w:rPr>
        <w:t xml:space="preserve">GCG mempunyai enam macam tujuan utama. Keenam tujuan utama tersebut adalah sebagai berikut </w:t>
      </w:r>
      <w:r w:rsidR="003942BC">
        <w:rPr>
          <w:rFonts w:ascii="Times New Roman" w:hAnsi="Times New Roman"/>
          <w:sz w:val="20"/>
        </w:rPr>
        <w:t xml:space="preserve">(KKNG, 1999) </w:t>
      </w:r>
      <w:r w:rsidRPr="00547CBB">
        <w:rPr>
          <w:rFonts w:ascii="Times New Roman" w:hAnsi="Times New Roman"/>
          <w:sz w:val="20"/>
          <w:lang w:val="id-ID"/>
        </w:rPr>
        <w:t>:</w:t>
      </w:r>
    </w:p>
    <w:p w:rsidR="009B7840" w:rsidRPr="009B7840" w:rsidRDefault="00547CBB" w:rsidP="0080041C">
      <w:pPr>
        <w:pStyle w:val="Title"/>
        <w:numPr>
          <w:ilvl w:val="0"/>
          <w:numId w:val="9"/>
        </w:numPr>
        <w:jc w:val="both"/>
        <w:rPr>
          <w:rFonts w:ascii="Times New Roman" w:hAnsi="Times New Roman"/>
          <w:sz w:val="20"/>
          <w:lang w:val="id-ID"/>
        </w:rPr>
      </w:pPr>
      <w:r w:rsidRPr="009B7840">
        <w:rPr>
          <w:rFonts w:ascii="Times New Roman" w:hAnsi="Times New Roman"/>
          <w:sz w:val="20"/>
          <w:lang w:val="id-ID"/>
        </w:rPr>
        <w:t xml:space="preserve">Mendorong tercapainya kesinambungan perusahaan melalui pengelolaan yang berdasarkan pada asas transparansi, akuntabilitas, responsibilitas serta kewajaran dan kesetaraan. </w:t>
      </w:r>
    </w:p>
    <w:p w:rsidR="009B7840" w:rsidRPr="009B7840" w:rsidRDefault="00547CBB" w:rsidP="0080041C">
      <w:pPr>
        <w:pStyle w:val="Title"/>
        <w:numPr>
          <w:ilvl w:val="0"/>
          <w:numId w:val="9"/>
        </w:numPr>
        <w:jc w:val="both"/>
        <w:rPr>
          <w:rFonts w:ascii="Times New Roman" w:hAnsi="Times New Roman"/>
          <w:sz w:val="20"/>
          <w:lang w:val="id-ID"/>
        </w:rPr>
      </w:pPr>
      <w:r w:rsidRPr="009B7840">
        <w:rPr>
          <w:rFonts w:ascii="Times New Roman" w:hAnsi="Times New Roman"/>
          <w:sz w:val="20"/>
          <w:lang w:val="id-ID"/>
        </w:rPr>
        <w:t xml:space="preserve">Mendorong pemberdayaan fungsi dan kemandirian masing-masing organ perusahaan yaitu dewan komisaris, direksi dan rapat umum pemegang saham (RUPS). </w:t>
      </w:r>
    </w:p>
    <w:p w:rsidR="009B7840" w:rsidRPr="009B7840" w:rsidRDefault="00547CBB" w:rsidP="0080041C">
      <w:pPr>
        <w:pStyle w:val="Title"/>
        <w:numPr>
          <w:ilvl w:val="0"/>
          <w:numId w:val="9"/>
        </w:numPr>
        <w:jc w:val="both"/>
        <w:rPr>
          <w:rFonts w:ascii="Times New Roman" w:hAnsi="Times New Roman"/>
          <w:sz w:val="20"/>
          <w:lang w:val="id-ID"/>
        </w:rPr>
      </w:pPr>
      <w:r w:rsidRPr="009B7840">
        <w:rPr>
          <w:rFonts w:ascii="Times New Roman" w:hAnsi="Times New Roman"/>
          <w:sz w:val="20"/>
          <w:lang w:val="id-ID"/>
        </w:rPr>
        <w:t xml:space="preserve">Mendorong pemegang saham, anggota dewan komisaris dan anggota direksi agar </w:t>
      </w:r>
      <w:r w:rsidRPr="009B7840">
        <w:rPr>
          <w:rFonts w:ascii="Times New Roman" w:hAnsi="Times New Roman"/>
          <w:sz w:val="20"/>
          <w:lang w:val="id-ID"/>
        </w:rPr>
        <w:lastRenderedPageBreak/>
        <w:t>dapat membuat keputusan dan menjalankan tindakannya dilandasi oleh nilai moral yang tinggi dan kepatuhan terhadap peraturan perundang-undangan.</w:t>
      </w:r>
    </w:p>
    <w:p w:rsidR="009B7840" w:rsidRPr="009B7840" w:rsidRDefault="00547CBB" w:rsidP="0080041C">
      <w:pPr>
        <w:pStyle w:val="Title"/>
        <w:numPr>
          <w:ilvl w:val="0"/>
          <w:numId w:val="9"/>
        </w:numPr>
        <w:jc w:val="both"/>
        <w:rPr>
          <w:rFonts w:ascii="Times New Roman" w:hAnsi="Times New Roman"/>
          <w:sz w:val="20"/>
          <w:lang w:val="id-ID"/>
        </w:rPr>
      </w:pPr>
      <w:r w:rsidRPr="009B7840">
        <w:rPr>
          <w:rFonts w:ascii="Times New Roman" w:hAnsi="Times New Roman"/>
          <w:sz w:val="20"/>
          <w:lang w:val="id-ID"/>
        </w:rPr>
        <w:t>Mendorong timbulnya kesadaran dan tanggung jawab sosial perusahaan terhadap masyarakat dan kelestarian lingkungan terutama disekitar perusahaan.</w:t>
      </w:r>
    </w:p>
    <w:p w:rsidR="009B7840" w:rsidRPr="009B7840" w:rsidRDefault="00547CBB" w:rsidP="009B7840">
      <w:pPr>
        <w:pStyle w:val="Title"/>
        <w:numPr>
          <w:ilvl w:val="0"/>
          <w:numId w:val="9"/>
        </w:numPr>
        <w:jc w:val="both"/>
        <w:rPr>
          <w:rFonts w:ascii="Times New Roman" w:hAnsi="Times New Roman"/>
          <w:sz w:val="20"/>
          <w:lang w:val="id-ID"/>
        </w:rPr>
      </w:pPr>
      <w:r w:rsidRPr="009B7840">
        <w:rPr>
          <w:rFonts w:ascii="Times New Roman" w:hAnsi="Times New Roman"/>
          <w:sz w:val="20"/>
          <w:lang w:val="id-ID"/>
        </w:rPr>
        <w:t xml:space="preserve">Mengoptimalkan nilai perusahaan bagi pemegang saham dengan memperhatikan pemangku kepentingan lainnya. </w:t>
      </w:r>
    </w:p>
    <w:p w:rsidR="009B7840" w:rsidRPr="009B7840" w:rsidRDefault="00547CBB" w:rsidP="009B7840">
      <w:pPr>
        <w:pStyle w:val="Title"/>
        <w:numPr>
          <w:ilvl w:val="0"/>
          <w:numId w:val="9"/>
        </w:numPr>
        <w:jc w:val="both"/>
        <w:rPr>
          <w:rFonts w:ascii="Times New Roman" w:hAnsi="Times New Roman"/>
          <w:sz w:val="20"/>
          <w:lang w:val="id-ID"/>
        </w:rPr>
      </w:pPr>
      <w:r w:rsidRPr="009B7840">
        <w:rPr>
          <w:rFonts w:ascii="Times New Roman" w:hAnsi="Times New Roman"/>
          <w:sz w:val="20"/>
          <w:lang w:val="id-ID"/>
        </w:rPr>
        <w:t>Meningkatkan daya saing perusahaan secara nasional maupun internasional sehingga meningkatkan kepercayaan pasar yang dapat mendorong arus investasi dan pertumbuhan ekonomi nasional dan berkesinambungan</w:t>
      </w:r>
    </w:p>
    <w:p w:rsidR="009B7840" w:rsidRDefault="009B7840" w:rsidP="009B7840">
      <w:pPr>
        <w:pStyle w:val="Title"/>
        <w:ind w:firstLine="360"/>
        <w:jc w:val="both"/>
        <w:rPr>
          <w:rFonts w:ascii="Times New Roman" w:hAnsi="Times New Roman"/>
          <w:sz w:val="20"/>
        </w:rPr>
      </w:pPr>
    </w:p>
    <w:p w:rsidR="009B7840" w:rsidRPr="009B7840" w:rsidRDefault="00547CBB" w:rsidP="009B7840">
      <w:pPr>
        <w:pStyle w:val="Title"/>
        <w:ind w:firstLine="360"/>
        <w:jc w:val="both"/>
        <w:rPr>
          <w:rFonts w:ascii="Times New Roman" w:hAnsi="Times New Roman"/>
          <w:sz w:val="20"/>
        </w:rPr>
      </w:pPr>
      <w:r w:rsidRPr="009B7840">
        <w:rPr>
          <w:rFonts w:ascii="Times New Roman" w:hAnsi="Times New Roman"/>
          <w:sz w:val="20"/>
          <w:lang w:val="id-ID"/>
        </w:rPr>
        <w:t xml:space="preserve">Salah satu pilar penting dalam GCG di perbankan adalah komitmen penuh dari seluruh jajaran pengurus / manajemen bank hingga pegawai yang terendah untuk melaksanakan ketentuan tersebut. Seluruh karyawan wajib untuk menjunjung tinggi prinsip-prinsip GCG menurut POJK nomor 55/POJK.03/2016 tentang Penerapan Tata Kelola Bagi Bank Umum diantaranya </w:t>
      </w:r>
      <w:r w:rsidRPr="00E46C9B">
        <w:rPr>
          <w:rFonts w:ascii="Times New Roman" w:hAnsi="Times New Roman"/>
          <w:i/>
          <w:sz w:val="20"/>
          <w:lang w:val="id-ID"/>
        </w:rPr>
        <w:t>Transparency, Accountability, Responsibility, Independency</w:t>
      </w:r>
      <w:r w:rsidRPr="009B7840">
        <w:rPr>
          <w:rFonts w:ascii="Times New Roman" w:hAnsi="Times New Roman"/>
          <w:sz w:val="20"/>
          <w:lang w:val="id-ID"/>
        </w:rPr>
        <w:t xml:space="preserve"> dan </w:t>
      </w:r>
      <w:r w:rsidRPr="00E46C9B">
        <w:rPr>
          <w:rFonts w:ascii="Times New Roman" w:hAnsi="Times New Roman"/>
          <w:i/>
          <w:sz w:val="20"/>
          <w:lang w:val="id-ID"/>
        </w:rPr>
        <w:t>Fairness</w:t>
      </w:r>
      <w:r w:rsidRPr="009B7840">
        <w:rPr>
          <w:rFonts w:ascii="Times New Roman" w:hAnsi="Times New Roman"/>
          <w:sz w:val="20"/>
          <w:lang w:val="id-ID"/>
        </w:rPr>
        <w:t xml:space="preserve"> atau sering dikenal dengan singkatan TARIF. Prinsip-prinsip yang terkandung dalam GCG seperti yang tercantum di atas dapat dijabarkan sebagai berikut :</w:t>
      </w:r>
    </w:p>
    <w:p w:rsidR="009B7840" w:rsidRPr="009B7840" w:rsidRDefault="00547CBB" w:rsidP="009B7840">
      <w:pPr>
        <w:pStyle w:val="Title"/>
        <w:numPr>
          <w:ilvl w:val="0"/>
          <w:numId w:val="10"/>
        </w:numPr>
        <w:jc w:val="both"/>
        <w:rPr>
          <w:rFonts w:ascii="Times New Roman" w:hAnsi="Times New Roman"/>
          <w:sz w:val="20"/>
          <w:lang w:val="id-ID"/>
        </w:rPr>
      </w:pPr>
      <w:r w:rsidRPr="00E46C9B">
        <w:rPr>
          <w:rFonts w:ascii="Times New Roman" w:hAnsi="Times New Roman"/>
          <w:i/>
          <w:sz w:val="20"/>
          <w:lang w:val="id-ID"/>
        </w:rPr>
        <w:t>Transparency</w:t>
      </w:r>
      <w:r w:rsidRPr="009B7840">
        <w:rPr>
          <w:rFonts w:ascii="Times New Roman" w:hAnsi="Times New Roman"/>
          <w:sz w:val="20"/>
          <w:lang w:val="id-ID"/>
        </w:rPr>
        <w:t xml:space="preserve"> yaitu keterbukaan dalam mengemukakan informasi yang material dan relevan serta keterbukaan dalam melaksana</w:t>
      </w:r>
      <w:r w:rsidR="00474C09" w:rsidRPr="009B7840">
        <w:rPr>
          <w:rFonts w:ascii="Times New Roman" w:hAnsi="Times New Roman"/>
          <w:sz w:val="20"/>
          <w:lang w:val="id-ID"/>
        </w:rPr>
        <w:t>kan proses pengambilan keputus</w:t>
      </w:r>
      <w:r w:rsidR="00474C09" w:rsidRPr="009B7840">
        <w:rPr>
          <w:rFonts w:ascii="Times New Roman" w:hAnsi="Times New Roman"/>
          <w:sz w:val="20"/>
          <w:lang w:val="en-ID"/>
        </w:rPr>
        <w:t>an.</w:t>
      </w:r>
    </w:p>
    <w:p w:rsidR="000F70A2" w:rsidRPr="00654176" w:rsidRDefault="00547CBB" w:rsidP="00654176">
      <w:pPr>
        <w:pStyle w:val="Title"/>
        <w:numPr>
          <w:ilvl w:val="0"/>
          <w:numId w:val="10"/>
        </w:numPr>
        <w:jc w:val="both"/>
        <w:rPr>
          <w:rFonts w:ascii="Times New Roman" w:hAnsi="Times New Roman"/>
          <w:sz w:val="20"/>
          <w:lang w:val="id-ID"/>
        </w:rPr>
      </w:pPr>
      <w:r w:rsidRPr="00E46C9B">
        <w:rPr>
          <w:rFonts w:ascii="Times New Roman" w:hAnsi="Times New Roman"/>
          <w:i/>
          <w:sz w:val="20"/>
          <w:lang w:val="id-ID"/>
        </w:rPr>
        <w:t>Accountability</w:t>
      </w:r>
      <w:r w:rsidRPr="009B7840">
        <w:rPr>
          <w:rFonts w:ascii="Times New Roman" w:hAnsi="Times New Roman"/>
          <w:sz w:val="20"/>
          <w:lang w:val="id-ID"/>
        </w:rPr>
        <w:t xml:space="preserve"> yaitu kejelasan fungsi dan pelaksanaan pertanggungjawaban organ perusahaan sehingga pengelolaannya berjalan secara efektif. </w:t>
      </w:r>
    </w:p>
    <w:p w:rsidR="009B7840" w:rsidRPr="009A0E7A" w:rsidRDefault="00547CBB" w:rsidP="009B7840">
      <w:pPr>
        <w:pStyle w:val="Title"/>
        <w:numPr>
          <w:ilvl w:val="0"/>
          <w:numId w:val="10"/>
        </w:numPr>
        <w:jc w:val="both"/>
        <w:rPr>
          <w:rFonts w:ascii="Times New Roman" w:hAnsi="Times New Roman"/>
          <w:sz w:val="20"/>
          <w:lang w:val="id-ID"/>
        </w:rPr>
      </w:pPr>
      <w:r w:rsidRPr="00E46C9B">
        <w:rPr>
          <w:rFonts w:ascii="Times New Roman" w:hAnsi="Times New Roman"/>
          <w:i/>
          <w:sz w:val="20"/>
          <w:lang w:val="id-ID"/>
        </w:rPr>
        <w:t>Responsibility</w:t>
      </w:r>
      <w:r w:rsidRPr="009B7840">
        <w:rPr>
          <w:rFonts w:ascii="Times New Roman" w:hAnsi="Times New Roman"/>
          <w:sz w:val="20"/>
          <w:lang w:val="id-ID"/>
        </w:rPr>
        <w:t xml:space="preserve"> (pertanggungjawaban) adalah kesesuaian atau kepatuhan di dalam pengelolaan perusahaan terhadap prinsip korporasi yang sehat serta peraturan perundangan yang berlaku. </w:t>
      </w:r>
    </w:p>
    <w:p w:rsidR="009B7840" w:rsidRPr="009B7840" w:rsidRDefault="00547CBB" w:rsidP="009B7840">
      <w:pPr>
        <w:pStyle w:val="Title"/>
        <w:numPr>
          <w:ilvl w:val="0"/>
          <w:numId w:val="10"/>
        </w:numPr>
        <w:jc w:val="both"/>
        <w:rPr>
          <w:rFonts w:ascii="Times New Roman" w:hAnsi="Times New Roman"/>
          <w:sz w:val="20"/>
          <w:lang w:val="id-ID"/>
        </w:rPr>
      </w:pPr>
      <w:r w:rsidRPr="00E46C9B">
        <w:rPr>
          <w:rFonts w:ascii="Times New Roman" w:hAnsi="Times New Roman"/>
          <w:i/>
          <w:sz w:val="20"/>
          <w:lang w:val="id-ID"/>
        </w:rPr>
        <w:t>Independency</w:t>
      </w:r>
      <w:r w:rsidRPr="009B7840">
        <w:rPr>
          <w:rFonts w:ascii="Times New Roman" w:hAnsi="Times New Roman"/>
          <w:sz w:val="20"/>
          <w:lang w:val="id-ID"/>
        </w:rPr>
        <w:t xml:space="preserve"> (kemandirian) adalah suatu keadaan dimana perusahaan dikelola secara profesional tanpa benturan kepentingan dan pengaruh atau tekanan dari pihak manapun yang tidak sesuai dengan peraturan perundang-undangan yang berlaku dan prinsip-prinsip korporasi yang sehat. </w:t>
      </w:r>
    </w:p>
    <w:p w:rsidR="009B7840" w:rsidRPr="009B7840" w:rsidRDefault="00547CBB" w:rsidP="009B7840">
      <w:pPr>
        <w:pStyle w:val="Title"/>
        <w:numPr>
          <w:ilvl w:val="0"/>
          <w:numId w:val="10"/>
        </w:numPr>
        <w:jc w:val="both"/>
        <w:rPr>
          <w:rFonts w:ascii="Times New Roman" w:hAnsi="Times New Roman"/>
          <w:sz w:val="20"/>
          <w:lang w:val="id-ID"/>
        </w:rPr>
      </w:pPr>
      <w:r w:rsidRPr="00E46C9B">
        <w:rPr>
          <w:rFonts w:ascii="Times New Roman" w:hAnsi="Times New Roman"/>
          <w:i/>
          <w:sz w:val="20"/>
          <w:lang w:val="id-ID"/>
        </w:rPr>
        <w:t>Fairness</w:t>
      </w:r>
      <w:r w:rsidRPr="009B7840">
        <w:rPr>
          <w:rFonts w:ascii="Times New Roman" w:hAnsi="Times New Roman"/>
          <w:sz w:val="20"/>
          <w:lang w:val="id-ID"/>
        </w:rPr>
        <w:t xml:space="preserve"> yaitu keadilan dan kesetaraan dalam memenuhi hak-hak </w:t>
      </w:r>
      <w:r w:rsidRPr="00E46C9B">
        <w:rPr>
          <w:rFonts w:ascii="Times New Roman" w:hAnsi="Times New Roman"/>
          <w:i/>
          <w:sz w:val="20"/>
          <w:lang w:val="id-ID"/>
        </w:rPr>
        <w:t>stakeholder</w:t>
      </w:r>
      <w:r w:rsidRPr="009B7840">
        <w:rPr>
          <w:rFonts w:ascii="Times New Roman" w:hAnsi="Times New Roman"/>
          <w:sz w:val="20"/>
          <w:lang w:val="id-ID"/>
        </w:rPr>
        <w:t xml:space="preserve"> yang timbul berdasarkan perjanjian dan peraturan perundang</w:t>
      </w:r>
      <w:r w:rsidR="00E46C9B">
        <w:rPr>
          <w:rFonts w:ascii="Times New Roman" w:hAnsi="Times New Roman"/>
          <w:sz w:val="20"/>
        </w:rPr>
        <w:t>-</w:t>
      </w:r>
      <w:r w:rsidRPr="009B7840">
        <w:rPr>
          <w:rFonts w:ascii="Times New Roman" w:hAnsi="Times New Roman"/>
          <w:sz w:val="20"/>
          <w:lang w:val="id-ID"/>
        </w:rPr>
        <w:t xml:space="preserve">undangan yang berlaku. </w:t>
      </w:r>
    </w:p>
    <w:p w:rsidR="009B7840" w:rsidRDefault="009B7840" w:rsidP="009B7840">
      <w:pPr>
        <w:pStyle w:val="Title"/>
        <w:ind w:firstLine="360"/>
        <w:jc w:val="both"/>
        <w:rPr>
          <w:rFonts w:ascii="Times New Roman" w:hAnsi="Times New Roman"/>
          <w:sz w:val="20"/>
        </w:rPr>
      </w:pPr>
    </w:p>
    <w:p w:rsidR="00547CBB" w:rsidRPr="009B7840" w:rsidRDefault="00547CBB" w:rsidP="009B7840">
      <w:pPr>
        <w:pStyle w:val="Title"/>
        <w:ind w:firstLine="360"/>
        <w:jc w:val="both"/>
        <w:rPr>
          <w:rFonts w:ascii="Times New Roman" w:hAnsi="Times New Roman"/>
          <w:b/>
          <w:sz w:val="20"/>
          <w:lang w:val="id-ID"/>
        </w:rPr>
      </w:pPr>
      <w:r w:rsidRPr="009B7840">
        <w:rPr>
          <w:rFonts w:ascii="Times New Roman" w:hAnsi="Times New Roman"/>
          <w:sz w:val="20"/>
          <w:lang w:val="id-ID"/>
        </w:rPr>
        <w:lastRenderedPageBreak/>
        <w:t>Penilaian GCG pada perbankan dilakukan melalui kertas kerja penilaian sendiri (</w:t>
      </w:r>
      <w:r w:rsidRPr="00E46C9B">
        <w:rPr>
          <w:rFonts w:ascii="Times New Roman" w:hAnsi="Times New Roman"/>
          <w:i/>
          <w:sz w:val="20"/>
          <w:lang w:val="id-ID"/>
        </w:rPr>
        <w:t>self assessment</w:t>
      </w:r>
      <w:r w:rsidRPr="009B7840">
        <w:rPr>
          <w:rFonts w:ascii="Times New Roman" w:hAnsi="Times New Roman"/>
          <w:sz w:val="20"/>
          <w:lang w:val="id-ID"/>
        </w:rPr>
        <w:t xml:space="preserve">) penerapan kelola dengan tujuan dari masing-masing </w:t>
      </w:r>
      <w:r w:rsidRPr="00E46C9B">
        <w:rPr>
          <w:rFonts w:ascii="Times New Roman" w:hAnsi="Times New Roman"/>
          <w:i/>
          <w:sz w:val="20"/>
          <w:lang w:val="id-ID"/>
        </w:rPr>
        <w:t>governance system</w:t>
      </w:r>
      <w:r w:rsidRPr="009B7840">
        <w:rPr>
          <w:rFonts w:ascii="Times New Roman" w:hAnsi="Times New Roman"/>
          <w:sz w:val="20"/>
          <w:lang w:val="id-ID"/>
        </w:rPr>
        <w:t xml:space="preserve"> sebagai berikut (SEOJK No. 13, 2017) :</w:t>
      </w:r>
    </w:p>
    <w:p w:rsidR="00474C09" w:rsidRPr="00474C09" w:rsidRDefault="00547CBB" w:rsidP="0080041C">
      <w:pPr>
        <w:pStyle w:val="Heading2"/>
        <w:numPr>
          <w:ilvl w:val="0"/>
          <w:numId w:val="11"/>
        </w:numPr>
        <w:spacing w:before="0" w:after="0"/>
        <w:jc w:val="both"/>
        <w:rPr>
          <w:b w:val="0"/>
          <w:lang w:val="id-ID"/>
        </w:rPr>
      </w:pPr>
      <w:r w:rsidRPr="00474C09">
        <w:rPr>
          <w:b w:val="0"/>
          <w:lang w:val="id-ID"/>
        </w:rPr>
        <w:t xml:space="preserve">Penilaian </w:t>
      </w:r>
      <w:r w:rsidRPr="00E46C9B">
        <w:rPr>
          <w:b w:val="0"/>
          <w:i/>
          <w:lang w:val="id-ID"/>
        </w:rPr>
        <w:t>governance structure</w:t>
      </w:r>
      <w:r w:rsidRPr="00474C09">
        <w:rPr>
          <w:b w:val="0"/>
          <w:lang w:val="id-ID"/>
        </w:rPr>
        <w:t xml:space="preserve"> bertujuan untuk menilai kecukupan struktur dan infrastruktur Tata Kelola Bank agar proses penerapan prinsip Tata Kelola yang baik menghasilkan outcome yang sesuai dengan harapan Pemangku Kepentingan Bank. </w:t>
      </w:r>
    </w:p>
    <w:p w:rsidR="00474C09" w:rsidRDefault="00547CBB" w:rsidP="0080041C">
      <w:pPr>
        <w:pStyle w:val="Heading2"/>
        <w:numPr>
          <w:ilvl w:val="0"/>
          <w:numId w:val="11"/>
        </w:numPr>
        <w:spacing w:before="0" w:after="0"/>
        <w:jc w:val="both"/>
        <w:rPr>
          <w:b w:val="0"/>
          <w:lang w:val="id-ID"/>
        </w:rPr>
      </w:pPr>
      <w:r w:rsidRPr="00474C09">
        <w:rPr>
          <w:b w:val="0"/>
          <w:lang w:val="id-ID"/>
        </w:rPr>
        <w:t>Penilaian governance process bertujuan untuk menilai efektivitas proses penerapan prinsip Tata Kelola yang didukung oleh kecukupan struktur dan infrastruktur Tata Kelola Bank sehingga menghasilkan outcome yang sesuai dengan harapan Pemangku Kepentingan Bank.</w:t>
      </w:r>
    </w:p>
    <w:p w:rsidR="00547CBB" w:rsidRDefault="00547CBB" w:rsidP="0080041C">
      <w:pPr>
        <w:pStyle w:val="Heading2"/>
        <w:numPr>
          <w:ilvl w:val="0"/>
          <w:numId w:val="11"/>
        </w:numPr>
        <w:spacing w:before="0" w:after="0"/>
        <w:jc w:val="both"/>
        <w:rPr>
          <w:b w:val="0"/>
          <w:lang w:val="id-ID"/>
        </w:rPr>
      </w:pPr>
      <w:r w:rsidRPr="00474C09">
        <w:rPr>
          <w:b w:val="0"/>
          <w:lang w:val="id-ID"/>
        </w:rPr>
        <w:t>Penilaian governance outcome bertujuan untuk menilai kualitas outcome yang memenuhi harapan Pemangku Kepentingan Bank yang merupakan hasil proses penerapan prinsip Tata Kelola yang baik yang didukung oleh kecukupan struktur dan infrastruktur Tata Kelola Bank.</w:t>
      </w:r>
    </w:p>
    <w:p w:rsidR="006C7D8F" w:rsidRDefault="006C7D8F" w:rsidP="006C7D8F">
      <w:pPr>
        <w:spacing w:before="0" w:after="0"/>
        <w:rPr>
          <w:lang w:val="id-ID" w:eastAsia="x-none"/>
        </w:rPr>
      </w:pPr>
    </w:p>
    <w:p w:rsidR="006C7D8F" w:rsidRDefault="006C7D8F" w:rsidP="006C7D8F">
      <w:pPr>
        <w:spacing w:before="0" w:after="0"/>
        <w:rPr>
          <w:lang w:val="id-ID" w:eastAsia="x-none"/>
        </w:rPr>
      </w:pPr>
      <w:r w:rsidRPr="006C7D8F">
        <w:rPr>
          <w:lang w:val="id-ID" w:eastAsia="x-none"/>
        </w:rPr>
        <w:t>Penerapan GCG di lingkungan perbankan harus melakukan penilaian sendiri (self assessment) secara berkala meliputi 11 (sebelas) faktor penilaian pelaksanaan GCG sesuai dengan SEOJK No.13/SEOJK.03/2017 tanggal 17 Maret 2017 tentang Penerapan Tata Kelola Bagi Bank Umum, yaitu :</w:t>
      </w:r>
    </w:p>
    <w:p w:rsidR="006C7D8F" w:rsidRPr="006C7D8F" w:rsidRDefault="006C7D8F" w:rsidP="0080041C">
      <w:pPr>
        <w:pStyle w:val="ListParagraph"/>
        <w:numPr>
          <w:ilvl w:val="0"/>
          <w:numId w:val="12"/>
        </w:numPr>
        <w:spacing w:before="0" w:after="0"/>
        <w:rPr>
          <w:lang w:val="en-ID" w:eastAsia="x-none"/>
        </w:rPr>
      </w:pPr>
      <w:r w:rsidRPr="006C7D8F">
        <w:rPr>
          <w:lang w:eastAsia="x-none"/>
        </w:rPr>
        <w:t>Pelaksanaan tugas dan tanggung jawab Dewan Komisaris</w:t>
      </w:r>
    </w:p>
    <w:p w:rsidR="006C7D8F" w:rsidRPr="006C7D8F" w:rsidRDefault="006C7D8F" w:rsidP="0080041C">
      <w:pPr>
        <w:pStyle w:val="ListParagraph"/>
        <w:numPr>
          <w:ilvl w:val="0"/>
          <w:numId w:val="12"/>
        </w:numPr>
        <w:spacing w:before="0" w:after="0"/>
        <w:rPr>
          <w:lang w:val="en-ID" w:eastAsia="x-none"/>
        </w:rPr>
      </w:pPr>
      <w:r w:rsidRPr="006C7D8F">
        <w:rPr>
          <w:lang w:eastAsia="x-none"/>
        </w:rPr>
        <w:t>Pelaksanaan tugas dan tanggung jawab Direksi</w:t>
      </w:r>
    </w:p>
    <w:p w:rsidR="006C7D8F" w:rsidRPr="006C7D8F" w:rsidRDefault="006C7D8F" w:rsidP="0080041C">
      <w:pPr>
        <w:pStyle w:val="ListParagraph"/>
        <w:numPr>
          <w:ilvl w:val="0"/>
          <w:numId w:val="12"/>
        </w:numPr>
        <w:spacing w:before="0" w:after="0"/>
        <w:rPr>
          <w:lang w:val="en-ID" w:eastAsia="x-none"/>
        </w:rPr>
      </w:pPr>
      <w:r w:rsidRPr="006C7D8F">
        <w:rPr>
          <w:lang w:eastAsia="x-none"/>
        </w:rPr>
        <w:t>Kelengkapan dan pelaksanaan tugas Komite</w:t>
      </w:r>
    </w:p>
    <w:p w:rsidR="006C7D8F" w:rsidRPr="006C7D8F" w:rsidRDefault="006C7D8F" w:rsidP="0080041C">
      <w:pPr>
        <w:pStyle w:val="ListParagraph"/>
        <w:numPr>
          <w:ilvl w:val="0"/>
          <w:numId w:val="12"/>
        </w:numPr>
        <w:spacing w:before="0" w:after="0"/>
        <w:rPr>
          <w:lang w:val="en-ID" w:eastAsia="x-none"/>
        </w:rPr>
      </w:pPr>
      <w:r w:rsidRPr="006C7D8F">
        <w:rPr>
          <w:lang w:eastAsia="x-none"/>
        </w:rPr>
        <w:t>Penerapan benturan kepentingan</w:t>
      </w:r>
    </w:p>
    <w:p w:rsidR="00CE239F" w:rsidRDefault="006C7D8F" w:rsidP="00CE239F">
      <w:pPr>
        <w:pStyle w:val="ListParagraph"/>
        <w:numPr>
          <w:ilvl w:val="0"/>
          <w:numId w:val="12"/>
        </w:numPr>
        <w:spacing w:before="0" w:after="0"/>
        <w:rPr>
          <w:lang w:val="en-ID" w:eastAsia="x-none"/>
        </w:rPr>
      </w:pPr>
      <w:r>
        <w:rPr>
          <w:lang w:val="en-ID" w:eastAsia="x-none"/>
        </w:rPr>
        <w:t>Penerapan fungsi kepatuhan</w:t>
      </w:r>
    </w:p>
    <w:p w:rsidR="00CE239F" w:rsidRPr="00CE239F" w:rsidRDefault="00CE239F" w:rsidP="00CE239F">
      <w:pPr>
        <w:pStyle w:val="ListParagraph"/>
        <w:numPr>
          <w:ilvl w:val="0"/>
          <w:numId w:val="12"/>
        </w:numPr>
        <w:spacing w:before="0" w:after="0"/>
        <w:rPr>
          <w:lang w:val="en-ID" w:eastAsia="x-none"/>
        </w:rPr>
      </w:pPr>
      <w:r w:rsidRPr="00CE239F">
        <w:rPr>
          <w:lang w:val="en-ID" w:eastAsia="x-none"/>
        </w:rPr>
        <w:t>Penerapan fungsi audit intern</w:t>
      </w:r>
    </w:p>
    <w:p w:rsidR="00CE239F" w:rsidRPr="00CE239F" w:rsidRDefault="00CE239F" w:rsidP="00CE239F">
      <w:pPr>
        <w:pStyle w:val="ListParagraph"/>
        <w:numPr>
          <w:ilvl w:val="0"/>
          <w:numId w:val="12"/>
        </w:numPr>
        <w:spacing w:before="0" w:after="0"/>
        <w:rPr>
          <w:lang w:val="en-ID" w:eastAsia="x-none"/>
        </w:rPr>
      </w:pPr>
      <w:r w:rsidRPr="00CE239F">
        <w:rPr>
          <w:lang w:val="en-ID" w:eastAsia="x-none"/>
        </w:rPr>
        <w:t>Penerapan fungsi audit ekstern</w:t>
      </w:r>
    </w:p>
    <w:p w:rsidR="00CE239F" w:rsidRPr="00CE239F" w:rsidRDefault="00CE239F" w:rsidP="00CE239F">
      <w:pPr>
        <w:pStyle w:val="ListParagraph"/>
        <w:numPr>
          <w:ilvl w:val="0"/>
          <w:numId w:val="12"/>
        </w:numPr>
        <w:spacing w:before="0" w:after="0"/>
        <w:rPr>
          <w:lang w:val="en-ID" w:eastAsia="x-none"/>
        </w:rPr>
      </w:pPr>
      <w:r w:rsidRPr="00CE239F">
        <w:rPr>
          <w:lang w:val="en-ID" w:eastAsia="x-none"/>
        </w:rPr>
        <w:t>Penerapan manajemen risiko termasuk sistem pengendalian intern</w:t>
      </w:r>
    </w:p>
    <w:p w:rsidR="00CE239F" w:rsidRDefault="00CE239F" w:rsidP="00CE239F">
      <w:pPr>
        <w:pStyle w:val="ListParagraph"/>
        <w:numPr>
          <w:ilvl w:val="0"/>
          <w:numId w:val="12"/>
        </w:numPr>
        <w:spacing w:before="0" w:after="0"/>
        <w:rPr>
          <w:lang w:val="en-ID" w:eastAsia="x-none"/>
        </w:rPr>
      </w:pPr>
      <w:r w:rsidRPr="00CE239F">
        <w:rPr>
          <w:lang w:val="en-ID" w:eastAsia="x-none"/>
        </w:rPr>
        <w:t>Penyediaan dana kepada pihak terkait (related party) dan penyediaan dana besar (large exposures)</w:t>
      </w:r>
    </w:p>
    <w:p w:rsidR="00474C09" w:rsidRDefault="00547CBB" w:rsidP="0080041C">
      <w:pPr>
        <w:pStyle w:val="Heading2"/>
        <w:numPr>
          <w:ilvl w:val="0"/>
          <w:numId w:val="12"/>
        </w:numPr>
        <w:spacing w:before="0" w:after="0"/>
        <w:jc w:val="both"/>
        <w:rPr>
          <w:b w:val="0"/>
          <w:lang w:val="id-ID"/>
        </w:rPr>
      </w:pPr>
      <w:r w:rsidRPr="00474C09">
        <w:rPr>
          <w:b w:val="0"/>
          <w:lang w:val="id-ID"/>
        </w:rPr>
        <w:t>Transparansi kondisi keuangan dan non keuangan Bank laporan pelaksanaan GCG dan pelaporan internal</w:t>
      </w:r>
    </w:p>
    <w:p w:rsidR="00D4552A" w:rsidRPr="00474C09" w:rsidRDefault="00547CBB" w:rsidP="0080041C">
      <w:pPr>
        <w:pStyle w:val="Heading2"/>
        <w:numPr>
          <w:ilvl w:val="0"/>
          <w:numId w:val="12"/>
        </w:numPr>
        <w:spacing w:before="0" w:after="0"/>
        <w:jc w:val="both"/>
        <w:rPr>
          <w:b w:val="0"/>
          <w:lang w:val="id-ID"/>
        </w:rPr>
      </w:pPr>
      <w:r w:rsidRPr="00474C09">
        <w:rPr>
          <w:b w:val="0"/>
          <w:lang w:val="id-ID"/>
        </w:rPr>
        <w:t>Rencana Strategis Bank</w:t>
      </w:r>
      <w:r w:rsidRPr="00474C09">
        <w:rPr>
          <w:lang w:val="id-ID"/>
        </w:rPr>
        <w:t>.</w:t>
      </w:r>
    </w:p>
    <w:p w:rsidR="00D4552A" w:rsidRDefault="00D4552A" w:rsidP="005C0D0A">
      <w:pPr>
        <w:pStyle w:val="Title"/>
        <w:jc w:val="both"/>
        <w:rPr>
          <w:rFonts w:ascii="Times New Roman" w:hAnsi="Times New Roman"/>
          <w:sz w:val="20"/>
        </w:rPr>
      </w:pPr>
    </w:p>
    <w:p w:rsidR="009B7840" w:rsidRPr="00E46C9B" w:rsidRDefault="009B7840" w:rsidP="009B7840">
      <w:pPr>
        <w:pStyle w:val="Heading2"/>
        <w:spacing w:before="0" w:after="0"/>
        <w:rPr>
          <w:i/>
          <w:lang w:val="id-ID"/>
        </w:rPr>
      </w:pPr>
      <w:r w:rsidRPr="00E46C9B">
        <w:rPr>
          <w:i/>
          <w:lang w:val="en-US"/>
        </w:rPr>
        <w:t>Balanced Score Card</w:t>
      </w:r>
    </w:p>
    <w:p w:rsidR="00E46C9B" w:rsidRPr="00E46C9B" w:rsidRDefault="00E46C9B" w:rsidP="00E46C9B">
      <w:pPr>
        <w:pStyle w:val="Title"/>
        <w:ind w:firstLine="576"/>
        <w:jc w:val="both"/>
        <w:rPr>
          <w:rFonts w:ascii="Times New Roman" w:hAnsi="Times New Roman"/>
          <w:sz w:val="20"/>
        </w:rPr>
      </w:pPr>
      <w:r w:rsidRPr="0097660A">
        <w:rPr>
          <w:rFonts w:ascii="Times New Roman" w:hAnsi="Times New Roman"/>
          <w:i/>
          <w:sz w:val="20"/>
        </w:rPr>
        <w:t>Balance Scorecard</w:t>
      </w:r>
      <w:r w:rsidRPr="00E46C9B">
        <w:rPr>
          <w:rFonts w:ascii="Times New Roman" w:hAnsi="Times New Roman"/>
          <w:sz w:val="20"/>
        </w:rPr>
        <w:t xml:space="preserve"> pertama kali </w:t>
      </w:r>
      <w:r w:rsidR="00B25092">
        <w:rPr>
          <w:rFonts w:ascii="Times New Roman" w:hAnsi="Times New Roman"/>
          <w:sz w:val="20"/>
        </w:rPr>
        <w:t>diperkenalkan</w:t>
      </w:r>
      <w:r w:rsidRPr="00E46C9B">
        <w:rPr>
          <w:rFonts w:ascii="Times New Roman" w:hAnsi="Times New Roman"/>
          <w:sz w:val="20"/>
        </w:rPr>
        <w:t xml:space="preserve"> oleh Robert S. Kaplan dan David P. Norton pada tahun 1992 dalam sebuah artikel berjudul "</w:t>
      </w:r>
      <w:r w:rsidR="00B25092" w:rsidRPr="00B25092">
        <w:rPr>
          <w:rFonts w:ascii="Times New Roman" w:hAnsi="Times New Roman"/>
          <w:i/>
          <w:sz w:val="20"/>
        </w:rPr>
        <w:t xml:space="preserve">The Balanced Scorecard - Measures That </w:t>
      </w:r>
      <w:r w:rsidR="00B25092" w:rsidRPr="00B25092">
        <w:rPr>
          <w:rFonts w:ascii="Times New Roman" w:hAnsi="Times New Roman"/>
          <w:i/>
          <w:sz w:val="20"/>
        </w:rPr>
        <w:lastRenderedPageBreak/>
        <w:t>Drive Performance</w:t>
      </w:r>
      <w:r w:rsidRPr="00E46C9B">
        <w:rPr>
          <w:rFonts w:ascii="Times New Roman" w:hAnsi="Times New Roman"/>
          <w:sz w:val="20"/>
        </w:rPr>
        <w:t xml:space="preserve">". Dalam artikel tersebut, </w:t>
      </w:r>
      <w:r w:rsidRPr="00B25092">
        <w:rPr>
          <w:rFonts w:ascii="Times New Roman" w:hAnsi="Times New Roman"/>
          <w:i/>
          <w:sz w:val="20"/>
        </w:rPr>
        <w:t>Balance Scorecard</w:t>
      </w:r>
      <w:r w:rsidRPr="00E46C9B">
        <w:rPr>
          <w:rFonts w:ascii="Times New Roman" w:hAnsi="Times New Roman"/>
          <w:sz w:val="20"/>
        </w:rPr>
        <w:t xml:space="preserve"> didefinisikan sebagai satu set ukuran yang memberi manajer puncak pandangan yang cepat tetapi komprehensif dari bisnis, termasuk langkah-langkah keuangan yang </w:t>
      </w:r>
      <w:r w:rsidR="00B25092">
        <w:rPr>
          <w:rFonts w:ascii="Times New Roman" w:hAnsi="Times New Roman"/>
          <w:sz w:val="20"/>
        </w:rPr>
        <w:t xml:space="preserve">menginformasikan </w:t>
      </w:r>
      <w:r w:rsidRPr="00E46C9B">
        <w:rPr>
          <w:rFonts w:ascii="Times New Roman" w:hAnsi="Times New Roman"/>
          <w:sz w:val="20"/>
        </w:rPr>
        <w:t>hasil tindakan yang telah diambil, melengkapi langkah-langkah keuangan dengan langkah-langkah operasional pada kepuasan pelanggan, proses</w:t>
      </w:r>
      <w:r w:rsidR="00B25092" w:rsidRPr="00B25092">
        <w:rPr>
          <w:rFonts w:ascii="Times New Roman" w:hAnsi="Times New Roman"/>
          <w:sz w:val="20"/>
        </w:rPr>
        <w:t xml:space="preserve"> </w:t>
      </w:r>
      <w:r w:rsidR="00B25092" w:rsidRPr="00E46C9B">
        <w:rPr>
          <w:rFonts w:ascii="Times New Roman" w:hAnsi="Times New Roman"/>
          <w:sz w:val="20"/>
        </w:rPr>
        <w:t>internal</w:t>
      </w:r>
      <w:r w:rsidRPr="00E46C9B">
        <w:rPr>
          <w:rFonts w:ascii="Times New Roman" w:hAnsi="Times New Roman"/>
          <w:sz w:val="20"/>
        </w:rPr>
        <w:t>, inovasi organisasi dan peningkatan ukuran kegiatan operasional yang merupakan pendorong kinerja keuangan masa depan (Setiawan &amp; Yulianto, 2017)</w:t>
      </w:r>
    </w:p>
    <w:p w:rsidR="00E46C9B" w:rsidRDefault="0097660A" w:rsidP="00E46C9B">
      <w:pPr>
        <w:pStyle w:val="Title"/>
        <w:ind w:firstLine="576"/>
        <w:jc w:val="both"/>
        <w:rPr>
          <w:rFonts w:ascii="Times New Roman" w:hAnsi="Times New Roman"/>
          <w:sz w:val="20"/>
        </w:rPr>
      </w:pPr>
      <w:r>
        <w:rPr>
          <w:rFonts w:ascii="Times New Roman" w:hAnsi="Times New Roman"/>
          <w:sz w:val="20"/>
        </w:rPr>
        <w:t>Hal tersebut dapat</w:t>
      </w:r>
      <w:r w:rsidR="00E46C9B" w:rsidRPr="00E46C9B">
        <w:rPr>
          <w:rFonts w:ascii="Times New Roman" w:hAnsi="Times New Roman"/>
          <w:sz w:val="20"/>
        </w:rPr>
        <w:t xml:space="preserve"> memperoleh popularitas yang meningkat sebagai alat manajemen yang efektif karena menggeser fokus sistem pengukuran kinerja dari pengukuran berbasis keuangan jangka pendek ke ukuran pelanggan-sentris jangka panjang. BSC mengukur kinerja melalui indikator Keuangan, Pelanggan, Proses Bisnis Internal, dan Indikator Pembelajaran dan Pertumbuhan multi-level yang terintegrasi, yang disesuaikan untuk penggunaan masing-masing perusahaan. Banyak penelitian secara empiris menguji hubungan antara menggunakan BSC dan peningkatan kinerja di sektor jasa (terutama bank) dan menyarankan bahwa tindakan non-keuangan sama pentingnya dengan langkah-langkah keuangan untuk menggambarkan gambaran yang seimbang untuk kinerja saat ini dan kinerja masa depan. Oleh karena itu, karena pentingnya penerapan BSC dalam industri perbankan, kami mengukur kinerja bank menggunakan indeks kinerja berbasis BSC multidimensi. Kami menggunakan analisis faktor pokok komponen untuk membuat indeks kinerja yang terdiri dari empat kategori utama BSC</w:t>
      </w:r>
      <w:r>
        <w:rPr>
          <w:rFonts w:ascii="Times New Roman" w:hAnsi="Times New Roman"/>
          <w:sz w:val="20"/>
        </w:rPr>
        <w:t xml:space="preserve"> </w:t>
      </w:r>
      <w:r w:rsidR="00E46C9B" w:rsidRPr="00E46C9B">
        <w:rPr>
          <w:rFonts w:ascii="Times New Roman" w:hAnsi="Times New Roman"/>
          <w:sz w:val="20"/>
        </w:rPr>
        <w:t>: keuangan, pelanggan, proses bisnis internal, dan pembelajaran dan pertumbuhan (Elbannan &amp; Elbannan, 2014).</w:t>
      </w:r>
    </w:p>
    <w:p w:rsidR="00104502" w:rsidRDefault="00104502" w:rsidP="009B7840">
      <w:pPr>
        <w:pStyle w:val="Title"/>
        <w:ind w:firstLine="576"/>
        <w:jc w:val="both"/>
        <w:rPr>
          <w:rFonts w:ascii="Times New Roman" w:hAnsi="Times New Roman"/>
          <w:sz w:val="20"/>
        </w:rPr>
      </w:pPr>
    </w:p>
    <w:p w:rsidR="00F56DA2" w:rsidRPr="00E46C9B" w:rsidRDefault="00C030B9" w:rsidP="00DF60CF">
      <w:pPr>
        <w:pStyle w:val="Heading1"/>
        <w:spacing w:before="0"/>
        <w:rPr>
          <w:i/>
        </w:rPr>
      </w:pPr>
      <w:r w:rsidRPr="00E46C9B">
        <w:rPr>
          <w:i/>
          <w:lang w:val="en-ID"/>
        </w:rPr>
        <w:t xml:space="preserve">Research </w:t>
      </w:r>
      <w:r w:rsidRPr="00E46C9B">
        <w:rPr>
          <w:i/>
          <w:lang w:val="en-US"/>
        </w:rPr>
        <w:t>Method</w:t>
      </w:r>
    </w:p>
    <w:p w:rsidR="00F56DA2" w:rsidRDefault="00F56DA2" w:rsidP="00DF60CF">
      <w:pPr>
        <w:pStyle w:val="Title"/>
        <w:jc w:val="both"/>
        <w:rPr>
          <w:rFonts w:ascii="Times New Roman" w:hAnsi="Times New Roman"/>
          <w:b/>
          <w:i/>
          <w:sz w:val="20"/>
        </w:rPr>
      </w:pPr>
    </w:p>
    <w:p w:rsidR="002E1EF6" w:rsidRPr="001A32BD" w:rsidRDefault="002E1EF6" w:rsidP="002E1EF6">
      <w:pPr>
        <w:pStyle w:val="Heading2"/>
        <w:spacing w:before="0" w:after="0"/>
        <w:rPr>
          <w:lang w:val="id-ID"/>
        </w:rPr>
      </w:pPr>
      <w:r>
        <w:rPr>
          <w:lang w:val="en-US"/>
        </w:rPr>
        <w:t>Objek Penelitian</w:t>
      </w:r>
    </w:p>
    <w:p w:rsidR="00E46C9B" w:rsidRDefault="001405FE" w:rsidP="00E46C9B">
      <w:pPr>
        <w:spacing w:before="0" w:after="0"/>
        <w:rPr>
          <w:bCs/>
        </w:rPr>
      </w:pPr>
      <w:r w:rsidRPr="001405FE">
        <w:rPr>
          <w:bCs/>
        </w:rPr>
        <w:t xml:space="preserve">Objek yang akan dijadikan responden dalam penelitian ini adalah para pegawai di seluruh kantor cabang </w:t>
      </w:r>
      <w:r>
        <w:rPr>
          <w:bCs/>
        </w:rPr>
        <w:t xml:space="preserve">bank </w:t>
      </w:r>
      <w:r w:rsidRPr="001405FE">
        <w:rPr>
          <w:b/>
          <w:bCs/>
        </w:rPr>
        <w:t>bjb</w:t>
      </w:r>
      <w:r>
        <w:rPr>
          <w:bCs/>
        </w:rPr>
        <w:t>.</w:t>
      </w:r>
      <w:r w:rsidRPr="001405FE">
        <w:rPr>
          <w:bCs/>
        </w:rPr>
        <w:t xml:space="preserve"> Penelitian ini dilakukan pada jangka waktu penelitian kurang dari satu tahun, maka metode penelitian yang digunakan adalah cross sectional method Pengumpulan informasi dari subjek penelitian hanya dilakukan satu kali dalam satu periode waktu, sehingga penelitian ini merupakan </w:t>
      </w:r>
      <w:r w:rsidRPr="00E46C9B">
        <w:rPr>
          <w:bCs/>
          <w:i/>
        </w:rPr>
        <w:t>one-shot</w:t>
      </w:r>
      <w:r w:rsidRPr="001405FE">
        <w:rPr>
          <w:bCs/>
        </w:rPr>
        <w:t xml:space="preserve"> atau </w:t>
      </w:r>
      <w:r w:rsidRPr="00E46C9B">
        <w:rPr>
          <w:bCs/>
          <w:i/>
        </w:rPr>
        <w:t>cross sectional</w:t>
      </w:r>
      <w:r w:rsidRPr="001405FE">
        <w:rPr>
          <w:bCs/>
        </w:rPr>
        <w:t xml:space="preserve">. </w:t>
      </w:r>
    </w:p>
    <w:p w:rsidR="002E1EF6" w:rsidRDefault="002E1EF6" w:rsidP="001405FE">
      <w:pPr>
        <w:spacing w:before="0" w:after="0"/>
        <w:rPr>
          <w:bCs/>
        </w:rPr>
      </w:pPr>
    </w:p>
    <w:p w:rsidR="002E1EF6" w:rsidRPr="001A32BD" w:rsidRDefault="002E1EF6" w:rsidP="002E1EF6">
      <w:pPr>
        <w:pStyle w:val="Heading2"/>
        <w:spacing w:before="0" w:after="0"/>
        <w:rPr>
          <w:lang w:val="id-ID"/>
        </w:rPr>
      </w:pPr>
      <w:r>
        <w:rPr>
          <w:lang w:val="en-US"/>
        </w:rPr>
        <w:t>Jenis Penelitian</w:t>
      </w:r>
    </w:p>
    <w:p w:rsidR="00C030B9" w:rsidRPr="001405FE" w:rsidRDefault="001405FE" w:rsidP="001405FE">
      <w:pPr>
        <w:spacing w:before="0" w:after="0"/>
      </w:pPr>
      <w:r w:rsidRPr="001405FE">
        <w:rPr>
          <w:bCs/>
        </w:rPr>
        <w:t>Berdasarkan tingkat penjelasan dan bidang penelitian, maka jenis penelitian ini adalah penelitian deskriptif dan verifikatif. Metode penelitian yang digunakan ad</w:t>
      </w:r>
      <w:r w:rsidR="009A0E7A">
        <w:rPr>
          <w:bCs/>
        </w:rPr>
        <w:t xml:space="preserve">alah metode explanatory survey yang </w:t>
      </w:r>
      <w:r w:rsidRPr="001405FE">
        <w:rPr>
          <w:bCs/>
        </w:rPr>
        <w:t>dilakukan untuk mengeksplorasi situasi masalah</w:t>
      </w:r>
      <w:r w:rsidR="009A0E7A">
        <w:rPr>
          <w:bCs/>
        </w:rPr>
        <w:t xml:space="preserve"> dan</w:t>
      </w:r>
      <w:r w:rsidRPr="001405FE">
        <w:rPr>
          <w:bCs/>
        </w:rPr>
        <w:t xml:space="preserve"> mendapatkan </w:t>
      </w:r>
      <w:r w:rsidRPr="001405FE">
        <w:rPr>
          <w:bCs/>
        </w:rPr>
        <w:lastRenderedPageBreak/>
        <w:t xml:space="preserve">ide-ide </w:t>
      </w:r>
      <w:r w:rsidR="009A0E7A">
        <w:rPr>
          <w:bCs/>
        </w:rPr>
        <w:t>serta</w:t>
      </w:r>
      <w:r w:rsidRPr="001405FE">
        <w:rPr>
          <w:bCs/>
        </w:rPr>
        <w:t xml:space="preserve"> wawasan kedalam masalah yang dihadapi manajemen atau para peneliti tersebut (Maholtra, 2010).</w:t>
      </w:r>
    </w:p>
    <w:p w:rsidR="000657A6" w:rsidRDefault="000657A6" w:rsidP="00C030B9">
      <w:pPr>
        <w:pStyle w:val="Title"/>
        <w:jc w:val="both"/>
        <w:rPr>
          <w:rFonts w:ascii="Times New Roman" w:hAnsi="Times New Roman"/>
          <w:bCs/>
          <w:sz w:val="20"/>
        </w:rPr>
      </w:pPr>
    </w:p>
    <w:p w:rsidR="002E1EF6" w:rsidRPr="002E1EF6" w:rsidRDefault="002E1EF6" w:rsidP="002E1EF6">
      <w:pPr>
        <w:pStyle w:val="Heading2"/>
        <w:spacing w:before="0" w:after="0"/>
        <w:rPr>
          <w:lang w:val="en-US"/>
        </w:rPr>
      </w:pPr>
      <w:r>
        <w:rPr>
          <w:lang w:val="en-US"/>
        </w:rPr>
        <w:t>Jenis &amp; Sumber Data</w:t>
      </w:r>
    </w:p>
    <w:p w:rsidR="002E1EF6" w:rsidRDefault="002E1EF6" w:rsidP="002E1EF6">
      <w:pPr>
        <w:pStyle w:val="Title"/>
        <w:ind w:firstLine="576"/>
        <w:jc w:val="both"/>
        <w:rPr>
          <w:rFonts w:ascii="Times New Roman" w:hAnsi="Times New Roman"/>
          <w:bCs/>
          <w:sz w:val="20"/>
        </w:rPr>
      </w:pPr>
      <w:r w:rsidRPr="002E1EF6">
        <w:rPr>
          <w:rFonts w:ascii="Times New Roman" w:hAnsi="Times New Roman"/>
          <w:bCs/>
          <w:sz w:val="20"/>
        </w:rPr>
        <w:t>Data merupakan hal yang paling penting dalam melakukan penelitian. Berdasarkan sumbernya, data dibedakan menjadi dua yaitu</w:t>
      </w:r>
      <w:r w:rsidR="009A0E7A">
        <w:rPr>
          <w:rFonts w:ascii="Times New Roman" w:hAnsi="Times New Roman"/>
          <w:bCs/>
          <w:sz w:val="20"/>
        </w:rPr>
        <w:t xml:space="preserve"> data primer dan data sekunder </w:t>
      </w:r>
      <w:r w:rsidRPr="002E1EF6">
        <w:rPr>
          <w:rFonts w:ascii="Times New Roman" w:hAnsi="Times New Roman"/>
          <w:bCs/>
          <w:sz w:val="20"/>
        </w:rPr>
        <w:t>(Sugiyono,</w:t>
      </w:r>
      <w:r w:rsidR="009A0E7A">
        <w:rPr>
          <w:rFonts w:ascii="Times New Roman" w:hAnsi="Times New Roman"/>
          <w:bCs/>
          <w:sz w:val="20"/>
        </w:rPr>
        <w:t xml:space="preserve"> </w:t>
      </w:r>
      <w:r w:rsidRPr="002E1EF6">
        <w:rPr>
          <w:rFonts w:ascii="Times New Roman" w:hAnsi="Times New Roman"/>
          <w:bCs/>
          <w:sz w:val="20"/>
        </w:rPr>
        <w:t>2017). Sumber data yang digunakan dalam penelitian telah disajikan dalam Tabel 2 berikut.</w:t>
      </w:r>
    </w:p>
    <w:p w:rsidR="00FE4A7A" w:rsidRDefault="00FE4A7A" w:rsidP="00FE4A7A">
      <w:pPr>
        <w:pStyle w:val="Title"/>
        <w:jc w:val="both"/>
        <w:rPr>
          <w:rFonts w:ascii="Times New Roman" w:hAnsi="Times New Roman"/>
          <w:bCs/>
          <w:sz w:val="20"/>
        </w:rPr>
      </w:pPr>
    </w:p>
    <w:p w:rsidR="00097558" w:rsidRDefault="00097558" w:rsidP="00097558">
      <w:pPr>
        <w:spacing w:before="0" w:after="0"/>
        <w:ind w:firstLine="0"/>
        <w:rPr>
          <w:bCs/>
          <w:szCs w:val="20"/>
          <w:lang w:val="en-ID"/>
        </w:rPr>
      </w:pPr>
      <w:r>
        <w:rPr>
          <w:bCs/>
          <w:szCs w:val="20"/>
          <w:lang w:val="en-ID"/>
        </w:rPr>
        <w:t xml:space="preserve">Tabel 2. </w:t>
      </w:r>
      <w:r w:rsidRPr="00097558">
        <w:rPr>
          <w:bCs/>
          <w:szCs w:val="20"/>
          <w:lang w:val="en-ID"/>
        </w:rPr>
        <w:t>Jenis dan Sumber Data</w:t>
      </w:r>
    </w:p>
    <w:tbl>
      <w:tblPr>
        <w:tblStyle w:val="TableGrid"/>
        <w:tblW w:w="41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2015"/>
        <w:gridCol w:w="854"/>
        <w:gridCol w:w="759"/>
      </w:tblGrid>
      <w:tr w:rsidR="00097558" w:rsidRPr="00CE239F" w:rsidTr="004978F9">
        <w:tc>
          <w:tcPr>
            <w:tcW w:w="537" w:type="dxa"/>
            <w:tcBorders>
              <w:top w:val="single" w:sz="4" w:space="0" w:color="auto"/>
              <w:bottom w:val="single" w:sz="4" w:space="0" w:color="auto"/>
            </w:tcBorders>
          </w:tcPr>
          <w:p w:rsidR="00097558" w:rsidRPr="00CE239F" w:rsidRDefault="00097558" w:rsidP="001F6B98">
            <w:pPr>
              <w:spacing w:before="0" w:after="0"/>
              <w:ind w:firstLine="0"/>
              <w:jc w:val="center"/>
              <w:rPr>
                <w:b/>
                <w:iCs/>
                <w:sz w:val="16"/>
                <w:szCs w:val="20"/>
                <w:lang w:val="en-ID"/>
              </w:rPr>
            </w:pPr>
            <w:r w:rsidRPr="00CE239F">
              <w:rPr>
                <w:b/>
                <w:iCs/>
                <w:sz w:val="16"/>
                <w:szCs w:val="20"/>
                <w:lang w:val="en-ID"/>
              </w:rPr>
              <w:t>No</w:t>
            </w:r>
          </w:p>
        </w:tc>
        <w:tc>
          <w:tcPr>
            <w:tcW w:w="2015" w:type="dxa"/>
            <w:tcBorders>
              <w:top w:val="single" w:sz="4" w:space="0" w:color="auto"/>
              <w:bottom w:val="single" w:sz="4" w:space="0" w:color="auto"/>
            </w:tcBorders>
          </w:tcPr>
          <w:p w:rsidR="00097558" w:rsidRPr="00CE239F" w:rsidRDefault="00097558" w:rsidP="001F6B98">
            <w:pPr>
              <w:spacing w:before="0" w:after="0"/>
              <w:ind w:firstLine="0"/>
              <w:jc w:val="center"/>
              <w:rPr>
                <w:b/>
                <w:iCs/>
                <w:sz w:val="16"/>
                <w:szCs w:val="20"/>
                <w:lang w:val="en-ID"/>
              </w:rPr>
            </w:pPr>
            <w:r w:rsidRPr="00CE239F">
              <w:rPr>
                <w:b/>
                <w:iCs/>
                <w:sz w:val="16"/>
                <w:szCs w:val="20"/>
                <w:lang w:val="en-ID"/>
              </w:rPr>
              <w:t>Data</w:t>
            </w:r>
          </w:p>
        </w:tc>
        <w:tc>
          <w:tcPr>
            <w:tcW w:w="854" w:type="dxa"/>
            <w:tcBorders>
              <w:top w:val="single" w:sz="4" w:space="0" w:color="auto"/>
              <w:bottom w:val="single" w:sz="4" w:space="0" w:color="auto"/>
            </w:tcBorders>
          </w:tcPr>
          <w:p w:rsidR="00097558" w:rsidRPr="00CE239F" w:rsidRDefault="00097558" w:rsidP="001F6B98">
            <w:pPr>
              <w:spacing w:before="0" w:after="0"/>
              <w:ind w:firstLine="0"/>
              <w:jc w:val="center"/>
              <w:rPr>
                <w:b/>
                <w:iCs/>
                <w:sz w:val="16"/>
                <w:szCs w:val="20"/>
                <w:lang w:val="en-ID"/>
              </w:rPr>
            </w:pPr>
            <w:r w:rsidRPr="00CE239F">
              <w:rPr>
                <w:b/>
                <w:iCs/>
                <w:sz w:val="16"/>
                <w:szCs w:val="20"/>
                <w:lang w:val="en-ID"/>
              </w:rPr>
              <w:t>Jenis Data</w:t>
            </w:r>
          </w:p>
        </w:tc>
        <w:tc>
          <w:tcPr>
            <w:tcW w:w="759" w:type="dxa"/>
            <w:tcBorders>
              <w:top w:val="single" w:sz="4" w:space="0" w:color="auto"/>
              <w:bottom w:val="single" w:sz="4" w:space="0" w:color="auto"/>
            </w:tcBorders>
          </w:tcPr>
          <w:p w:rsidR="00097558" w:rsidRPr="00CE239F" w:rsidRDefault="00097558" w:rsidP="001F6B98">
            <w:pPr>
              <w:spacing w:before="0" w:after="0"/>
              <w:ind w:firstLine="0"/>
              <w:jc w:val="center"/>
              <w:rPr>
                <w:b/>
                <w:iCs/>
                <w:sz w:val="16"/>
                <w:szCs w:val="20"/>
                <w:lang w:val="en-ID"/>
              </w:rPr>
            </w:pPr>
            <w:r w:rsidRPr="00CE239F">
              <w:rPr>
                <w:b/>
                <w:iCs/>
                <w:sz w:val="16"/>
                <w:szCs w:val="20"/>
                <w:lang w:val="en-ID"/>
              </w:rPr>
              <w:t>Sumber Data</w:t>
            </w:r>
          </w:p>
        </w:tc>
      </w:tr>
      <w:tr w:rsidR="00097558" w:rsidRPr="00CE239F" w:rsidTr="004978F9">
        <w:tc>
          <w:tcPr>
            <w:tcW w:w="537" w:type="dxa"/>
            <w:tcBorders>
              <w:top w:val="single" w:sz="4" w:space="0" w:color="auto"/>
            </w:tcBorders>
          </w:tcPr>
          <w:p w:rsidR="00097558" w:rsidRPr="00CE239F" w:rsidRDefault="00097558" w:rsidP="001F6B98">
            <w:pPr>
              <w:spacing w:before="0" w:after="0"/>
              <w:ind w:firstLine="0"/>
              <w:jc w:val="center"/>
              <w:rPr>
                <w:iCs/>
                <w:sz w:val="16"/>
                <w:szCs w:val="20"/>
                <w:lang w:val="en-ID"/>
              </w:rPr>
            </w:pPr>
            <w:r w:rsidRPr="00CE239F">
              <w:rPr>
                <w:iCs/>
                <w:sz w:val="16"/>
                <w:szCs w:val="20"/>
                <w:lang w:val="en-ID"/>
              </w:rPr>
              <w:t>1</w:t>
            </w:r>
          </w:p>
        </w:tc>
        <w:tc>
          <w:tcPr>
            <w:tcW w:w="2015" w:type="dxa"/>
            <w:tcBorders>
              <w:top w:val="single" w:sz="4" w:space="0" w:color="auto"/>
            </w:tcBorders>
          </w:tcPr>
          <w:p w:rsidR="00097558" w:rsidRPr="00CE239F" w:rsidRDefault="00097558" w:rsidP="001F6B98">
            <w:pPr>
              <w:spacing w:before="0" w:after="0"/>
              <w:ind w:firstLine="0"/>
              <w:rPr>
                <w:iCs/>
                <w:sz w:val="16"/>
                <w:szCs w:val="20"/>
                <w:lang w:val="en-ID"/>
              </w:rPr>
            </w:pPr>
            <w:r w:rsidRPr="00CE239F">
              <w:rPr>
                <w:sz w:val="16"/>
                <w:szCs w:val="20"/>
              </w:rPr>
              <w:t>Kinerja &amp; Rasio Keuangan Perbankan Nasional Tahun 2013 – 2017</w:t>
            </w:r>
          </w:p>
        </w:tc>
        <w:tc>
          <w:tcPr>
            <w:tcW w:w="854" w:type="dxa"/>
            <w:tcBorders>
              <w:top w:val="single" w:sz="4" w:space="0" w:color="auto"/>
            </w:tcBorders>
          </w:tcPr>
          <w:p w:rsidR="00097558" w:rsidRPr="00CE239F" w:rsidRDefault="00097558" w:rsidP="001F6B98">
            <w:pPr>
              <w:spacing w:before="0" w:after="0"/>
              <w:ind w:firstLine="0"/>
              <w:rPr>
                <w:iCs/>
                <w:sz w:val="16"/>
                <w:szCs w:val="20"/>
                <w:lang w:val="en-ID"/>
              </w:rPr>
            </w:pPr>
            <w:r w:rsidRPr="00CE239F">
              <w:rPr>
                <w:iCs/>
                <w:sz w:val="16"/>
                <w:szCs w:val="20"/>
                <w:lang w:val="en-ID"/>
              </w:rPr>
              <w:t>Sekunder</w:t>
            </w:r>
          </w:p>
        </w:tc>
        <w:tc>
          <w:tcPr>
            <w:tcW w:w="759" w:type="dxa"/>
            <w:tcBorders>
              <w:top w:val="single" w:sz="4" w:space="0" w:color="auto"/>
            </w:tcBorders>
          </w:tcPr>
          <w:p w:rsidR="00097558" w:rsidRPr="00CE239F" w:rsidRDefault="00097558" w:rsidP="001F6B98">
            <w:pPr>
              <w:spacing w:before="0" w:after="0"/>
              <w:ind w:firstLine="0"/>
              <w:rPr>
                <w:iCs/>
                <w:sz w:val="16"/>
                <w:szCs w:val="20"/>
                <w:lang w:val="en-ID"/>
              </w:rPr>
            </w:pPr>
            <w:r w:rsidRPr="00CE239F">
              <w:rPr>
                <w:iCs/>
                <w:sz w:val="16"/>
                <w:szCs w:val="20"/>
                <w:lang w:val="en-ID"/>
              </w:rPr>
              <w:t>OJK, 2018</w:t>
            </w:r>
          </w:p>
        </w:tc>
      </w:tr>
      <w:tr w:rsidR="00097558" w:rsidRPr="00CE239F" w:rsidTr="004978F9">
        <w:tc>
          <w:tcPr>
            <w:tcW w:w="537" w:type="dxa"/>
          </w:tcPr>
          <w:p w:rsidR="00097558" w:rsidRPr="00CE239F" w:rsidRDefault="00097558" w:rsidP="001F6B98">
            <w:pPr>
              <w:spacing w:before="0" w:after="0"/>
              <w:ind w:firstLine="0"/>
              <w:jc w:val="center"/>
              <w:rPr>
                <w:iCs/>
                <w:sz w:val="16"/>
                <w:szCs w:val="20"/>
                <w:lang w:val="en-ID"/>
              </w:rPr>
            </w:pPr>
            <w:r w:rsidRPr="00CE239F">
              <w:rPr>
                <w:iCs/>
                <w:sz w:val="16"/>
                <w:szCs w:val="20"/>
                <w:lang w:val="en-ID"/>
              </w:rPr>
              <w:t>2</w:t>
            </w:r>
          </w:p>
        </w:tc>
        <w:tc>
          <w:tcPr>
            <w:tcW w:w="2015" w:type="dxa"/>
          </w:tcPr>
          <w:p w:rsidR="00097558" w:rsidRPr="00CE239F" w:rsidRDefault="00097558" w:rsidP="001F6B98">
            <w:pPr>
              <w:spacing w:before="0" w:after="0"/>
              <w:ind w:firstLine="0"/>
              <w:rPr>
                <w:sz w:val="16"/>
                <w:szCs w:val="20"/>
              </w:rPr>
            </w:pPr>
            <w:r w:rsidRPr="00CE239F">
              <w:rPr>
                <w:sz w:val="16"/>
                <w:szCs w:val="20"/>
              </w:rPr>
              <w:t>Index Kinerja Kantor Cabang Tahun 2012 - 2017</w:t>
            </w:r>
          </w:p>
        </w:tc>
        <w:tc>
          <w:tcPr>
            <w:tcW w:w="854" w:type="dxa"/>
          </w:tcPr>
          <w:p w:rsidR="00097558" w:rsidRPr="00CE239F" w:rsidRDefault="00097558" w:rsidP="001F6B98">
            <w:pPr>
              <w:spacing w:before="0" w:after="0"/>
              <w:ind w:firstLine="0"/>
              <w:rPr>
                <w:iCs/>
                <w:sz w:val="16"/>
                <w:szCs w:val="20"/>
                <w:lang w:val="en-ID"/>
              </w:rPr>
            </w:pPr>
            <w:r w:rsidRPr="00CE239F">
              <w:rPr>
                <w:iCs/>
                <w:sz w:val="16"/>
                <w:szCs w:val="20"/>
                <w:lang w:val="en-ID"/>
              </w:rPr>
              <w:t>Primer</w:t>
            </w:r>
          </w:p>
        </w:tc>
        <w:tc>
          <w:tcPr>
            <w:tcW w:w="759" w:type="dxa"/>
          </w:tcPr>
          <w:p w:rsidR="00CE239F" w:rsidRPr="00CE239F" w:rsidRDefault="00097558" w:rsidP="001F6B98">
            <w:pPr>
              <w:spacing w:before="0" w:after="0"/>
              <w:ind w:firstLine="0"/>
              <w:rPr>
                <w:b/>
                <w:iCs/>
                <w:sz w:val="16"/>
                <w:szCs w:val="20"/>
                <w:lang w:val="en-ID"/>
              </w:rPr>
            </w:pPr>
            <w:r w:rsidRPr="00CE239F">
              <w:rPr>
                <w:iCs/>
                <w:sz w:val="16"/>
                <w:szCs w:val="20"/>
                <w:lang w:val="en-ID"/>
              </w:rPr>
              <w:t xml:space="preserve">bank </w:t>
            </w:r>
            <w:r w:rsidRPr="00CE239F">
              <w:rPr>
                <w:b/>
                <w:iCs/>
                <w:sz w:val="16"/>
                <w:szCs w:val="20"/>
                <w:lang w:val="en-ID"/>
              </w:rPr>
              <w:t>bjb</w:t>
            </w:r>
          </w:p>
        </w:tc>
      </w:tr>
      <w:tr w:rsidR="00097558" w:rsidRPr="00CE239F" w:rsidTr="004978F9">
        <w:tc>
          <w:tcPr>
            <w:tcW w:w="537" w:type="dxa"/>
          </w:tcPr>
          <w:p w:rsidR="00097558" w:rsidRPr="00CE239F" w:rsidRDefault="00097558" w:rsidP="001F6B98">
            <w:pPr>
              <w:spacing w:before="0" w:after="0"/>
              <w:ind w:firstLine="0"/>
              <w:jc w:val="center"/>
              <w:rPr>
                <w:iCs/>
                <w:sz w:val="16"/>
                <w:szCs w:val="20"/>
                <w:lang w:val="en-ID"/>
              </w:rPr>
            </w:pPr>
            <w:r w:rsidRPr="00CE239F">
              <w:rPr>
                <w:iCs/>
                <w:sz w:val="16"/>
                <w:szCs w:val="20"/>
                <w:lang w:val="en-ID"/>
              </w:rPr>
              <w:t>3</w:t>
            </w:r>
          </w:p>
        </w:tc>
        <w:tc>
          <w:tcPr>
            <w:tcW w:w="2015" w:type="dxa"/>
          </w:tcPr>
          <w:p w:rsidR="00097558" w:rsidRPr="00CE239F" w:rsidRDefault="00097558" w:rsidP="001F6B98">
            <w:pPr>
              <w:spacing w:before="0" w:after="0"/>
              <w:ind w:firstLine="0"/>
              <w:rPr>
                <w:sz w:val="16"/>
                <w:szCs w:val="20"/>
              </w:rPr>
            </w:pPr>
            <w:r w:rsidRPr="00CE239F">
              <w:rPr>
                <w:sz w:val="16"/>
                <w:szCs w:val="20"/>
              </w:rPr>
              <w:t>Perbandingan Rata-Rata Peringkat GCG Masing-Masing Bank Terhadap BUKU 3 &amp; Standar Industri</w:t>
            </w:r>
          </w:p>
        </w:tc>
        <w:tc>
          <w:tcPr>
            <w:tcW w:w="854" w:type="dxa"/>
          </w:tcPr>
          <w:p w:rsidR="00097558" w:rsidRPr="00CE239F" w:rsidRDefault="00097558" w:rsidP="001F6B98">
            <w:pPr>
              <w:spacing w:before="0" w:after="0"/>
              <w:ind w:firstLine="0"/>
              <w:rPr>
                <w:iCs/>
                <w:sz w:val="16"/>
                <w:szCs w:val="20"/>
                <w:lang w:val="en-ID"/>
              </w:rPr>
            </w:pPr>
            <w:r w:rsidRPr="00CE239F">
              <w:rPr>
                <w:iCs/>
                <w:sz w:val="16"/>
                <w:szCs w:val="20"/>
                <w:lang w:val="en-ID"/>
              </w:rPr>
              <w:t>Sekunder</w:t>
            </w:r>
          </w:p>
        </w:tc>
        <w:tc>
          <w:tcPr>
            <w:tcW w:w="759" w:type="dxa"/>
          </w:tcPr>
          <w:p w:rsidR="00097558" w:rsidRPr="00CE239F" w:rsidRDefault="00097558" w:rsidP="001F6B98">
            <w:pPr>
              <w:spacing w:before="0" w:after="0"/>
              <w:ind w:firstLine="0"/>
              <w:rPr>
                <w:iCs/>
                <w:sz w:val="16"/>
                <w:szCs w:val="20"/>
                <w:lang w:val="en-ID"/>
              </w:rPr>
            </w:pPr>
            <w:r w:rsidRPr="00CE239F">
              <w:rPr>
                <w:iCs/>
                <w:sz w:val="16"/>
                <w:szCs w:val="20"/>
                <w:lang w:val="en-ID"/>
              </w:rPr>
              <w:t>LPPI, 2018</w:t>
            </w:r>
          </w:p>
        </w:tc>
      </w:tr>
      <w:tr w:rsidR="00097558" w:rsidRPr="00CE239F" w:rsidTr="004978F9">
        <w:tc>
          <w:tcPr>
            <w:tcW w:w="537" w:type="dxa"/>
          </w:tcPr>
          <w:p w:rsidR="00097558" w:rsidRPr="00CE239F" w:rsidRDefault="00097558" w:rsidP="00097558">
            <w:pPr>
              <w:spacing w:before="0" w:after="0"/>
              <w:ind w:firstLine="0"/>
              <w:jc w:val="center"/>
              <w:rPr>
                <w:iCs/>
                <w:sz w:val="16"/>
                <w:szCs w:val="20"/>
                <w:lang w:val="en-ID"/>
              </w:rPr>
            </w:pPr>
            <w:r w:rsidRPr="00CE239F">
              <w:rPr>
                <w:iCs/>
                <w:sz w:val="16"/>
                <w:szCs w:val="20"/>
                <w:lang w:val="en-ID"/>
              </w:rPr>
              <w:t>4</w:t>
            </w:r>
          </w:p>
        </w:tc>
        <w:tc>
          <w:tcPr>
            <w:tcW w:w="2015" w:type="dxa"/>
          </w:tcPr>
          <w:p w:rsidR="00097558" w:rsidRPr="00CE239F" w:rsidRDefault="00097558" w:rsidP="00097558">
            <w:pPr>
              <w:spacing w:before="0" w:after="0"/>
              <w:ind w:firstLine="0"/>
              <w:rPr>
                <w:sz w:val="16"/>
                <w:szCs w:val="20"/>
              </w:rPr>
            </w:pPr>
            <w:r w:rsidRPr="00CE239F">
              <w:rPr>
                <w:i/>
                <w:sz w:val="16"/>
                <w:szCs w:val="20"/>
                <w:lang w:val="id-ID"/>
              </w:rPr>
              <w:t>Self Assessment GCG</w:t>
            </w:r>
          </w:p>
        </w:tc>
        <w:tc>
          <w:tcPr>
            <w:tcW w:w="854" w:type="dxa"/>
          </w:tcPr>
          <w:p w:rsidR="00097558" w:rsidRPr="00CE239F" w:rsidRDefault="00097558" w:rsidP="00097558">
            <w:pPr>
              <w:spacing w:before="0" w:after="0"/>
              <w:ind w:firstLine="0"/>
              <w:rPr>
                <w:iCs/>
                <w:sz w:val="16"/>
                <w:szCs w:val="20"/>
                <w:lang w:val="en-ID"/>
              </w:rPr>
            </w:pPr>
            <w:r w:rsidRPr="00CE239F">
              <w:rPr>
                <w:iCs/>
                <w:sz w:val="16"/>
                <w:szCs w:val="20"/>
                <w:lang w:val="en-ID"/>
              </w:rPr>
              <w:t>Primer</w:t>
            </w:r>
          </w:p>
        </w:tc>
        <w:tc>
          <w:tcPr>
            <w:tcW w:w="759" w:type="dxa"/>
          </w:tcPr>
          <w:p w:rsidR="00097558" w:rsidRPr="00CE239F" w:rsidRDefault="00097558" w:rsidP="00097558">
            <w:pPr>
              <w:spacing w:before="0" w:after="0"/>
              <w:ind w:firstLine="0"/>
              <w:rPr>
                <w:iCs/>
                <w:sz w:val="16"/>
                <w:szCs w:val="20"/>
                <w:lang w:val="en-ID"/>
              </w:rPr>
            </w:pPr>
            <w:r w:rsidRPr="00CE239F">
              <w:rPr>
                <w:iCs/>
                <w:sz w:val="16"/>
                <w:szCs w:val="20"/>
                <w:lang w:val="en-ID"/>
              </w:rPr>
              <w:t xml:space="preserve">bank </w:t>
            </w:r>
            <w:r w:rsidRPr="00CE239F">
              <w:rPr>
                <w:b/>
                <w:iCs/>
                <w:sz w:val="16"/>
                <w:szCs w:val="20"/>
                <w:lang w:val="en-ID"/>
              </w:rPr>
              <w:t>bjb</w:t>
            </w:r>
          </w:p>
        </w:tc>
      </w:tr>
      <w:tr w:rsidR="00097558" w:rsidRPr="00CE239F" w:rsidTr="004978F9">
        <w:tc>
          <w:tcPr>
            <w:tcW w:w="537" w:type="dxa"/>
            <w:tcBorders>
              <w:bottom w:val="single" w:sz="4" w:space="0" w:color="auto"/>
            </w:tcBorders>
          </w:tcPr>
          <w:p w:rsidR="00097558" w:rsidRPr="00CE239F" w:rsidRDefault="00097558" w:rsidP="00097558">
            <w:pPr>
              <w:spacing w:before="0" w:after="0"/>
              <w:ind w:firstLine="0"/>
              <w:jc w:val="center"/>
              <w:rPr>
                <w:iCs/>
                <w:sz w:val="16"/>
                <w:szCs w:val="20"/>
                <w:lang w:val="en-ID"/>
              </w:rPr>
            </w:pPr>
            <w:r w:rsidRPr="00CE239F">
              <w:rPr>
                <w:iCs/>
                <w:sz w:val="16"/>
                <w:szCs w:val="20"/>
                <w:lang w:val="en-ID"/>
              </w:rPr>
              <w:t>5</w:t>
            </w:r>
          </w:p>
        </w:tc>
        <w:tc>
          <w:tcPr>
            <w:tcW w:w="2015" w:type="dxa"/>
            <w:tcBorders>
              <w:bottom w:val="single" w:sz="4" w:space="0" w:color="auto"/>
            </w:tcBorders>
          </w:tcPr>
          <w:p w:rsidR="00097558" w:rsidRPr="00CE239F" w:rsidRDefault="00097558" w:rsidP="00097558">
            <w:pPr>
              <w:spacing w:before="0" w:after="0"/>
              <w:ind w:firstLine="0"/>
              <w:rPr>
                <w:sz w:val="16"/>
                <w:szCs w:val="20"/>
                <w:lang w:val="en-ID"/>
              </w:rPr>
            </w:pPr>
            <w:r w:rsidRPr="00CE239F">
              <w:rPr>
                <w:sz w:val="16"/>
                <w:szCs w:val="20"/>
                <w:lang w:val="en-ID"/>
              </w:rPr>
              <w:t>Kuisioner mengenai pengaruh GCG dan kinerja (BSC)</w:t>
            </w:r>
          </w:p>
        </w:tc>
        <w:tc>
          <w:tcPr>
            <w:tcW w:w="854" w:type="dxa"/>
            <w:tcBorders>
              <w:bottom w:val="single" w:sz="4" w:space="0" w:color="auto"/>
            </w:tcBorders>
          </w:tcPr>
          <w:p w:rsidR="00097558" w:rsidRPr="00CE239F" w:rsidRDefault="00097558" w:rsidP="00097558">
            <w:pPr>
              <w:spacing w:before="0" w:after="0"/>
              <w:ind w:firstLine="0"/>
              <w:rPr>
                <w:iCs/>
                <w:sz w:val="16"/>
                <w:szCs w:val="20"/>
                <w:lang w:val="en-ID"/>
              </w:rPr>
            </w:pPr>
            <w:r w:rsidRPr="00CE239F">
              <w:rPr>
                <w:iCs/>
                <w:sz w:val="16"/>
                <w:szCs w:val="20"/>
                <w:lang w:val="en-ID"/>
              </w:rPr>
              <w:t>Sekunder</w:t>
            </w:r>
          </w:p>
        </w:tc>
        <w:tc>
          <w:tcPr>
            <w:tcW w:w="759" w:type="dxa"/>
            <w:tcBorders>
              <w:bottom w:val="single" w:sz="4" w:space="0" w:color="auto"/>
            </w:tcBorders>
          </w:tcPr>
          <w:p w:rsidR="00097558" w:rsidRPr="00CE239F" w:rsidRDefault="00097558" w:rsidP="00097558">
            <w:pPr>
              <w:spacing w:before="0" w:after="0"/>
              <w:ind w:firstLine="0"/>
              <w:rPr>
                <w:iCs/>
                <w:sz w:val="16"/>
                <w:szCs w:val="20"/>
                <w:lang w:val="en-ID"/>
              </w:rPr>
            </w:pPr>
            <w:r w:rsidRPr="00CE239F">
              <w:rPr>
                <w:iCs/>
                <w:sz w:val="16"/>
                <w:szCs w:val="20"/>
                <w:lang w:val="en-ID"/>
              </w:rPr>
              <w:t>Survey Internal</w:t>
            </w:r>
          </w:p>
        </w:tc>
      </w:tr>
    </w:tbl>
    <w:p w:rsidR="002E1EF6" w:rsidRDefault="002E1EF6" w:rsidP="00C030B9">
      <w:pPr>
        <w:pStyle w:val="Title"/>
        <w:jc w:val="both"/>
        <w:rPr>
          <w:rFonts w:ascii="Times New Roman" w:hAnsi="Times New Roman"/>
          <w:bCs/>
          <w:sz w:val="20"/>
        </w:rPr>
      </w:pPr>
    </w:p>
    <w:p w:rsidR="008D7D64" w:rsidRPr="002E1EF6" w:rsidRDefault="008D7D64" w:rsidP="008D7D64">
      <w:pPr>
        <w:pStyle w:val="Heading2"/>
        <w:spacing w:before="0" w:after="0"/>
        <w:rPr>
          <w:lang w:val="en-US"/>
        </w:rPr>
      </w:pPr>
      <w:r>
        <w:rPr>
          <w:lang w:val="en-US"/>
        </w:rPr>
        <w:t>Populasi &amp; Sampel</w:t>
      </w:r>
    </w:p>
    <w:p w:rsidR="008D7D64" w:rsidRPr="008D7D64" w:rsidRDefault="008D7D64" w:rsidP="008D7D64">
      <w:pPr>
        <w:pStyle w:val="Title"/>
        <w:ind w:firstLine="576"/>
        <w:jc w:val="both"/>
        <w:rPr>
          <w:rFonts w:ascii="Times New Roman" w:hAnsi="Times New Roman"/>
          <w:bCs/>
          <w:sz w:val="20"/>
        </w:rPr>
      </w:pPr>
      <w:r w:rsidRPr="008D7D64">
        <w:rPr>
          <w:rFonts w:ascii="Times New Roman" w:hAnsi="Times New Roman"/>
          <w:bCs/>
          <w:sz w:val="20"/>
        </w:rPr>
        <w:t xml:space="preserve">Populasi yang diambil dalam penelitian ini adalah seluruh pimpinan cabang pada seluruh kantor cabang </w:t>
      </w:r>
      <w:r>
        <w:rPr>
          <w:rFonts w:ascii="Times New Roman" w:hAnsi="Times New Roman"/>
          <w:bCs/>
          <w:sz w:val="20"/>
        </w:rPr>
        <w:t xml:space="preserve">bank </w:t>
      </w:r>
      <w:r w:rsidRPr="008D7D64">
        <w:rPr>
          <w:rFonts w:ascii="Times New Roman" w:hAnsi="Times New Roman"/>
          <w:b/>
          <w:bCs/>
          <w:sz w:val="20"/>
        </w:rPr>
        <w:t>bjb</w:t>
      </w:r>
      <w:r>
        <w:rPr>
          <w:rFonts w:ascii="Times New Roman" w:hAnsi="Times New Roman"/>
          <w:bCs/>
          <w:sz w:val="20"/>
        </w:rPr>
        <w:t xml:space="preserve"> </w:t>
      </w:r>
      <w:r w:rsidRPr="008D7D64">
        <w:rPr>
          <w:rFonts w:ascii="Times New Roman" w:hAnsi="Times New Roman"/>
          <w:bCs/>
          <w:sz w:val="20"/>
        </w:rPr>
        <w:t xml:space="preserve">berjumlah sebanyak </w:t>
      </w:r>
      <w:r>
        <w:rPr>
          <w:rFonts w:ascii="Times New Roman" w:hAnsi="Times New Roman"/>
          <w:bCs/>
          <w:sz w:val="20"/>
        </w:rPr>
        <w:t>65 pegawai</w:t>
      </w:r>
      <w:r w:rsidRPr="008D7D64">
        <w:rPr>
          <w:rFonts w:ascii="Times New Roman" w:hAnsi="Times New Roman"/>
          <w:bCs/>
          <w:sz w:val="20"/>
        </w:rPr>
        <w:t>.</w:t>
      </w:r>
      <w:r>
        <w:rPr>
          <w:rFonts w:ascii="Times New Roman" w:hAnsi="Times New Roman"/>
          <w:bCs/>
          <w:sz w:val="20"/>
        </w:rPr>
        <w:t xml:space="preserve"> </w:t>
      </w:r>
      <w:r w:rsidRPr="008D7D64">
        <w:rPr>
          <w:rFonts w:ascii="Times New Roman" w:hAnsi="Times New Roman"/>
          <w:bCs/>
          <w:sz w:val="20"/>
        </w:rPr>
        <w:t xml:space="preserve">Adapun sampel yang digunakan dalam penelitian ini didapat dengan pengambilan sampel </w:t>
      </w:r>
      <w:r>
        <w:rPr>
          <w:rFonts w:ascii="Times New Roman" w:hAnsi="Times New Roman"/>
          <w:bCs/>
          <w:sz w:val="20"/>
        </w:rPr>
        <w:t xml:space="preserve">jenuh </w:t>
      </w:r>
      <w:r w:rsidRPr="008D7D64">
        <w:rPr>
          <w:rFonts w:ascii="Times New Roman" w:hAnsi="Times New Roman"/>
          <w:bCs/>
          <w:sz w:val="20"/>
        </w:rPr>
        <w:t xml:space="preserve">menggunakan teknik </w:t>
      </w:r>
      <w:r w:rsidRPr="008D7D64">
        <w:rPr>
          <w:rFonts w:ascii="Times New Roman" w:hAnsi="Times New Roman"/>
          <w:bCs/>
          <w:i/>
          <w:sz w:val="20"/>
        </w:rPr>
        <w:t>non-probability sampling</w:t>
      </w:r>
      <w:r>
        <w:rPr>
          <w:rFonts w:ascii="Times New Roman" w:hAnsi="Times New Roman"/>
          <w:bCs/>
          <w:sz w:val="20"/>
        </w:rPr>
        <w:t>.</w:t>
      </w:r>
    </w:p>
    <w:p w:rsidR="008D7D64" w:rsidRDefault="008D7D64" w:rsidP="00C030B9">
      <w:pPr>
        <w:pStyle w:val="Title"/>
        <w:jc w:val="both"/>
        <w:rPr>
          <w:rFonts w:ascii="Times New Roman" w:hAnsi="Times New Roman"/>
          <w:bCs/>
          <w:sz w:val="20"/>
        </w:rPr>
      </w:pPr>
    </w:p>
    <w:p w:rsidR="005B747F" w:rsidRPr="002E1EF6" w:rsidRDefault="005B747F" w:rsidP="005B747F">
      <w:pPr>
        <w:pStyle w:val="Heading2"/>
        <w:spacing w:before="0" w:after="0"/>
        <w:rPr>
          <w:lang w:val="en-US"/>
        </w:rPr>
      </w:pPr>
      <w:r>
        <w:rPr>
          <w:lang w:val="en-US"/>
        </w:rPr>
        <w:t>Pengujian</w:t>
      </w:r>
    </w:p>
    <w:p w:rsidR="005B747F" w:rsidRDefault="005B747F" w:rsidP="005B747F">
      <w:pPr>
        <w:pStyle w:val="Title"/>
        <w:ind w:firstLine="576"/>
        <w:jc w:val="both"/>
        <w:rPr>
          <w:rFonts w:ascii="Times New Roman" w:hAnsi="Times New Roman"/>
          <w:bCs/>
          <w:sz w:val="20"/>
        </w:rPr>
      </w:pPr>
      <w:r w:rsidRPr="005B747F">
        <w:rPr>
          <w:rFonts w:ascii="Times New Roman" w:hAnsi="Times New Roman"/>
          <w:bCs/>
          <w:sz w:val="20"/>
        </w:rPr>
        <w:t>Untuk mengetahui layak atau tidaknya instrumen pengumpulan data yang akan disebar, perlu dilakukan tahap pengujian berupa pengujian validitas dan reliabilitas. Pengujian validitas instrumen dilakukan untuk menjamin bahwa terdapat kesamaan antara data yang terkumpul dengan data yang sesungguhnya terjadi pada objek yang diteliti, sedangkan uji reliabilitas dilakukan untuk mendapatkan tingkat ketepatan alat pengumpulan data yang dilakukan. Uji validitas dan reliabilitas pada penelitian ini dilaksanakan dengan menggunakan alat bantu aplikasi SPSS.</w:t>
      </w:r>
    </w:p>
    <w:p w:rsidR="005B747F" w:rsidRDefault="005B747F" w:rsidP="005B747F">
      <w:pPr>
        <w:pStyle w:val="Title"/>
        <w:ind w:firstLine="576"/>
        <w:jc w:val="both"/>
        <w:rPr>
          <w:rFonts w:ascii="Times New Roman" w:hAnsi="Times New Roman"/>
          <w:bCs/>
          <w:sz w:val="20"/>
        </w:rPr>
      </w:pPr>
    </w:p>
    <w:p w:rsidR="005B747F" w:rsidRPr="002E1EF6" w:rsidRDefault="005B747F" w:rsidP="005B747F">
      <w:pPr>
        <w:pStyle w:val="Heading2"/>
        <w:spacing w:before="0" w:after="0"/>
        <w:rPr>
          <w:lang w:val="en-US"/>
        </w:rPr>
      </w:pPr>
      <w:r>
        <w:rPr>
          <w:lang w:val="en-US"/>
        </w:rPr>
        <w:t>Analisis Data</w:t>
      </w:r>
    </w:p>
    <w:p w:rsidR="005B747F" w:rsidRPr="005B747F" w:rsidRDefault="005B747F" w:rsidP="00FE4A7A">
      <w:pPr>
        <w:pStyle w:val="Title"/>
        <w:ind w:firstLine="576"/>
        <w:jc w:val="both"/>
        <w:rPr>
          <w:rFonts w:ascii="Times New Roman" w:hAnsi="Times New Roman"/>
          <w:bCs/>
          <w:sz w:val="20"/>
        </w:rPr>
      </w:pPr>
      <w:r w:rsidRPr="005B747F">
        <w:rPr>
          <w:rFonts w:ascii="Times New Roman" w:hAnsi="Times New Roman"/>
          <w:bCs/>
          <w:sz w:val="20"/>
        </w:rPr>
        <w:t xml:space="preserve">Teknik analisis data merupakan suatu cara untuk mengukur, mengolah dan menganalisis data dalam rangka pengujian hipotesis. Alat penelitian yang digunakan dalam penelitian ini adalah hasil pengolahan sumber data kuantitatif. Analisis verifikatif dipergunakan untuk menguji hipotesis dengan menggunakan uji statistik dan </w:t>
      </w:r>
      <w:r w:rsidRPr="005B747F">
        <w:rPr>
          <w:rFonts w:ascii="Times New Roman" w:hAnsi="Times New Roman"/>
          <w:bCs/>
          <w:sz w:val="20"/>
        </w:rPr>
        <w:lastRenderedPageBreak/>
        <w:t xml:space="preserve">menitikberatkan pada pengungkapan perilaku variabel penelitian. Pengujian hipotesis yang dilakukan melalui tahapan-tahapan uji asumsi klasik </w:t>
      </w:r>
      <w:r w:rsidR="00FE4A7A">
        <w:rPr>
          <w:rFonts w:ascii="Times New Roman" w:hAnsi="Times New Roman"/>
          <w:bCs/>
          <w:sz w:val="20"/>
        </w:rPr>
        <w:t xml:space="preserve">antara lain </w:t>
      </w:r>
      <w:r w:rsidRPr="005B747F">
        <w:rPr>
          <w:rFonts w:ascii="Times New Roman" w:hAnsi="Times New Roman"/>
          <w:bCs/>
          <w:sz w:val="20"/>
        </w:rPr>
        <w:t>Uji Multikolinearitas</w:t>
      </w:r>
      <w:r w:rsidR="00FE4A7A">
        <w:rPr>
          <w:rFonts w:ascii="Times New Roman" w:hAnsi="Times New Roman"/>
          <w:bCs/>
          <w:sz w:val="20"/>
        </w:rPr>
        <w:t xml:space="preserve">, </w:t>
      </w:r>
      <w:r w:rsidRPr="005B747F">
        <w:rPr>
          <w:rFonts w:ascii="Times New Roman" w:hAnsi="Times New Roman"/>
          <w:bCs/>
          <w:sz w:val="20"/>
        </w:rPr>
        <w:t xml:space="preserve">Uji </w:t>
      </w:r>
      <w:r w:rsidR="00FE4A7A">
        <w:rPr>
          <w:rFonts w:ascii="Times New Roman" w:hAnsi="Times New Roman"/>
          <w:bCs/>
          <w:sz w:val="20"/>
        </w:rPr>
        <w:t>H</w:t>
      </w:r>
      <w:r w:rsidRPr="005B747F">
        <w:rPr>
          <w:rFonts w:ascii="Times New Roman" w:hAnsi="Times New Roman"/>
          <w:bCs/>
          <w:sz w:val="20"/>
        </w:rPr>
        <w:t xml:space="preserve">eteroskedastisitas, Uji </w:t>
      </w:r>
      <w:r w:rsidR="00FE4A7A">
        <w:rPr>
          <w:rFonts w:ascii="Times New Roman" w:hAnsi="Times New Roman"/>
          <w:bCs/>
          <w:sz w:val="20"/>
        </w:rPr>
        <w:t>N</w:t>
      </w:r>
      <w:r w:rsidRPr="005B747F">
        <w:rPr>
          <w:rFonts w:ascii="Times New Roman" w:hAnsi="Times New Roman"/>
          <w:bCs/>
          <w:sz w:val="20"/>
        </w:rPr>
        <w:t>ormalitas</w:t>
      </w:r>
      <w:r w:rsidR="00FE4A7A">
        <w:rPr>
          <w:rFonts w:ascii="Times New Roman" w:hAnsi="Times New Roman"/>
          <w:bCs/>
          <w:sz w:val="20"/>
        </w:rPr>
        <w:t>,</w:t>
      </w:r>
      <w:r w:rsidRPr="005B747F">
        <w:rPr>
          <w:rFonts w:ascii="Times New Roman" w:hAnsi="Times New Roman"/>
          <w:bCs/>
          <w:sz w:val="20"/>
        </w:rPr>
        <w:t xml:space="preserve"> </w:t>
      </w:r>
      <w:r w:rsidR="00FE4A7A">
        <w:rPr>
          <w:rFonts w:ascii="Times New Roman" w:hAnsi="Times New Roman"/>
          <w:bCs/>
          <w:sz w:val="20"/>
        </w:rPr>
        <w:t xml:space="preserve">dan </w:t>
      </w:r>
      <w:r w:rsidRPr="005B747F">
        <w:rPr>
          <w:rFonts w:ascii="Times New Roman" w:hAnsi="Times New Roman"/>
          <w:bCs/>
          <w:sz w:val="20"/>
        </w:rPr>
        <w:t xml:space="preserve">Uji </w:t>
      </w:r>
      <w:r w:rsidR="00FE4A7A">
        <w:rPr>
          <w:rFonts w:ascii="Times New Roman" w:hAnsi="Times New Roman"/>
          <w:bCs/>
          <w:sz w:val="20"/>
        </w:rPr>
        <w:t>L</w:t>
      </w:r>
      <w:r w:rsidRPr="005B747F">
        <w:rPr>
          <w:rFonts w:ascii="Times New Roman" w:hAnsi="Times New Roman"/>
          <w:bCs/>
          <w:sz w:val="20"/>
        </w:rPr>
        <w:t>inearitas</w:t>
      </w:r>
      <w:r>
        <w:rPr>
          <w:rFonts w:ascii="Times New Roman" w:hAnsi="Times New Roman"/>
          <w:bCs/>
          <w:sz w:val="20"/>
        </w:rPr>
        <w:t>.</w:t>
      </w:r>
    </w:p>
    <w:p w:rsidR="005B747F" w:rsidRPr="00FD0127" w:rsidRDefault="005B747F" w:rsidP="005B747F">
      <w:pPr>
        <w:pStyle w:val="Title"/>
        <w:jc w:val="both"/>
        <w:rPr>
          <w:rFonts w:ascii="Times New Roman" w:hAnsi="Times New Roman"/>
          <w:bCs/>
          <w:sz w:val="20"/>
        </w:rPr>
      </w:pPr>
    </w:p>
    <w:p w:rsidR="00344871" w:rsidRPr="0097660A" w:rsidRDefault="00D34721" w:rsidP="00344871">
      <w:pPr>
        <w:pStyle w:val="Heading1"/>
        <w:spacing w:before="0"/>
        <w:rPr>
          <w:i/>
        </w:rPr>
      </w:pPr>
      <w:r w:rsidRPr="0097660A">
        <w:rPr>
          <w:i/>
          <w:lang w:val="en-ID"/>
        </w:rPr>
        <w:t xml:space="preserve">Result and </w:t>
      </w:r>
      <w:r w:rsidR="00C030B9" w:rsidRPr="0097660A">
        <w:rPr>
          <w:i/>
          <w:lang w:val="en-ID"/>
        </w:rPr>
        <w:t>Discussion</w:t>
      </w:r>
    </w:p>
    <w:p w:rsidR="00131ED5" w:rsidRDefault="00131ED5" w:rsidP="00131ED5">
      <w:pPr>
        <w:pStyle w:val="Heading2"/>
        <w:numPr>
          <w:ilvl w:val="0"/>
          <w:numId w:val="0"/>
        </w:numPr>
        <w:spacing w:before="0" w:after="0"/>
        <w:ind w:left="576" w:hanging="576"/>
      </w:pPr>
    </w:p>
    <w:p w:rsidR="001841A4" w:rsidRDefault="001841A4" w:rsidP="00867270">
      <w:pPr>
        <w:pStyle w:val="Heading2"/>
        <w:spacing w:before="0" w:after="0"/>
        <w:rPr>
          <w:lang w:val="en-ID"/>
        </w:rPr>
      </w:pPr>
      <w:r>
        <w:rPr>
          <w:lang w:val="en-ID"/>
        </w:rPr>
        <w:t>Profil Responden</w:t>
      </w:r>
    </w:p>
    <w:p w:rsidR="00DE64D1" w:rsidRDefault="001841A4" w:rsidP="00DE64D1">
      <w:pPr>
        <w:pStyle w:val="Heading2"/>
        <w:numPr>
          <w:ilvl w:val="0"/>
          <w:numId w:val="0"/>
        </w:numPr>
        <w:spacing w:before="0" w:after="0"/>
        <w:ind w:firstLine="576"/>
        <w:jc w:val="both"/>
        <w:rPr>
          <w:b w:val="0"/>
          <w:lang w:val="en-US"/>
        </w:rPr>
      </w:pPr>
      <w:r w:rsidRPr="001841A4">
        <w:rPr>
          <w:b w:val="0"/>
        </w:rPr>
        <w:t>Berdasarkan data dari pengisian kuesioner dapat diketahu</w:t>
      </w:r>
      <w:r>
        <w:rPr>
          <w:b w:val="0"/>
        </w:rPr>
        <w:t xml:space="preserve">i bahwa jumlah sampel sebanyak </w:t>
      </w:r>
      <w:r>
        <w:rPr>
          <w:b w:val="0"/>
          <w:lang w:val="en-US"/>
        </w:rPr>
        <w:t>65</w:t>
      </w:r>
      <w:r w:rsidRPr="001841A4">
        <w:rPr>
          <w:b w:val="0"/>
        </w:rPr>
        <w:t xml:space="preserve"> responden d</w:t>
      </w:r>
      <w:r w:rsidR="00DE64D1">
        <w:rPr>
          <w:b w:val="0"/>
        </w:rPr>
        <w:t>engan rentang usia mulai dari 2</w:t>
      </w:r>
      <w:r w:rsidR="00DE64D1">
        <w:rPr>
          <w:b w:val="0"/>
          <w:lang w:val="en-US"/>
        </w:rPr>
        <w:t>3</w:t>
      </w:r>
      <w:r w:rsidR="00DE64D1">
        <w:rPr>
          <w:b w:val="0"/>
        </w:rPr>
        <w:t xml:space="preserve"> tahun sampai dengan 5</w:t>
      </w:r>
      <w:r w:rsidR="00DE64D1">
        <w:rPr>
          <w:b w:val="0"/>
          <w:lang w:val="en-US"/>
        </w:rPr>
        <w:t>4</w:t>
      </w:r>
      <w:r w:rsidRPr="001841A4">
        <w:rPr>
          <w:b w:val="0"/>
        </w:rPr>
        <w:t xml:space="preserve"> tahun. Adapun rekapitulasi detail mengenai kondisi usia responden dipaparkan dalam</w:t>
      </w:r>
      <w:r w:rsidR="00DE64D1">
        <w:rPr>
          <w:b w:val="0"/>
        </w:rPr>
        <w:t xml:space="preserve"> Tabel </w:t>
      </w:r>
      <w:r w:rsidR="00DE64D1">
        <w:rPr>
          <w:b w:val="0"/>
          <w:lang w:val="en-US"/>
        </w:rPr>
        <w:t>3</w:t>
      </w:r>
      <w:r w:rsidRPr="001841A4">
        <w:rPr>
          <w:b w:val="0"/>
        </w:rPr>
        <w:t xml:space="preserve"> berikut.</w:t>
      </w:r>
    </w:p>
    <w:p w:rsidR="001841A4" w:rsidRDefault="00FA4148" w:rsidP="00DE64D1">
      <w:pPr>
        <w:pStyle w:val="Heading2"/>
        <w:numPr>
          <w:ilvl w:val="0"/>
          <w:numId w:val="0"/>
        </w:numPr>
        <w:spacing w:before="0" w:after="0"/>
        <w:jc w:val="both"/>
        <w:rPr>
          <w:b w:val="0"/>
          <w:color w:val="000000"/>
          <w:lang w:val="en-US"/>
        </w:rPr>
      </w:pPr>
      <w:r>
        <w:rPr>
          <w:b w:val="0"/>
          <w:color w:val="000000"/>
        </w:rPr>
        <w:t xml:space="preserve">Tabel </w:t>
      </w:r>
      <w:r w:rsidR="00DE64D1" w:rsidRPr="00DE64D1">
        <w:rPr>
          <w:b w:val="0"/>
          <w:color w:val="000000"/>
          <w:lang w:val="en-US"/>
        </w:rPr>
        <w:t>3</w:t>
      </w:r>
      <w:r w:rsidR="001841A4" w:rsidRPr="00DE64D1">
        <w:rPr>
          <w:b w:val="0"/>
          <w:color w:val="000000"/>
          <w:lang w:val="en-US"/>
        </w:rPr>
        <w:t xml:space="preserve"> </w:t>
      </w:r>
      <w:r w:rsidR="001841A4" w:rsidRPr="00DE64D1">
        <w:rPr>
          <w:b w:val="0"/>
          <w:color w:val="000000"/>
        </w:rPr>
        <w:t>Komposisi Responden Berdasarkan Usia</w:t>
      </w:r>
    </w:p>
    <w:p w:rsidR="00302158" w:rsidRDefault="00302158" w:rsidP="00867270">
      <w:pPr>
        <w:spacing w:before="0" w:after="0"/>
        <w:ind w:firstLine="0"/>
      </w:pPr>
      <w:r w:rsidRPr="00302158">
        <w:rPr>
          <w:noProof/>
        </w:rPr>
        <w:drawing>
          <wp:inline distT="0" distB="0" distL="0" distR="0" wp14:anchorId="2E0ECADA" wp14:editId="0888E2FE">
            <wp:extent cx="2651760" cy="12286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760" cy="1228601"/>
                    </a:xfrm>
                    <a:prstGeom prst="rect">
                      <a:avLst/>
                    </a:prstGeom>
                    <a:noFill/>
                    <a:ln>
                      <a:noFill/>
                    </a:ln>
                  </pic:spPr>
                </pic:pic>
              </a:graphicData>
            </a:graphic>
          </wp:inline>
        </w:drawing>
      </w:r>
    </w:p>
    <w:p w:rsidR="001841A4" w:rsidRPr="00867270" w:rsidRDefault="001841A4" w:rsidP="00867270">
      <w:pPr>
        <w:spacing w:before="0" w:after="0"/>
        <w:ind w:firstLine="0"/>
        <w:rPr>
          <w:lang w:eastAsia="x-none"/>
        </w:rPr>
      </w:pPr>
      <w:r w:rsidRPr="001841A4">
        <w:rPr>
          <w:color w:val="000000"/>
          <w:szCs w:val="20"/>
        </w:rPr>
        <w:t>Sumber : Kuesioner Penelitian, Data Diolah (2018)</w:t>
      </w:r>
    </w:p>
    <w:p w:rsidR="00867270" w:rsidRDefault="00867270" w:rsidP="00867270">
      <w:pPr>
        <w:spacing w:after="0"/>
        <w:ind w:firstLine="0"/>
        <w:contextualSpacing/>
        <w:rPr>
          <w:color w:val="000000"/>
          <w:szCs w:val="20"/>
        </w:rPr>
      </w:pPr>
    </w:p>
    <w:p w:rsidR="001841A4" w:rsidRPr="001841A4" w:rsidRDefault="001841A4" w:rsidP="00867270">
      <w:pPr>
        <w:spacing w:after="0"/>
        <w:ind w:firstLine="576"/>
        <w:contextualSpacing/>
        <w:rPr>
          <w:color w:val="000000"/>
          <w:szCs w:val="20"/>
        </w:rPr>
      </w:pPr>
      <w:r w:rsidRPr="001841A4">
        <w:rPr>
          <w:color w:val="000000"/>
          <w:szCs w:val="20"/>
        </w:rPr>
        <w:t>Dilihat dari tabel di atas, komposisi mayoritas responden berdasarkan usi</w:t>
      </w:r>
      <w:r w:rsidR="00867270">
        <w:rPr>
          <w:color w:val="000000"/>
          <w:szCs w:val="20"/>
        </w:rPr>
        <w:t>a adalah pada rentang usia 26</w:t>
      </w:r>
      <w:r w:rsidRPr="001841A4">
        <w:rPr>
          <w:color w:val="000000"/>
          <w:szCs w:val="20"/>
        </w:rPr>
        <w:t>-35</w:t>
      </w:r>
      <w:r w:rsidR="00867270">
        <w:rPr>
          <w:color w:val="000000"/>
          <w:szCs w:val="20"/>
        </w:rPr>
        <w:t xml:space="preserve"> tahun </w:t>
      </w:r>
      <w:r w:rsidR="003403CC">
        <w:rPr>
          <w:color w:val="000000"/>
          <w:szCs w:val="20"/>
        </w:rPr>
        <w:t xml:space="preserve">yaitu sebesar </w:t>
      </w:r>
      <w:r w:rsidR="00302158">
        <w:rPr>
          <w:color w:val="000000"/>
          <w:szCs w:val="20"/>
        </w:rPr>
        <w:t>66,15</w:t>
      </w:r>
      <w:r w:rsidR="003403CC">
        <w:rPr>
          <w:color w:val="000000"/>
          <w:szCs w:val="20"/>
        </w:rPr>
        <w:t xml:space="preserve">% </w:t>
      </w:r>
      <w:r w:rsidRPr="00867270">
        <w:rPr>
          <w:color w:val="000000"/>
          <w:szCs w:val="20"/>
        </w:rPr>
        <w:t>yang merupakan usia produktif dan harus dipertahankan.</w:t>
      </w:r>
      <w:r w:rsidR="003403CC">
        <w:rPr>
          <w:color w:val="000000"/>
          <w:szCs w:val="20"/>
        </w:rPr>
        <w:t xml:space="preserve"> Selanjutnya dari sisi jenis kelamin, responden laki-laki merupakan mayoritas responden sebesar 61,53%. Hal ini membuktikan bahwa laki-laki masih mendominasi posisi pimpinan cabang.</w:t>
      </w:r>
    </w:p>
    <w:p w:rsidR="00DC753A" w:rsidRPr="008708FD" w:rsidRDefault="00DC753A" w:rsidP="00867270">
      <w:pPr>
        <w:spacing w:before="0" w:after="0"/>
        <w:ind w:firstLine="0"/>
      </w:pPr>
    </w:p>
    <w:p w:rsidR="00131ED5" w:rsidRDefault="00D028B3" w:rsidP="00131ED5">
      <w:pPr>
        <w:pStyle w:val="Heading2"/>
        <w:spacing w:before="0" w:after="0"/>
      </w:pPr>
      <w:r>
        <w:rPr>
          <w:lang w:val="en-ID"/>
        </w:rPr>
        <w:t>Hasil Pengujian Validitas &amp; Reabilitas</w:t>
      </w:r>
    </w:p>
    <w:p w:rsidR="00FA4148" w:rsidRDefault="002F624A" w:rsidP="00843972">
      <w:pPr>
        <w:spacing w:before="0" w:after="0"/>
      </w:pPr>
      <w:r w:rsidRPr="002F624A">
        <w:t>Uji validitas digunakan untuk mengetahui kelayakan butir-butir instrumen penelitian. Dalam hal ini penulis menggunakan alat bantu SPSS 23 untuk melakukan uji validitas dan reliabilitas untuk setiap variabel penelitian dengan hasil sebagai</w:t>
      </w:r>
      <w:r w:rsidR="00FA4148">
        <w:t>mana tabel 4</w:t>
      </w:r>
      <w:r w:rsidRPr="002F624A">
        <w:t xml:space="preserve"> berikut.</w:t>
      </w:r>
      <w:r w:rsidR="00843972">
        <w:t xml:space="preserve"> Tabel 4 </w:t>
      </w:r>
      <w:r w:rsidR="00843972" w:rsidRPr="00FA4148">
        <w:t xml:space="preserve">menunjukan </w:t>
      </w:r>
      <w:r w:rsidR="00843972">
        <w:t xml:space="preserve">bahwa </w:t>
      </w:r>
      <w:r w:rsidR="00843972" w:rsidRPr="00FA4148">
        <w:t>hasil uji variabel-variabel penelitian memenuhi kriteria yang disyaratkan (</w:t>
      </w:r>
      <w:r w:rsidR="00843972" w:rsidRPr="00FA4148">
        <w:rPr>
          <w:i/>
        </w:rPr>
        <w:t>valid</w:t>
      </w:r>
      <w:r w:rsidR="00843972">
        <w:t>) karena r</w:t>
      </w:r>
      <w:r w:rsidR="00843972" w:rsidRPr="00FA4148">
        <w:rPr>
          <w:vertAlign w:val="subscript"/>
        </w:rPr>
        <w:t>hitung</w:t>
      </w:r>
      <w:r w:rsidR="00843972">
        <w:t xml:space="preserve"> setiap item pernyataan &gt; r</w:t>
      </w:r>
      <w:r w:rsidR="00843972" w:rsidRPr="00FA4148">
        <w:rPr>
          <w:vertAlign w:val="subscript"/>
        </w:rPr>
        <w:t>tabel</w:t>
      </w:r>
      <w:r w:rsidR="00843972">
        <w:t xml:space="preserve"> yakni sebesar 0,2058 untuk 65 responden.</w:t>
      </w:r>
    </w:p>
    <w:p w:rsidR="00FA4148" w:rsidRDefault="00FA4148" w:rsidP="00FA4148">
      <w:pPr>
        <w:spacing w:before="0" w:after="0"/>
        <w:ind w:firstLine="0"/>
      </w:pPr>
      <w:r>
        <w:t xml:space="preserve">Tabel 4. </w:t>
      </w:r>
      <w:r w:rsidRPr="00FA4148">
        <w:t>Hasil Uji Validitas Variabel Penelitian</w:t>
      </w:r>
    </w:p>
    <w:p w:rsidR="00FA4148" w:rsidRDefault="004C5F26" w:rsidP="00FA4148">
      <w:pPr>
        <w:spacing w:before="0" w:after="0"/>
        <w:ind w:firstLine="0"/>
      </w:pPr>
      <w:r w:rsidRPr="004C5F26">
        <w:rPr>
          <w:noProof/>
        </w:rPr>
        <w:drawing>
          <wp:inline distT="0" distB="0" distL="0" distR="0" wp14:anchorId="0678DCEE" wp14:editId="65C041D8">
            <wp:extent cx="2651760" cy="14127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1760" cy="1412799"/>
                    </a:xfrm>
                    <a:prstGeom prst="rect">
                      <a:avLst/>
                    </a:prstGeom>
                    <a:noFill/>
                    <a:ln>
                      <a:noFill/>
                    </a:ln>
                  </pic:spPr>
                </pic:pic>
              </a:graphicData>
            </a:graphic>
          </wp:inline>
        </w:drawing>
      </w:r>
    </w:p>
    <w:p w:rsidR="004C5F26" w:rsidRDefault="004C5F26" w:rsidP="00FA4148">
      <w:pPr>
        <w:spacing w:before="0" w:after="0"/>
        <w:ind w:firstLine="0"/>
      </w:pPr>
      <w:r w:rsidRPr="004C5F26">
        <w:rPr>
          <w:noProof/>
        </w:rPr>
        <w:lastRenderedPageBreak/>
        <w:drawing>
          <wp:inline distT="0" distB="0" distL="0" distR="0" wp14:anchorId="1BAADBD4" wp14:editId="04C01E20">
            <wp:extent cx="2651760" cy="12389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1760" cy="1238961"/>
                    </a:xfrm>
                    <a:prstGeom prst="rect">
                      <a:avLst/>
                    </a:prstGeom>
                    <a:noFill/>
                    <a:ln>
                      <a:noFill/>
                    </a:ln>
                  </pic:spPr>
                </pic:pic>
              </a:graphicData>
            </a:graphic>
          </wp:inline>
        </w:drawing>
      </w:r>
    </w:p>
    <w:p w:rsidR="00FA4148" w:rsidRDefault="00FA4148" w:rsidP="00FA4148">
      <w:pPr>
        <w:spacing w:before="0" w:after="0"/>
        <w:ind w:firstLine="0"/>
      </w:pPr>
    </w:p>
    <w:p w:rsidR="002F624A" w:rsidRDefault="002F624A" w:rsidP="002F624A">
      <w:pPr>
        <w:spacing w:before="0" w:after="0"/>
      </w:pPr>
      <w:r w:rsidRPr="002F624A">
        <w:t>Hasil uji reliabilita</w:t>
      </w:r>
      <w:r w:rsidR="002D3368">
        <w:t>s dilakukan dengan uji statistik</w:t>
      </w:r>
      <w:r w:rsidRPr="002F624A">
        <w:t xml:space="preserve"> </w:t>
      </w:r>
      <w:r w:rsidRPr="002D3368">
        <w:rPr>
          <w:i/>
        </w:rPr>
        <w:t>Cronbach Alpha</w:t>
      </w:r>
      <w:r w:rsidRPr="002F624A">
        <w:t xml:space="preserve">. Suatu variabel dikatakan reliabel atau andal jika nilai </w:t>
      </w:r>
      <w:r w:rsidRPr="002D3368">
        <w:rPr>
          <w:i/>
        </w:rPr>
        <w:t>Cronbach Alpha</w:t>
      </w:r>
      <w:r w:rsidRPr="002F624A">
        <w:t xml:space="preserve"> lebih besar dari 0,6 (Ghozali, 2011).</w:t>
      </w:r>
      <w:r w:rsidR="00843972">
        <w:t xml:space="preserve"> Berdasarkan</w:t>
      </w:r>
      <w:r w:rsidR="00843972" w:rsidRPr="00843972">
        <w:t xml:space="preserve"> Tabel </w:t>
      </w:r>
      <w:r w:rsidR="00843972">
        <w:t>5</w:t>
      </w:r>
      <w:r w:rsidR="00843972" w:rsidRPr="00843972">
        <w:t xml:space="preserve"> </w:t>
      </w:r>
      <w:r w:rsidR="00843972">
        <w:t xml:space="preserve">berikut </w:t>
      </w:r>
      <w:r w:rsidR="00843972" w:rsidRPr="00843972">
        <w:t xml:space="preserve">dapat dilihat bahwa nilai statistik </w:t>
      </w:r>
      <w:r w:rsidR="00843972" w:rsidRPr="00843972">
        <w:rPr>
          <w:i/>
        </w:rPr>
        <w:t>Cronbach Alpha</w:t>
      </w:r>
      <w:r w:rsidR="00843972" w:rsidRPr="00843972">
        <w:t xml:space="preserve"> </w:t>
      </w:r>
      <w:r w:rsidR="00843972">
        <w:t xml:space="preserve">dari </w:t>
      </w:r>
      <w:r w:rsidR="00843972" w:rsidRPr="00843972">
        <w:t xml:space="preserve">keseluruhan variabel bernilai lebih dari 0,60. Dengan demikian dapat disimpulkan bahwa alat ukur (kuesioner) variabel </w:t>
      </w:r>
      <w:r w:rsidR="00843972">
        <w:t xml:space="preserve">GCG </w:t>
      </w:r>
      <w:r w:rsidR="00843972" w:rsidRPr="00843972">
        <w:t xml:space="preserve">dan </w:t>
      </w:r>
      <w:r w:rsidR="00843972">
        <w:t xml:space="preserve">kinerja (BSC) </w:t>
      </w:r>
      <w:r w:rsidR="00843972" w:rsidRPr="00843972">
        <w:t>dalam penelitian ini reliabel atau andal.</w:t>
      </w:r>
    </w:p>
    <w:p w:rsidR="00843972" w:rsidRDefault="00843972" w:rsidP="002F624A">
      <w:pPr>
        <w:spacing w:before="0" w:after="0"/>
      </w:pPr>
    </w:p>
    <w:p w:rsidR="002F624A" w:rsidRDefault="00843972" w:rsidP="00843972">
      <w:pPr>
        <w:spacing w:before="0" w:after="0"/>
        <w:ind w:firstLine="0"/>
      </w:pPr>
      <w:r>
        <w:t>Tabel 5. Hasil Uji Reliabilitas Variabel</w:t>
      </w:r>
    </w:p>
    <w:p w:rsidR="002F624A" w:rsidRPr="002F624A" w:rsidRDefault="004A1A59" w:rsidP="00F00749">
      <w:pPr>
        <w:spacing w:before="0" w:after="0"/>
        <w:ind w:firstLine="0"/>
      </w:pPr>
      <w:r w:rsidRPr="004A1A59">
        <w:rPr>
          <w:noProof/>
        </w:rPr>
        <w:drawing>
          <wp:inline distT="0" distB="0" distL="0" distR="0" wp14:anchorId="59505763" wp14:editId="7A355FC8">
            <wp:extent cx="2651760" cy="5547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1760" cy="554757"/>
                    </a:xfrm>
                    <a:prstGeom prst="rect">
                      <a:avLst/>
                    </a:prstGeom>
                    <a:noFill/>
                    <a:ln>
                      <a:noFill/>
                    </a:ln>
                  </pic:spPr>
                </pic:pic>
              </a:graphicData>
            </a:graphic>
          </wp:inline>
        </w:drawing>
      </w:r>
    </w:p>
    <w:p w:rsidR="00D4552A" w:rsidRPr="00D4552A" w:rsidRDefault="00D4552A" w:rsidP="00D4552A">
      <w:pPr>
        <w:pStyle w:val="Heading3"/>
        <w:numPr>
          <w:ilvl w:val="0"/>
          <w:numId w:val="0"/>
        </w:numPr>
        <w:spacing w:before="0" w:after="0"/>
        <w:ind w:left="720"/>
      </w:pPr>
    </w:p>
    <w:p w:rsidR="00F56DA2" w:rsidRDefault="000F70A2" w:rsidP="001150EB">
      <w:pPr>
        <w:pStyle w:val="Heading2"/>
        <w:spacing w:before="0" w:after="0"/>
        <w:rPr>
          <w:lang w:val="en-US"/>
        </w:rPr>
      </w:pPr>
      <w:r>
        <w:rPr>
          <w:lang w:val="en-US"/>
        </w:rPr>
        <w:t>Hasil Uji Asumsi Klasik</w:t>
      </w:r>
    </w:p>
    <w:p w:rsidR="001150EB" w:rsidRDefault="001150EB" w:rsidP="004B6F74">
      <w:pPr>
        <w:pStyle w:val="Heading3"/>
        <w:spacing w:before="0" w:after="0"/>
        <w:jc w:val="both"/>
        <w:rPr>
          <w:lang w:val="en-US"/>
        </w:rPr>
      </w:pPr>
      <w:r>
        <w:t xml:space="preserve">Hasil Uji </w:t>
      </w:r>
      <w:r>
        <w:rPr>
          <w:lang w:val="en-US"/>
        </w:rPr>
        <w:t>Normalitas</w:t>
      </w:r>
    </w:p>
    <w:p w:rsidR="001E0E85" w:rsidRDefault="001E0E85" w:rsidP="001E0E85">
      <w:pPr>
        <w:spacing w:before="0" w:after="0"/>
      </w:pPr>
      <w:r>
        <w:t>Hasil uji normalitas dapat dilihat pada grafik Normal Probability Plot seperti dalam Gambar 1.</w:t>
      </w:r>
    </w:p>
    <w:p w:rsidR="001E0E85" w:rsidRDefault="001E0E85" w:rsidP="001E0E85">
      <w:pPr>
        <w:spacing w:before="0" w:after="0"/>
        <w:ind w:firstLine="0"/>
        <w:jc w:val="center"/>
      </w:pPr>
      <w:r>
        <w:rPr>
          <w:noProof/>
        </w:rPr>
        <w:drawing>
          <wp:inline distT="0" distB="0" distL="0" distR="0" wp14:anchorId="6CA86E4B" wp14:editId="149C3028">
            <wp:extent cx="2647950" cy="25793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7950" cy="2579370"/>
                    </a:xfrm>
                    <a:prstGeom prst="rect">
                      <a:avLst/>
                    </a:prstGeom>
                    <a:noFill/>
                    <a:ln>
                      <a:noFill/>
                    </a:ln>
                  </pic:spPr>
                </pic:pic>
              </a:graphicData>
            </a:graphic>
          </wp:inline>
        </w:drawing>
      </w:r>
    </w:p>
    <w:p w:rsidR="001E0E85" w:rsidRDefault="001E0E85" w:rsidP="001E0E85">
      <w:pPr>
        <w:spacing w:before="0" w:after="0"/>
        <w:ind w:firstLine="0"/>
        <w:jc w:val="center"/>
      </w:pPr>
      <w:r>
        <w:t>Gambar 1. Grafik Normal P-Plot</w:t>
      </w:r>
    </w:p>
    <w:p w:rsidR="001E0E85" w:rsidRDefault="001E0E85" w:rsidP="001E0E85">
      <w:pPr>
        <w:spacing w:before="0" w:after="0"/>
      </w:pPr>
    </w:p>
    <w:p w:rsidR="004B6F74" w:rsidRDefault="00A93D21" w:rsidP="00A93D21">
      <w:pPr>
        <w:spacing w:before="0" w:after="0"/>
      </w:pPr>
      <w:r>
        <w:t>Dari grafik pada Gambar 1</w:t>
      </w:r>
      <w:r w:rsidR="001E0E85">
        <w:t xml:space="preserve"> di atas, terlihat bahwa data tersebar di sekitar garis diagonal, maka dapat disimpulkan bahwa data mendekati distribusi normal.</w:t>
      </w:r>
    </w:p>
    <w:p w:rsidR="004B6F74" w:rsidRPr="004B6F74" w:rsidRDefault="004B6F74" w:rsidP="004B6F74">
      <w:pPr>
        <w:spacing w:before="0" w:after="0"/>
        <w:rPr>
          <w:lang w:eastAsia="x-none"/>
        </w:rPr>
      </w:pPr>
    </w:p>
    <w:p w:rsidR="001150EB" w:rsidRDefault="001150EB" w:rsidP="004B6F74">
      <w:pPr>
        <w:pStyle w:val="Heading3"/>
        <w:spacing w:before="0" w:after="0"/>
        <w:jc w:val="both"/>
        <w:rPr>
          <w:lang w:val="en-US"/>
        </w:rPr>
      </w:pPr>
      <w:r>
        <w:t xml:space="preserve">Hasil Uji </w:t>
      </w:r>
      <w:r>
        <w:rPr>
          <w:lang w:val="en-US"/>
        </w:rPr>
        <w:t>Multikolinearitas</w:t>
      </w:r>
    </w:p>
    <w:p w:rsidR="00910605" w:rsidRDefault="00910605" w:rsidP="00910605">
      <w:pPr>
        <w:spacing w:before="0" w:after="0"/>
      </w:pPr>
      <w:r>
        <w:t>Hasil uji multikolinearitas dapat dilihat pada tabel  Coefficients seperti dalam Tabel 6 berikut.</w:t>
      </w:r>
    </w:p>
    <w:p w:rsidR="00910605" w:rsidRDefault="00910605" w:rsidP="00910605">
      <w:pPr>
        <w:spacing w:before="0" w:after="0"/>
      </w:pPr>
    </w:p>
    <w:p w:rsidR="00910605" w:rsidRDefault="00910605" w:rsidP="00910605">
      <w:pPr>
        <w:spacing w:before="0" w:after="0"/>
      </w:pPr>
    </w:p>
    <w:p w:rsidR="00910605" w:rsidRDefault="00910605" w:rsidP="00910605">
      <w:pPr>
        <w:spacing w:before="0" w:after="0"/>
        <w:ind w:firstLine="0"/>
      </w:pPr>
      <w:r>
        <w:lastRenderedPageBreak/>
        <w:t xml:space="preserve">Tabel 6. Tabel Coefficients </w:t>
      </w:r>
    </w:p>
    <w:p w:rsidR="00910605" w:rsidRDefault="005A5EBB" w:rsidP="00CB7558">
      <w:pPr>
        <w:spacing w:before="0" w:after="0"/>
        <w:ind w:firstLine="0"/>
      </w:pPr>
      <w:r w:rsidRPr="005A5EBB">
        <w:rPr>
          <w:noProof/>
        </w:rPr>
        <w:drawing>
          <wp:inline distT="0" distB="0" distL="0" distR="0" wp14:anchorId="46F01A37" wp14:editId="042A85DA">
            <wp:extent cx="2651760" cy="657996"/>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1760" cy="657996"/>
                    </a:xfrm>
                    <a:prstGeom prst="rect">
                      <a:avLst/>
                    </a:prstGeom>
                    <a:noFill/>
                    <a:ln>
                      <a:noFill/>
                    </a:ln>
                  </pic:spPr>
                </pic:pic>
              </a:graphicData>
            </a:graphic>
          </wp:inline>
        </w:drawing>
      </w:r>
    </w:p>
    <w:p w:rsidR="00910605" w:rsidRDefault="00910605" w:rsidP="00910605">
      <w:pPr>
        <w:spacing w:before="0" w:after="0"/>
      </w:pPr>
    </w:p>
    <w:p w:rsidR="004B6F74" w:rsidRDefault="00910605" w:rsidP="00910605">
      <w:pPr>
        <w:spacing w:before="0" w:after="0"/>
      </w:pPr>
      <w:r>
        <w:t>Dari Tabel 6. di atas, terlihat nilai Variance Inflation Factor (VIF) atas keseluruhan variabel berada dibawah angka 5 (lima), sehingga dapat disimpulkan tidak terjadi multikolinearitas antar variabel penelitian.</w:t>
      </w:r>
    </w:p>
    <w:p w:rsidR="004B6F74" w:rsidRPr="004B6F74" w:rsidRDefault="004B6F74" w:rsidP="004B6F74">
      <w:pPr>
        <w:spacing w:before="0" w:after="0"/>
        <w:rPr>
          <w:lang w:eastAsia="x-none"/>
        </w:rPr>
      </w:pPr>
    </w:p>
    <w:p w:rsidR="001150EB" w:rsidRDefault="001150EB" w:rsidP="004B6F74">
      <w:pPr>
        <w:pStyle w:val="Heading3"/>
        <w:spacing w:before="0" w:after="0"/>
        <w:jc w:val="both"/>
        <w:rPr>
          <w:lang w:val="en-US"/>
        </w:rPr>
      </w:pPr>
      <w:r>
        <w:t xml:space="preserve">Hasil Uji </w:t>
      </w:r>
      <w:r>
        <w:rPr>
          <w:lang w:val="en-US"/>
        </w:rPr>
        <w:t>Autokorelasi</w:t>
      </w:r>
    </w:p>
    <w:p w:rsidR="00BA75AE" w:rsidRDefault="00BA75AE" w:rsidP="00BA75AE">
      <w:pPr>
        <w:spacing w:before="0" w:after="0"/>
      </w:pPr>
      <w:r>
        <w:t>Hasil uji autokorelasi dapat dilihat pada tabel  6 Model Summary berikut.</w:t>
      </w:r>
    </w:p>
    <w:p w:rsidR="00BA75AE" w:rsidRDefault="00BA75AE" w:rsidP="00BA75AE">
      <w:pPr>
        <w:spacing w:before="0" w:after="0"/>
        <w:ind w:firstLine="0"/>
      </w:pPr>
      <w:r>
        <w:t xml:space="preserve">Tabel </w:t>
      </w:r>
      <w:r w:rsidR="005A5EBB">
        <w:t>7</w:t>
      </w:r>
      <w:r>
        <w:t xml:space="preserve">. </w:t>
      </w:r>
      <w:r w:rsidRPr="0097660A">
        <w:rPr>
          <w:i/>
        </w:rPr>
        <w:t>Model Summary</w:t>
      </w:r>
    </w:p>
    <w:p w:rsidR="00BA75AE" w:rsidRDefault="005A5EBB" w:rsidP="00BA75AE">
      <w:pPr>
        <w:spacing w:before="0" w:after="0"/>
        <w:ind w:firstLine="0"/>
      </w:pPr>
      <w:r w:rsidRPr="005A5EBB">
        <w:rPr>
          <w:noProof/>
        </w:rPr>
        <w:drawing>
          <wp:inline distT="0" distB="0" distL="0" distR="0" wp14:anchorId="6E5DB5D0" wp14:editId="1C14E08E">
            <wp:extent cx="2651760" cy="74422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1760" cy="744228"/>
                    </a:xfrm>
                    <a:prstGeom prst="rect">
                      <a:avLst/>
                    </a:prstGeom>
                    <a:noFill/>
                    <a:ln>
                      <a:noFill/>
                    </a:ln>
                  </pic:spPr>
                </pic:pic>
              </a:graphicData>
            </a:graphic>
          </wp:inline>
        </w:drawing>
      </w:r>
    </w:p>
    <w:p w:rsidR="005A5EBB" w:rsidRDefault="005A5EBB" w:rsidP="00BA75AE">
      <w:pPr>
        <w:spacing w:before="0" w:after="0"/>
      </w:pPr>
    </w:p>
    <w:p w:rsidR="00BA75AE" w:rsidRDefault="005A5EBB" w:rsidP="00BA75AE">
      <w:pPr>
        <w:spacing w:before="0" w:after="0"/>
      </w:pPr>
      <w:r>
        <w:t>Dari Tabel 7</w:t>
      </w:r>
      <w:r w:rsidR="00BA75AE">
        <w:t xml:space="preserve"> di atas, terlihat nilai Statistik Durbin Watson (DW) dat</w:t>
      </w:r>
      <w:r>
        <w:t>a penelitian adalah sebesar 2,000</w:t>
      </w:r>
      <w:r w:rsidR="00BA75AE">
        <w:t>. Dengan menggunakan tabel Durbin</w:t>
      </w:r>
      <w:r>
        <w:t xml:space="preserve"> Watson, untuk jumlah data (n=65</w:t>
      </w:r>
      <w:r w:rsidR="00BA75AE">
        <w:t xml:space="preserve">) dan jumlah variabel </w:t>
      </w:r>
      <w:r>
        <w:t xml:space="preserve">bebas </w:t>
      </w:r>
      <w:r w:rsidR="00BA75AE">
        <w:t>(k) yang digunakan sebanyak 1 buah dengan α = 5%, maka diperoleh nilai statistik Durbin Watson sebagai berikut.</w:t>
      </w:r>
    </w:p>
    <w:p w:rsidR="00BA75AE" w:rsidRDefault="005A5EBB" w:rsidP="00BA75AE">
      <w:pPr>
        <w:spacing w:before="0" w:after="0"/>
      </w:pPr>
      <w:r>
        <w:t>dL</w:t>
      </w:r>
      <w:r>
        <w:tab/>
        <w:t>= 1,567</w:t>
      </w:r>
    </w:p>
    <w:p w:rsidR="00BA75AE" w:rsidRDefault="005A5EBB" w:rsidP="00BA75AE">
      <w:pPr>
        <w:spacing w:before="0" w:after="0"/>
      </w:pPr>
      <w:r>
        <w:t xml:space="preserve">4-dL </w:t>
      </w:r>
      <w:r w:rsidR="00BA75AE">
        <w:t>= 2,</w:t>
      </w:r>
      <w:r>
        <w:t>433</w:t>
      </w:r>
    </w:p>
    <w:p w:rsidR="005A5EBB" w:rsidRDefault="005A5EBB" w:rsidP="00BA75AE">
      <w:pPr>
        <w:spacing w:before="0" w:after="0"/>
      </w:pPr>
    </w:p>
    <w:p w:rsidR="00BA75AE" w:rsidRDefault="00BA75AE" w:rsidP="00BA75AE">
      <w:pPr>
        <w:spacing w:before="0" w:after="0"/>
      </w:pPr>
      <w:r>
        <w:t>Sehingga dapat diperoleh hasil bahwa nilai DW berada diantara nilai dL dan 4-dL (1,</w:t>
      </w:r>
      <w:r w:rsidR="005A5EBB">
        <w:t>567</w:t>
      </w:r>
      <w:r>
        <w:t xml:space="preserve"> &lt; 2,0</w:t>
      </w:r>
      <w:r w:rsidR="005A5EBB">
        <w:t>00</w:t>
      </w:r>
      <w:r>
        <w:t xml:space="preserve"> &lt;</w:t>
      </w:r>
      <w:r w:rsidR="005A5EBB">
        <w:t xml:space="preserve"> 2,433), </w:t>
      </w:r>
      <w:r>
        <w:t>maka dapat disimpulkan tidak terjadi autokorelasi antar variabel penelitian.</w:t>
      </w:r>
    </w:p>
    <w:p w:rsidR="004B6F74" w:rsidRPr="004B6F74" w:rsidRDefault="004B6F74" w:rsidP="004B6F74">
      <w:pPr>
        <w:spacing w:before="0" w:after="0"/>
        <w:rPr>
          <w:lang w:eastAsia="x-none"/>
        </w:rPr>
      </w:pPr>
    </w:p>
    <w:p w:rsidR="001150EB" w:rsidRDefault="001150EB" w:rsidP="004B6F74">
      <w:pPr>
        <w:pStyle w:val="Heading3"/>
        <w:spacing w:before="0" w:after="0"/>
        <w:jc w:val="both"/>
      </w:pPr>
      <w:r>
        <w:t xml:space="preserve">Hasil Uji </w:t>
      </w:r>
      <w:r>
        <w:rPr>
          <w:lang w:val="en-US"/>
        </w:rPr>
        <w:t>Heteroskedastisitas</w:t>
      </w:r>
    </w:p>
    <w:p w:rsidR="00051EB4" w:rsidRDefault="00051EB4" w:rsidP="00051EB4">
      <w:pPr>
        <w:spacing w:before="0" w:after="0"/>
      </w:pPr>
      <w:r>
        <w:t>Hasil uji heteroskedastisitas dapat dilihat pada Tabel  Scatterplot seperti dalam Gambar 2.</w:t>
      </w:r>
    </w:p>
    <w:p w:rsidR="00051EB4" w:rsidRDefault="00051EB4" w:rsidP="00051EB4">
      <w:pPr>
        <w:spacing w:before="0" w:after="0"/>
        <w:ind w:firstLine="0"/>
        <w:jc w:val="center"/>
      </w:pPr>
      <w:r>
        <w:rPr>
          <w:noProof/>
        </w:rPr>
        <w:drawing>
          <wp:inline distT="0" distB="0" distL="0" distR="0" wp14:anchorId="67F761F4" wp14:editId="1875BA97">
            <wp:extent cx="2647950" cy="1781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7950" cy="1781175"/>
                    </a:xfrm>
                    <a:prstGeom prst="rect">
                      <a:avLst/>
                    </a:prstGeom>
                    <a:noFill/>
                    <a:ln>
                      <a:noFill/>
                    </a:ln>
                  </pic:spPr>
                </pic:pic>
              </a:graphicData>
            </a:graphic>
          </wp:inline>
        </w:drawing>
      </w:r>
    </w:p>
    <w:p w:rsidR="00051EB4" w:rsidRDefault="00051EB4" w:rsidP="00051EB4">
      <w:pPr>
        <w:spacing w:before="0" w:after="0"/>
        <w:ind w:firstLine="0"/>
        <w:jc w:val="center"/>
      </w:pPr>
      <w:r>
        <w:t>Gambar 2. Scatterplot</w:t>
      </w:r>
    </w:p>
    <w:p w:rsidR="00051EB4" w:rsidRDefault="00051EB4" w:rsidP="00051EB4">
      <w:pPr>
        <w:spacing w:before="0" w:after="0"/>
        <w:ind w:firstLine="0"/>
      </w:pPr>
    </w:p>
    <w:p w:rsidR="00D4552A" w:rsidRDefault="00051EB4" w:rsidP="00051EB4">
      <w:pPr>
        <w:spacing w:before="0" w:after="0"/>
        <w:ind w:firstLine="576"/>
      </w:pPr>
      <w:r>
        <w:t xml:space="preserve">Dari Gambar 2 di atas, terlihat data tersebar di sekitar angka 0 (nol) pada sumbu Y serta tidak membentuk pola tertentu, sehingga dapat </w:t>
      </w:r>
      <w:r>
        <w:lastRenderedPageBreak/>
        <w:t>disimpulkan tidak terjadi heteroskedastisitas pada data penelitian.</w:t>
      </w:r>
    </w:p>
    <w:p w:rsidR="004B6F74" w:rsidRDefault="004B6F74" w:rsidP="00D6615E">
      <w:pPr>
        <w:spacing w:before="0" w:after="0"/>
        <w:ind w:firstLine="0"/>
      </w:pPr>
    </w:p>
    <w:p w:rsidR="001150EB" w:rsidRPr="00543423" w:rsidRDefault="001150EB" w:rsidP="004B6F74">
      <w:pPr>
        <w:pStyle w:val="Heading2"/>
        <w:spacing w:before="0" w:after="0"/>
        <w:jc w:val="both"/>
      </w:pPr>
      <w:r>
        <w:rPr>
          <w:lang w:val="en-US"/>
        </w:rPr>
        <w:t>Pengujian Analisis Regresi Linier Berganda</w:t>
      </w:r>
    </w:p>
    <w:p w:rsidR="00D6615E" w:rsidRDefault="00D6615E" w:rsidP="00D6615E">
      <w:pPr>
        <w:spacing w:before="0" w:after="0"/>
        <w:ind w:firstLine="576"/>
      </w:pPr>
      <w:r w:rsidRPr="00D6615E">
        <w:t xml:space="preserve">Sebelum dilakukan pengujian model regresi linier berganda, terlebih dahulu </w:t>
      </w:r>
      <w:r>
        <w:t xml:space="preserve">dilakukan </w:t>
      </w:r>
      <w:r w:rsidRPr="00D6615E">
        <w:t>pengujian kelayakan model regresi dengan menggunakan ANOVA sebagai</w:t>
      </w:r>
      <w:r>
        <w:t>mana tabel 8</w:t>
      </w:r>
      <w:r w:rsidRPr="00D6615E">
        <w:t xml:space="preserve"> berikut.</w:t>
      </w:r>
    </w:p>
    <w:p w:rsidR="00FD4887" w:rsidRPr="00D6615E" w:rsidRDefault="00FD4887" w:rsidP="00FD4887">
      <w:pPr>
        <w:spacing w:before="0" w:after="0"/>
      </w:pPr>
    </w:p>
    <w:p w:rsidR="00D6615E" w:rsidRDefault="00D6615E" w:rsidP="00D6615E">
      <w:pPr>
        <w:pStyle w:val="Title"/>
        <w:jc w:val="both"/>
        <w:rPr>
          <w:rFonts w:ascii="Times New Roman" w:hAnsi="Times New Roman"/>
          <w:sz w:val="20"/>
        </w:rPr>
      </w:pPr>
      <w:r>
        <w:rPr>
          <w:rFonts w:ascii="Times New Roman" w:hAnsi="Times New Roman"/>
          <w:sz w:val="20"/>
        </w:rPr>
        <w:t>Tabel 8.</w:t>
      </w:r>
      <w:r w:rsidRPr="00D6615E">
        <w:rPr>
          <w:rFonts w:ascii="Times New Roman" w:hAnsi="Times New Roman"/>
          <w:sz w:val="20"/>
        </w:rPr>
        <w:t xml:space="preserve"> Tabel ANOVA</w:t>
      </w:r>
    </w:p>
    <w:p w:rsidR="00EA1598" w:rsidRPr="00D6615E" w:rsidRDefault="00EA1598" w:rsidP="00D6615E">
      <w:pPr>
        <w:pStyle w:val="Title"/>
        <w:jc w:val="both"/>
        <w:rPr>
          <w:rFonts w:ascii="Times New Roman" w:hAnsi="Times New Roman"/>
          <w:sz w:val="20"/>
        </w:rPr>
      </w:pPr>
      <w:r w:rsidRPr="00EA1598">
        <w:rPr>
          <w:noProof/>
        </w:rPr>
        <w:drawing>
          <wp:inline distT="0" distB="0" distL="0" distR="0" wp14:anchorId="7783EA60" wp14:editId="1AC35592">
            <wp:extent cx="2651760" cy="1153977"/>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1760" cy="1153977"/>
                    </a:xfrm>
                    <a:prstGeom prst="rect">
                      <a:avLst/>
                    </a:prstGeom>
                    <a:noFill/>
                    <a:ln>
                      <a:noFill/>
                    </a:ln>
                  </pic:spPr>
                </pic:pic>
              </a:graphicData>
            </a:graphic>
          </wp:inline>
        </w:drawing>
      </w:r>
    </w:p>
    <w:p w:rsidR="00D6615E" w:rsidRPr="00D6615E" w:rsidRDefault="00D6615E" w:rsidP="00D6615E">
      <w:pPr>
        <w:pStyle w:val="Title"/>
        <w:rPr>
          <w:rFonts w:ascii="Times New Roman" w:hAnsi="Times New Roman"/>
          <w:sz w:val="20"/>
        </w:rPr>
      </w:pPr>
    </w:p>
    <w:p w:rsidR="00D6615E" w:rsidRDefault="00D6615E" w:rsidP="00EA1598">
      <w:pPr>
        <w:pStyle w:val="Title"/>
        <w:ind w:firstLine="576"/>
        <w:jc w:val="both"/>
        <w:rPr>
          <w:rFonts w:ascii="Times New Roman" w:hAnsi="Times New Roman"/>
          <w:sz w:val="20"/>
        </w:rPr>
      </w:pPr>
      <w:r w:rsidRPr="00D6615E">
        <w:rPr>
          <w:rFonts w:ascii="Times New Roman" w:hAnsi="Times New Roman"/>
          <w:sz w:val="20"/>
        </w:rPr>
        <w:t xml:space="preserve">Tabel </w:t>
      </w:r>
      <w:r w:rsidR="00EA1598">
        <w:rPr>
          <w:rFonts w:ascii="Times New Roman" w:hAnsi="Times New Roman"/>
          <w:sz w:val="20"/>
        </w:rPr>
        <w:t>8 ANOVA</w:t>
      </w:r>
      <w:r w:rsidRPr="00D6615E">
        <w:rPr>
          <w:rFonts w:ascii="Times New Roman" w:hAnsi="Times New Roman"/>
          <w:sz w:val="20"/>
        </w:rPr>
        <w:t xml:space="preserve"> di</w:t>
      </w:r>
      <w:r w:rsidR="0097660A">
        <w:rPr>
          <w:rFonts w:ascii="Times New Roman" w:hAnsi="Times New Roman"/>
          <w:sz w:val="20"/>
        </w:rPr>
        <w:t xml:space="preserve"> </w:t>
      </w:r>
      <w:r w:rsidRPr="00D6615E">
        <w:rPr>
          <w:rFonts w:ascii="Times New Roman" w:hAnsi="Times New Roman"/>
          <w:sz w:val="20"/>
        </w:rPr>
        <w:t xml:space="preserve">atas menunjukkan besarnya angka probabilitas atau signifikasi model regresi. Pada perhitungan </w:t>
      </w:r>
      <w:r w:rsidR="00EA1598">
        <w:rPr>
          <w:rFonts w:ascii="Times New Roman" w:hAnsi="Times New Roman"/>
          <w:sz w:val="20"/>
        </w:rPr>
        <w:t>ANOVA</w:t>
      </w:r>
      <w:r w:rsidR="00EA1598" w:rsidRPr="00D6615E">
        <w:rPr>
          <w:rFonts w:ascii="Times New Roman" w:hAnsi="Times New Roman"/>
          <w:sz w:val="20"/>
        </w:rPr>
        <w:t xml:space="preserve"> </w:t>
      </w:r>
      <w:r w:rsidRPr="00D6615E">
        <w:rPr>
          <w:rFonts w:ascii="Times New Roman" w:hAnsi="Times New Roman"/>
          <w:sz w:val="20"/>
        </w:rPr>
        <w:t>yang akan digunakan untuk uji kelayakan</w:t>
      </w:r>
      <w:r w:rsidR="00EA1598">
        <w:rPr>
          <w:rFonts w:ascii="Times New Roman" w:hAnsi="Times New Roman"/>
          <w:sz w:val="20"/>
        </w:rPr>
        <w:t xml:space="preserve"> </w:t>
      </w:r>
      <w:r w:rsidRPr="00D6615E">
        <w:rPr>
          <w:rFonts w:ascii="Times New Roman" w:hAnsi="Times New Roman"/>
          <w:sz w:val="20"/>
        </w:rPr>
        <w:t>model regresi, ketentuan angka probabilitas yang baik untuk digunakan sebagai model regresi ialah harus lebih kecil dari 0,05.</w:t>
      </w:r>
    </w:p>
    <w:p w:rsidR="00B546E3" w:rsidRDefault="00B546E3" w:rsidP="00EA1598">
      <w:pPr>
        <w:pStyle w:val="Title"/>
        <w:ind w:firstLine="576"/>
        <w:jc w:val="both"/>
        <w:rPr>
          <w:rFonts w:ascii="Times New Roman" w:hAnsi="Times New Roman"/>
          <w:sz w:val="20"/>
        </w:rPr>
      </w:pPr>
      <w:r w:rsidRPr="00B546E3">
        <w:rPr>
          <w:rFonts w:ascii="Times New Roman" w:hAnsi="Times New Roman"/>
          <w:sz w:val="20"/>
        </w:rPr>
        <w:t>Dari</w:t>
      </w:r>
      <w:r>
        <w:rPr>
          <w:rFonts w:ascii="Times New Roman" w:hAnsi="Times New Roman"/>
          <w:sz w:val="20"/>
        </w:rPr>
        <w:t xml:space="preserve"> hasil Uji ANOVA dalam Tabel 8</w:t>
      </w:r>
      <w:r w:rsidRPr="00B546E3">
        <w:rPr>
          <w:rFonts w:ascii="Times New Roman" w:hAnsi="Times New Roman"/>
          <w:sz w:val="20"/>
        </w:rPr>
        <w:t xml:space="preserve"> di atas menghasilkan nilai probabilitas (sig) pada model adalah sebesar 0,000. </w:t>
      </w:r>
      <w:r>
        <w:rPr>
          <w:rFonts w:ascii="Times New Roman" w:hAnsi="Times New Roman"/>
          <w:sz w:val="20"/>
        </w:rPr>
        <w:t xml:space="preserve">Berdasarkan </w:t>
      </w:r>
      <w:r w:rsidRPr="00B546E3">
        <w:rPr>
          <w:rFonts w:ascii="Times New Roman" w:hAnsi="Times New Roman"/>
          <w:sz w:val="20"/>
        </w:rPr>
        <w:t xml:space="preserve">angka </w:t>
      </w:r>
      <w:r>
        <w:rPr>
          <w:rFonts w:ascii="Times New Roman" w:hAnsi="Times New Roman"/>
          <w:sz w:val="20"/>
        </w:rPr>
        <w:t>signifikansi</w:t>
      </w:r>
      <w:r w:rsidRPr="00B546E3">
        <w:rPr>
          <w:rFonts w:ascii="Times New Roman" w:hAnsi="Times New Roman"/>
          <w:sz w:val="20"/>
        </w:rPr>
        <w:t xml:space="preserve"> 0,000 &lt; 0,05, maka model regresi ini sudah layak digunakan untuk memprediksi variabel </w:t>
      </w:r>
      <w:r>
        <w:rPr>
          <w:rFonts w:ascii="Times New Roman" w:hAnsi="Times New Roman"/>
          <w:i/>
          <w:sz w:val="20"/>
        </w:rPr>
        <w:t>Good Corporate Governance</w:t>
      </w:r>
      <w:r w:rsidRPr="00B546E3">
        <w:rPr>
          <w:rFonts w:ascii="Times New Roman" w:hAnsi="Times New Roman"/>
          <w:sz w:val="20"/>
        </w:rPr>
        <w:t xml:space="preserve">. Berdasarkan hal ini, langkah selanjutnya adalah menghitung koefisien model regresi linier berganda atas setiap variabel yang diperoleh dalam </w:t>
      </w:r>
      <w:r w:rsidR="00FD4887">
        <w:rPr>
          <w:rFonts w:ascii="Times New Roman" w:hAnsi="Times New Roman"/>
          <w:sz w:val="20"/>
        </w:rPr>
        <w:t>koefisien variabel</w:t>
      </w:r>
      <w:r w:rsidRPr="00B546E3">
        <w:rPr>
          <w:rFonts w:ascii="Times New Roman" w:hAnsi="Times New Roman"/>
          <w:sz w:val="20"/>
        </w:rPr>
        <w:t xml:space="preserve"> </w:t>
      </w:r>
      <w:r w:rsidR="00FD4887">
        <w:rPr>
          <w:rFonts w:ascii="Times New Roman" w:hAnsi="Times New Roman"/>
          <w:sz w:val="20"/>
        </w:rPr>
        <w:t xml:space="preserve">sebagaimana tabel 9 </w:t>
      </w:r>
      <w:r w:rsidRPr="00B546E3">
        <w:rPr>
          <w:rFonts w:ascii="Times New Roman" w:hAnsi="Times New Roman"/>
          <w:sz w:val="20"/>
        </w:rPr>
        <w:t>berikut.</w:t>
      </w:r>
    </w:p>
    <w:p w:rsidR="00FD4887" w:rsidRDefault="00FD4887" w:rsidP="00EA1598">
      <w:pPr>
        <w:pStyle w:val="Title"/>
        <w:ind w:firstLine="576"/>
        <w:jc w:val="both"/>
        <w:rPr>
          <w:rFonts w:ascii="Times New Roman" w:hAnsi="Times New Roman"/>
          <w:sz w:val="20"/>
        </w:rPr>
      </w:pPr>
    </w:p>
    <w:p w:rsidR="00FD4887" w:rsidRDefault="00FD4887" w:rsidP="00FD4887">
      <w:pPr>
        <w:pStyle w:val="Title"/>
        <w:jc w:val="both"/>
        <w:rPr>
          <w:rFonts w:ascii="Times New Roman" w:hAnsi="Times New Roman"/>
          <w:sz w:val="20"/>
        </w:rPr>
      </w:pPr>
      <w:r>
        <w:rPr>
          <w:rFonts w:ascii="Times New Roman" w:hAnsi="Times New Roman"/>
          <w:sz w:val="20"/>
        </w:rPr>
        <w:t xml:space="preserve">Tabel </w:t>
      </w:r>
      <w:r w:rsidR="0041728C">
        <w:rPr>
          <w:rFonts w:ascii="Times New Roman" w:hAnsi="Times New Roman"/>
          <w:sz w:val="20"/>
        </w:rPr>
        <w:t>9</w:t>
      </w:r>
      <w:r>
        <w:rPr>
          <w:rFonts w:ascii="Times New Roman" w:hAnsi="Times New Roman"/>
          <w:sz w:val="20"/>
        </w:rPr>
        <w:t>.</w:t>
      </w:r>
      <w:r w:rsidRPr="00D6615E">
        <w:rPr>
          <w:rFonts w:ascii="Times New Roman" w:hAnsi="Times New Roman"/>
          <w:sz w:val="20"/>
        </w:rPr>
        <w:t xml:space="preserve"> </w:t>
      </w:r>
      <w:r>
        <w:rPr>
          <w:rFonts w:ascii="Times New Roman" w:hAnsi="Times New Roman"/>
          <w:sz w:val="20"/>
        </w:rPr>
        <w:t>Koefisien Variabel</w:t>
      </w:r>
    </w:p>
    <w:p w:rsidR="00FD4887" w:rsidRDefault="0041728C" w:rsidP="00FD4887">
      <w:pPr>
        <w:pStyle w:val="Title"/>
        <w:jc w:val="both"/>
        <w:rPr>
          <w:rFonts w:ascii="Times New Roman" w:hAnsi="Times New Roman"/>
          <w:sz w:val="20"/>
        </w:rPr>
      </w:pPr>
      <w:r w:rsidRPr="0041728C">
        <w:rPr>
          <w:noProof/>
        </w:rPr>
        <w:drawing>
          <wp:inline distT="0" distB="0" distL="0" distR="0" wp14:anchorId="52B67CB5" wp14:editId="3DDB0E36">
            <wp:extent cx="2651760" cy="113918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1760" cy="1139186"/>
                    </a:xfrm>
                    <a:prstGeom prst="rect">
                      <a:avLst/>
                    </a:prstGeom>
                    <a:noFill/>
                    <a:ln>
                      <a:noFill/>
                    </a:ln>
                  </pic:spPr>
                </pic:pic>
              </a:graphicData>
            </a:graphic>
          </wp:inline>
        </w:drawing>
      </w:r>
    </w:p>
    <w:p w:rsidR="00FD4887" w:rsidRDefault="00FD4887" w:rsidP="00EA1598">
      <w:pPr>
        <w:pStyle w:val="Title"/>
        <w:ind w:firstLine="576"/>
        <w:jc w:val="both"/>
        <w:rPr>
          <w:rFonts w:ascii="Times New Roman" w:hAnsi="Times New Roman"/>
          <w:sz w:val="20"/>
        </w:rPr>
      </w:pPr>
    </w:p>
    <w:p w:rsidR="0041728C" w:rsidRPr="0041728C" w:rsidRDefault="0041728C" w:rsidP="0041728C">
      <w:pPr>
        <w:pStyle w:val="Title"/>
        <w:jc w:val="both"/>
        <w:rPr>
          <w:rFonts w:ascii="Times New Roman" w:hAnsi="Times New Roman"/>
          <w:sz w:val="20"/>
        </w:rPr>
      </w:pPr>
      <w:r w:rsidRPr="0041728C">
        <w:rPr>
          <w:rFonts w:ascii="Times New Roman" w:hAnsi="Times New Roman"/>
          <w:sz w:val="20"/>
        </w:rPr>
        <w:t xml:space="preserve">Tabel </w:t>
      </w:r>
      <w:r>
        <w:rPr>
          <w:rFonts w:ascii="Times New Roman" w:hAnsi="Times New Roman"/>
          <w:sz w:val="20"/>
        </w:rPr>
        <w:t xml:space="preserve">9 di atas </w:t>
      </w:r>
      <w:r w:rsidRPr="0041728C">
        <w:rPr>
          <w:rFonts w:ascii="Times New Roman" w:hAnsi="Times New Roman"/>
          <w:sz w:val="20"/>
        </w:rPr>
        <w:t>menggambarkan persamaan regresi untuk mengetahui angka konstanta serta koefisien atas setiap variabel penelitian. Berdasarkan Tabel 4.12 diatas Persamaan regresi yang terbentuk adalah sebagai berikut :</w:t>
      </w:r>
    </w:p>
    <w:p w:rsidR="0041728C" w:rsidRPr="0041728C" w:rsidRDefault="0041728C" w:rsidP="0041728C">
      <w:pPr>
        <w:pStyle w:val="Title"/>
        <w:jc w:val="both"/>
        <w:rPr>
          <w:rFonts w:ascii="Times New Roman" w:hAnsi="Times New Roman"/>
          <w:sz w:val="20"/>
        </w:rPr>
      </w:pPr>
      <w:r w:rsidRPr="0041728C">
        <w:rPr>
          <w:rFonts w:ascii="Times New Roman" w:hAnsi="Times New Roman"/>
          <w:sz w:val="20"/>
        </w:rPr>
        <w:t>Y = a ± bX + e</w:t>
      </w:r>
    </w:p>
    <w:p w:rsidR="0041728C" w:rsidRPr="0041728C" w:rsidRDefault="0041728C" w:rsidP="0041728C">
      <w:pPr>
        <w:pStyle w:val="Title"/>
        <w:jc w:val="both"/>
        <w:rPr>
          <w:rFonts w:ascii="Times New Roman" w:hAnsi="Times New Roman"/>
          <w:sz w:val="20"/>
        </w:rPr>
      </w:pPr>
      <w:r w:rsidRPr="0041728C">
        <w:rPr>
          <w:rFonts w:ascii="Times New Roman" w:hAnsi="Times New Roman"/>
          <w:sz w:val="20"/>
        </w:rPr>
        <w:t xml:space="preserve">Y = </w:t>
      </w:r>
      <w:r>
        <w:rPr>
          <w:rFonts w:ascii="Times New Roman" w:hAnsi="Times New Roman"/>
          <w:sz w:val="20"/>
        </w:rPr>
        <w:t>-0,263</w:t>
      </w:r>
      <w:r w:rsidRPr="0041728C">
        <w:rPr>
          <w:rFonts w:ascii="Times New Roman" w:hAnsi="Times New Roman"/>
          <w:sz w:val="20"/>
        </w:rPr>
        <w:t xml:space="preserve"> + </w:t>
      </w:r>
      <w:r>
        <w:rPr>
          <w:rFonts w:ascii="Times New Roman" w:hAnsi="Times New Roman"/>
          <w:sz w:val="20"/>
        </w:rPr>
        <w:t>1,074</w:t>
      </w:r>
      <w:r w:rsidRPr="0041728C">
        <w:rPr>
          <w:rFonts w:ascii="Times New Roman" w:hAnsi="Times New Roman"/>
          <w:sz w:val="20"/>
        </w:rPr>
        <w:t xml:space="preserve">X + e </w:t>
      </w:r>
    </w:p>
    <w:p w:rsidR="0041728C" w:rsidRDefault="0041728C" w:rsidP="0041728C">
      <w:pPr>
        <w:pStyle w:val="Title"/>
        <w:jc w:val="both"/>
        <w:rPr>
          <w:rFonts w:ascii="Times New Roman" w:hAnsi="Times New Roman"/>
          <w:sz w:val="20"/>
        </w:rPr>
      </w:pPr>
    </w:p>
    <w:p w:rsidR="0041728C" w:rsidRDefault="0041728C" w:rsidP="0041728C">
      <w:pPr>
        <w:pStyle w:val="Title"/>
        <w:jc w:val="both"/>
        <w:rPr>
          <w:rFonts w:ascii="Times New Roman" w:hAnsi="Times New Roman"/>
          <w:sz w:val="20"/>
        </w:rPr>
      </w:pPr>
    </w:p>
    <w:p w:rsidR="0041728C" w:rsidRDefault="0041728C" w:rsidP="0041728C">
      <w:pPr>
        <w:pStyle w:val="Title"/>
        <w:jc w:val="both"/>
        <w:rPr>
          <w:rFonts w:ascii="Times New Roman" w:hAnsi="Times New Roman"/>
          <w:sz w:val="20"/>
        </w:rPr>
      </w:pPr>
    </w:p>
    <w:p w:rsidR="0041728C" w:rsidRPr="0041728C" w:rsidRDefault="0041728C" w:rsidP="0041728C">
      <w:pPr>
        <w:pStyle w:val="Title"/>
        <w:jc w:val="both"/>
        <w:rPr>
          <w:rFonts w:ascii="Times New Roman" w:hAnsi="Times New Roman"/>
          <w:sz w:val="20"/>
        </w:rPr>
      </w:pPr>
      <w:r w:rsidRPr="0041728C">
        <w:rPr>
          <w:rFonts w:ascii="Times New Roman" w:hAnsi="Times New Roman"/>
          <w:sz w:val="20"/>
        </w:rPr>
        <w:lastRenderedPageBreak/>
        <w:t>Model diatas da</w:t>
      </w:r>
      <w:r>
        <w:rPr>
          <w:rFonts w:ascii="Times New Roman" w:hAnsi="Times New Roman"/>
          <w:sz w:val="20"/>
        </w:rPr>
        <w:t>pat dijelaskan sebagai berikut :</w:t>
      </w:r>
    </w:p>
    <w:p w:rsidR="0041728C" w:rsidRDefault="0041728C" w:rsidP="0041728C">
      <w:pPr>
        <w:pStyle w:val="Title"/>
        <w:numPr>
          <w:ilvl w:val="0"/>
          <w:numId w:val="14"/>
        </w:numPr>
        <w:jc w:val="both"/>
        <w:rPr>
          <w:rFonts w:ascii="Times New Roman" w:hAnsi="Times New Roman"/>
          <w:sz w:val="20"/>
        </w:rPr>
      </w:pPr>
      <w:r w:rsidRPr="0041728C">
        <w:rPr>
          <w:rFonts w:ascii="Times New Roman" w:hAnsi="Times New Roman"/>
          <w:sz w:val="20"/>
        </w:rPr>
        <w:t xml:space="preserve">Konstanta sebesar </w:t>
      </w:r>
      <w:r>
        <w:rPr>
          <w:rFonts w:ascii="Times New Roman" w:hAnsi="Times New Roman"/>
          <w:sz w:val="20"/>
        </w:rPr>
        <w:t>-0,263</w:t>
      </w:r>
      <w:r w:rsidRPr="0041728C">
        <w:rPr>
          <w:rFonts w:ascii="Times New Roman" w:hAnsi="Times New Roman"/>
          <w:sz w:val="20"/>
        </w:rPr>
        <w:t>; artinya ji</w:t>
      </w:r>
      <w:r>
        <w:rPr>
          <w:rFonts w:ascii="Times New Roman" w:hAnsi="Times New Roman"/>
          <w:sz w:val="20"/>
        </w:rPr>
        <w:t xml:space="preserve">ka variabel </w:t>
      </w:r>
      <w:r>
        <w:rPr>
          <w:rFonts w:ascii="Times New Roman" w:hAnsi="Times New Roman"/>
          <w:i/>
          <w:sz w:val="20"/>
        </w:rPr>
        <w:t>good corporate governance</w:t>
      </w:r>
      <w:r w:rsidRPr="0041728C">
        <w:rPr>
          <w:rFonts w:ascii="Times New Roman" w:hAnsi="Times New Roman"/>
          <w:sz w:val="20"/>
        </w:rPr>
        <w:t xml:space="preserve"> nilainya adalah 0 (nol), maka indeks </w:t>
      </w:r>
      <w:r>
        <w:rPr>
          <w:rFonts w:ascii="Times New Roman" w:hAnsi="Times New Roman"/>
          <w:sz w:val="20"/>
        </w:rPr>
        <w:t xml:space="preserve">kinerja (BSC) </w:t>
      </w:r>
      <w:r w:rsidRPr="0041728C">
        <w:rPr>
          <w:rFonts w:ascii="Times New Roman" w:hAnsi="Times New Roman"/>
          <w:sz w:val="20"/>
        </w:rPr>
        <w:t xml:space="preserve">bernilai </w:t>
      </w:r>
      <w:r>
        <w:rPr>
          <w:rFonts w:ascii="Times New Roman" w:hAnsi="Times New Roman"/>
          <w:sz w:val="20"/>
        </w:rPr>
        <w:t>-0,263</w:t>
      </w:r>
      <w:r w:rsidRPr="0041728C">
        <w:rPr>
          <w:rFonts w:ascii="Times New Roman" w:hAnsi="Times New Roman"/>
          <w:sz w:val="20"/>
        </w:rPr>
        <w:t>.</w:t>
      </w:r>
    </w:p>
    <w:p w:rsidR="00D6615E" w:rsidRPr="0041728C" w:rsidRDefault="0041728C" w:rsidP="0041728C">
      <w:pPr>
        <w:pStyle w:val="Title"/>
        <w:numPr>
          <w:ilvl w:val="0"/>
          <w:numId w:val="14"/>
        </w:numPr>
        <w:jc w:val="both"/>
        <w:rPr>
          <w:rFonts w:ascii="Times New Roman" w:hAnsi="Times New Roman"/>
          <w:sz w:val="20"/>
        </w:rPr>
      </w:pPr>
      <w:r w:rsidRPr="0041728C">
        <w:rPr>
          <w:rFonts w:ascii="Times New Roman" w:hAnsi="Times New Roman"/>
          <w:sz w:val="20"/>
        </w:rPr>
        <w:t xml:space="preserve">Koefisien regresi variabel </w:t>
      </w:r>
      <w:r w:rsidR="00375144">
        <w:rPr>
          <w:rFonts w:ascii="Times New Roman" w:hAnsi="Times New Roman"/>
          <w:i/>
          <w:sz w:val="20"/>
        </w:rPr>
        <w:t>good corporate governance</w:t>
      </w:r>
      <w:r w:rsidRPr="0041728C">
        <w:rPr>
          <w:rFonts w:ascii="Times New Roman" w:hAnsi="Times New Roman"/>
          <w:sz w:val="20"/>
        </w:rPr>
        <w:t xml:space="preserve"> sebesar </w:t>
      </w:r>
      <w:r w:rsidR="00375144">
        <w:rPr>
          <w:rFonts w:ascii="Times New Roman" w:hAnsi="Times New Roman"/>
          <w:sz w:val="20"/>
        </w:rPr>
        <w:t>1,074</w:t>
      </w:r>
      <w:r w:rsidRPr="0041728C">
        <w:rPr>
          <w:rFonts w:ascii="Times New Roman" w:hAnsi="Times New Roman"/>
          <w:sz w:val="20"/>
        </w:rPr>
        <w:t xml:space="preserve">; artinya jika variabel </w:t>
      </w:r>
      <w:r w:rsidR="00375144">
        <w:rPr>
          <w:rFonts w:ascii="Times New Roman" w:hAnsi="Times New Roman"/>
          <w:i/>
          <w:sz w:val="20"/>
        </w:rPr>
        <w:t>good corporate governance</w:t>
      </w:r>
      <w:r w:rsidR="00375144" w:rsidRPr="0041728C">
        <w:rPr>
          <w:rFonts w:ascii="Times New Roman" w:hAnsi="Times New Roman"/>
          <w:sz w:val="20"/>
        </w:rPr>
        <w:t xml:space="preserve"> </w:t>
      </w:r>
      <w:r w:rsidRPr="0041728C">
        <w:rPr>
          <w:rFonts w:ascii="Times New Roman" w:hAnsi="Times New Roman"/>
          <w:sz w:val="20"/>
        </w:rPr>
        <w:t xml:space="preserve">bernilai 1, maka </w:t>
      </w:r>
      <w:r w:rsidR="00375144">
        <w:rPr>
          <w:rFonts w:ascii="Times New Roman" w:hAnsi="Times New Roman"/>
          <w:sz w:val="20"/>
        </w:rPr>
        <w:t>kinerja (BSC)</w:t>
      </w:r>
      <w:r w:rsidRPr="0041728C">
        <w:rPr>
          <w:rFonts w:ascii="Times New Roman" w:hAnsi="Times New Roman"/>
          <w:sz w:val="20"/>
        </w:rPr>
        <w:t xml:space="preserve"> akan mengalami peningkatan sebesar </w:t>
      </w:r>
      <w:r w:rsidR="00375144">
        <w:rPr>
          <w:rFonts w:ascii="Times New Roman" w:hAnsi="Times New Roman"/>
          <w:sz w:val="20"/>
        </w:rPr>
        <w:t>1,074</w:t>
      </w:r>
      <w:r w:rsidRPr="0041728C">
        <w:rPr>
          <w:rFonts w:ascii="Times New Roman" w:hAnsi="Times New Roman"/>
          <w:sz w:val="20"/>
        </w:rPr>
        <w:t xml:space="preserve">. Koefisien bernilai positif artinya semakin meningkat nilai </w:t>
      </w:r>
      <w:r w:rsidR="00375144">
        <w:rPr>
          <w:rFonts w:ascii="Times New Roman" w:hAnsi="Times New Roman"/>
          <w:i/>
          <w:sz w:val="20"/>
        </w:rPr>
        <w:t>good corporate governance</w:t>
      </w:r>
      <w:r w:rsidR="00375144" w:rsidRPr="0041728C">
        <w:rPr>
          <w:rFonts w:ascii="Times New Roman" w:hAnsi="Times New Roman"/>
          <w:sz w:val="20"/>
        </w:rPr>
        <w:t xml:space="preserve"> </w:t>
      </w:r>
      <w:r w:rsidRPr="0041728C">
        <w:rPr>
          <w:rFonts w:ascii="Times New Roman" w:hAnsi="Times New Roman"/>
          <w:sz w:val="20"/>
        </w:rPr>
        <w:t xml:space="preserve">maka </w:t>
      </w:r>
      <w:r w:rsidR="00375144">
        <w:rPr>
          <w:rFonts w:ascii="Times New Roman" w:hAnsi="Times New Roman"/>
          <w:sz w:val="20"/>
        </w:rPr>
        <w:t>kinerja (BSC)</w:t>
      </w:r>
      <w:r w:rsidRPr="0041728C">
        <w:rPr>
          <w:rFonts w:ascii="Times New Roman" w:hAnsi="Times New Roman"/>
          <w:sz w:val="20"/>
        </w:rPr>
        <w:t xml:space="preserve"> akan meningkat pula.</w:t>
      </w:r>
    </w:p>
    <w:p w:rsidR="0041728C" w:rsidRDefault="0041728C" w:rsidP="004B6F74">
      <w:pPr>
        <w:pStyle w:val="Title"/>
        <w:jc w:val="both"/>
        <w:rPr>
          <w:rFonts w:ascii="Times New Roman" w:hAnsi="Times New Roman"/>
          <w:sz w:val="20"/>
        </w:rPr>
      </w:pPr>
    </w:p>
    <w:p w:rsidR="00ED7C67" w:rsidRPr="00543423" w:rsidRDefault="00ED7C67" w:rsidP="004B6F74">
      <w:pPr>
        <w:pStyle w:val="Heading2"/>
        <w:spacing w:before="0" w:after="0"/>
        <w:jc w:val="both"/>
      </w:pPr>
      <w:r>
        <w:rPr>
          <w:lang w:val="en-US"/>
        </w:rPr>
        <w:t>Uji Hipotesis</w:t>
      </w:r>
    </w:p>
    <w:p w:rsidR="004A5FD2" w:rsidRPr="00373E86" w:rsidRDefault="004A5FD2" w:rsidP="004A5FD2">
      <w:pPr>
        <w:spacing w:before="0" w:after="0"/>
      </w:pPr>
      <w:r w:rsidRPr="00373E86">
        <w:t>Uji hipotesis dapat dilakukan melalui uji t.</w:t>
      </w:r>
      <w:r>
        <w:rPr>
          <w:b/>
        </w:rPr>
        <w:t xml:space="preserve"> </w:t>
      </w:r>
      <w:r w:rsidRPr="0034679C">
        <w:t>Uji t dilakukan untuk mengetahui berarti tidaknya suatu variabel independen dalam mempengaruhi variabel dependen secara parsial. Hipotes</w:t>
      </w:r>
      <w:r>
        <w:t>is dirumuskan sebagai berikut :</w:t>
      </w:r>
    </w:p>
    <w:p w:rsidR="004A5FD2" w:rsidRDefault="004A5FD2" w:rsidP="004A5FD2">
      <w:pPr>
        <w:autoSpaceDE w:val="0"/>
        <w:autoSpaceDN w:val="0"/>
        <w:adjustRightInd w:val="0"/>
        <w:spacing w:before="0" w:after="0"/>
        <w:ind w:left="720" w:hanging="360"/>
      </w:pPr>
      <w:r w:rsidRPr="0034679C">
        <w:t>H</w:t>
      </w:r>
      <w:r w:rsidRPr="0034679C">
        <w:rPr>
          <w:vertAlign w:val="subscript"/>
        </w:rPr>
        <w:t>0</w:t>
      </w:r>
      <w:r w:rsidRPr="0034679C">
        <w:rPr>
          <w:vertAlign w:val="subscript"/>
        </w:rPr>
        <w:tab/>
      </w:r>
      <w:r w:rsidRPr="0034679C">
        <w:t xml:space="preserve">: Secara parsial terdapat pengaruh antara variabel </w:t>
      </w:r>
      <w:r>
        <w:t xml:space="preserve">kualitas layanan </w:t>
      </w:r>
      <w:r w:rsidRPr="0034679C">
        <w:t xml:space="preserve">terhadap </w:t>
      </w:r>
      <w:r>
        <w:t>loyalitas</w:t>
      </w:r>
    </w:p>
    <w:p w:rsidR="004A5FD2" w:rsidRPr="000526B5" w:rsidRDefault="004A5FD2" w:rsidP="004A5FD2">
      <w:pPr>
        <w:autoSpaceDE w:val="0"/>
        <w:autoSpaceDN w:val="0"/>
        <w:adjustRightInd w:val="0"/>
        <w:spacing w:before="0" w:after="0"/>
        <w:ind w:firstLine="720"/>
      </w:pPr>
      <w:r>
        <w:t>nasabah</w:t>
      </w:r>
      <w:r w:rsidRPr="0034679C">
        <w:t>.</w:t>
      </w:r>
    </w:p>
    <w:p w:rsidR="004A5FD2" w:rsidRDefault="004A5FD2" w:rsidP="004A5FD2">
      <w:pPr>
        <w:autoSpaceDE w:val="0"/>
        <w:autoSpaceDN w:val="0"/>
        <w:adjustRightInd w:val="0"/>
        <w:spacing w:before="0" w:after="0"/>
        <w:ind w:left="720" w:hanging="360"/>
      </w:pPr>
      <w:r w:rsidRPr="0034679C">
        <w:t>H</w:t>
      </w:r>
      <w:r w:rsidRPr="0034679C">
        <w:rPr>
          <w:vertAlign w:val="subscript"/>
        </w:rPr>
        <w:t>1</w:t>
      </w:r>
      <w:r w:rsidRPr="0034679C">
        <w:rPr>
          <w:vertAlign w:val="subscript"/>
        </w:rPr>
        <w:tab/>
      </w:r>
      <w:r w:rsidRPr="0034679C">
        <w:t xml:space="preserve">: Secara parsial </w:t>
      </w:r>
      <w:r>
        <w:t>t</w:t>
      </w:r>
      <w:r w:rsidRPr="0034679C">
        <w:t xml:space="preserve">idak terdapat pengaruh antara variabel </w:t>
      </w:r>
      <w:r>
        <w:t xml:space="preserve">kualitas layanan </w:t>
      </w:r>
      <w:r w:rsidRPr="0034679C">
        <w:t>terhadap</w:t>
      </w:r>
    </w:p>
    <w:p w:rsidR="004A5FD2" w:rsidRPr="00373E86" w:rsidRDefault="004A5FD2" w:rsidP="004A5FD2">
      <w:pPr>
        <w:autoSpaceDE w:val="0"/>
        <w:autoSpaceDN w:val="0"/>
        <w:adjustRightInd w:val="0"/>
        <w:spacing w:before="0" w:after="0"/>
        <w:ind w:firstLine="720"/>
      </w:pPr>
      <w:r>
        <w:t>loyalitas nasabah</w:t>
      </w:r>
      <w:r w:rsidRPr="0034679C">
        <w:t>.</w:t>
      </w:r>
    </w:p>
    <w:p w:rsidR="004A5FD2" w:rsidRDefault="004A5FD2" w:rsidP="004A5FD2">
      <w:pPr>
        <w:autoSpaceDE w:val="0"/>
        <w:autoSpaceDN w:val="0"/>
        <w:adjustRightInd w:val="0"/>
        <w:spacing w:before="0" w:after="0"/>
      </w:pPr>
    </w:p>
    <w:p w:rsidR="004A5FD2" w:rsidRPr="0034679C" w:rsidRDefault="004A5FD2" w:rsidP="004A5FD2">
      <w:pPr>
        <w:autoSpaceDE w:val="0"/>
        <w:autoSpaceDN w:val="0"/>
        <w:adjustRightInd w:val="0"/>
        <w:spacing w:before="0" w:after="0"/>
      </w:pPr>
      <w:r w:rsidRPr="0034679C">
        <w:t>Kriteria pengambilan keputusan adalah sebagai berikut :</w:t>
      </w:r>
    </w:p>
    <w:p w:rsidR="004A5FD2" w:rsidRPr="0034679C" w:rsidRDefault="004A5FD2" w:rsidP="004A5FD2">
      <w:pPr>
        <w:numPr>
          <w:ilvl w:val="0"/>
          <w:numId w:val="15"/>
        </w:numPr>
        <w:autoSpaceDE w:val="0"/>
        <w:autoSpaceDN w:val="0"/>
        <w:adjustRightInd w:val="0"/>
        <w:spacing w:before="0" w:after="0"/>
        <w:ind w:left="360"/>
        <w:contextualSpacing/>
      </w:pPr>
      <w:r w:rsidRPr="0034679C">
        <w:t>Jika tingkat signifikansi lebih kecil dari 5%, maka dapat disimpulkan bahwa H</w:t>
      </w:r>
      <w:r w:rsidRPr="0034679C">
        <w:rPr>
          <w:vertAlign w:val="subscript"/>
        </w:rPr>
        <w:t xml:space="preserve">0 </w:t>
      </w:r>
      <w:r w:rsidRPr="0034679C">
        <w:t>diterima, sebaliknya H</w:t>
      </w:r>
      <w:r w:rsidRPr="0034679C">
        <w:rPr>
          <w:vertAlign w:val="subscript"/>
        </w:rPr>
        <w:t>1</w:t>
      </w:r>
      <w:r w:rsidRPr="0034679C">
        <w:t xml:space="preserve"> ditolak.</w:t>
      </w:r>
    </w:p>
    <w:p w:rsidR="004A5FD2" w:rsidRPr="0034679C" w:rsidRDefault="004A5FD2" w:rsidP="004A5FD2">
      <w:pPr>
        <w:numPr>
          <w:ilvl w:val="0"/>
          <w:numId w:val="15"/>
        </w:numPr>
        <w:autoSpaceDE w:val="0"/>
        <w:autoSpaceDN w:val="0"/>
        <w:adjustRightInd w:val="0"/>
        <w:spacing w:before="0" w:after="0"/>
        <w:ind w:left="360"/>
        <w:contextualSpacing/>
      </w:pPr>
      <w:r w:rsidRPr="0034679C">
        <w:t>Jika tingkat signifikansi lebih besar dari 5%, maka dapat disimpulkan sebaliknya bahwa H</w:t>
      </w:r>
      <w:r w:rsidRPr="0034679C">
        <w:rPr>
          <w:vertAlign w:val="subscript"/>
        </w:rPr>
        <w:t xml:space="preserve">0 </w:t>
      </w:r>
      <w:r w:rsidRPr="0034679C">
        <w:t>ditolak, H</w:t>
      </w:r>
      <w:r w:rsidRPr="0034679C">
        <w:rPr>
          <w:vertAlign w:val="subscript"/>
        </w:rPr>
        <w:t>1</w:t>
      </w:r>
      <w:r w:rsidRPr="0034679C">
        <w:t xml:space="preserve"> diterima.</w:t>
      </w:r>
    </w:p>
    <w:p w:rsidR="004A5FD2" w:rsidRDefault="004A5FD2" w:rsidP="004A5FD2">
      <w:pPr>
        <w:autoSpaceDE w:val="0"/>
        <w:autoSpaceDN w:val="0"/>
        <w:adjustRightInd w:val="0"/>
        <w:spacing w:before="0" w:after="0"/>
      </w:pPr>
    </w:p>
    <w:p w:rsidR="004A5FD2" w:rsidRDefault="004A5FD2" w:rsidP="000D1A70">
      <w:pPr>
        <w:autoSpaceDE w:val="0"/>
        <w:autoSpaceDN w:val="0"/>
        <w:adjustRightInd w:val="0"/>
        <w:spacing w:before="0" w:after="0"/>
      </w:pPr>
      <w:r w:rsidRPr="0034679C">
        <w:t xml:space="preserve">Hasil uji parsial dapat dilihat pada Tabel </w:t>
      </w:r>
      <w:r>
        <w:t xml:space="preserve">9 </w:t>
      </w:r>
      <w:r w:rsidRPr="0034679C">
        <w:t>di</w:t>
      </w:r>
      <w:r>
        <w:t xml:space="preserve"> </w:t>
      </w:r>
      <w:r w:rsidRPr="0034679C">
        <w:t>atas d</w:t>
      </w:r>
      <w:r>
        <w:t>iperoleh hasil bahwa v</w:t>
      </w:r>
      <w:r w:rsidRPr="0034679C">
        <w:t xml:space="preserve">ariabel </w:t>
      </w:r>
      <w:r>
        <w:rPr>
          <w:i/>
        </w:rPr>
        <w:t>good corporate governance</w:t>
      </w:r>
      <w:r w:rsidRPr="0034679C">
        <w:t xml:space="preserve"> memiliki nilai sig sebesar 0,00</w:t>
      </w:r>
      <w:r>
        <w:t>0</w:t>
      </w:r>
      <w:r w:rsidR="000D1A70">
        <w:t xml:space="preserve"> (&lt;0,05) </w:t>
      </w:r>
      <w:r w:rsidRPr="0034679C">
        <w:t>sehingga dapat disimpulkan bahwa H</w:t>
      </w:r>
      <w:r w:rsidRPr="0034679C">
        <w:rPr>
          <w:vertAlign w:val="subscript"/>
        </w:rPr>
        <w:t xml:space="preserve">0 </w:t>
      </w:r>
      <w:r w:rsidR="000D1A70">
        <w:t>diterima</w:t>
      </w:r>
      <w:r w:rsidRPr="0034679C">
        <w:t xml:space="preserve">, artinya secara parsial terdapat pengaruh signifikan antara variabel </w:t>
      </w:r>
      <w:r w:rsidR="000D1A70">
        <w:rPr>
          <w:i/>
        </w:rPr>
        <w:t>good corporate governance</w:t>
      </w:r>
      <w:r w:rsidR="000D1A70" w:rsidRPr="0041728C">
        <w:t xml:space="preserve"> </w:t>
      </w:r>
      <w:r w:rsidRPr="0034679C">
        <w:t xml:space="preserve">terhadap </w:t>
      </w:r>
      <w:r w:rsidR="000D1A70">
        <w:t>kinerja (BSC)</w:t>
      </w:r>
      <w:r w:rsidRPr="0034679C">
        <w:t>.</w:t>
      </w:r>
    </w:p>
    <w:p w:rsidR="00ED7C67" w:rsidRPr="00ED48E3" w:rsidRDefault="00ED7C67" w:rsidP="004B6F74">
      <w:pPr>
        <w:pStyle w:val="Title"/>
        <w:jc w:val="both"/>
        <w:rPr>
          <w:rFonts w:ascii="Times New Roman" w:hAnsi="Times New Roman"/>
          <w:sz w:val="20"/>
        </w:rPr>
      </w:pPr>
    </w:p>
    <w:p w:rsidR="00B40D48" w:rsidRPr="00543423" w:rsidRDefault="00B40D48" w:rsidP="004B6F74">
      <w:pPr>
        <w:pStyle w:val="Heading2"/>
        <w:spacing w:before="0" w:after="0"/>
        <w:jc w:val="both"/>
      </w:pPr>
      <w:r>
        <w:rPr>
          <w:lang w:val="en-US"/>
        </w:rPr>
        <w:t>Korelasi Antar Variabel</w:t>
      </w:r>
    </w:p>
    <w:p w:rsidR="007F23B0" w:rsidRDefault="007F23B0" w:rsidP="007F23B0">
      <w:pPr>
        <w:spacing w:before="0" w:after="0"/>
      </w:pPr>
      <w:r>
        <w:t>Untuk dapat mengetahui tingkat korelasi antar variabel dapat dilihat dalam Tabel 10 berikut.</w:t>
      </w:r>
    </w:p>
    <w:p w:rsidR="007F23B0" w:rsidRDefault="007F23B0" w:rsidP="007F23B0">
      <w:pPr>
        <w:spacing w:before="0" w:after="0"/>
        <w:ind w:firstLine="0"/>
      </w:pPr>
    </w:p>
    <w:p w:rsidR="007F23B0" w:rsidRDefault="007F23B0" w:rsidP="007F23B0">
      <w:pPr>
        <w:spacing w:before="0" w:after="0"/>
        <w:ind w:firstLine="0"/>
      </w:pPr>
      <w:r>
        <w:t xml:space="preserve">Tabel 10. </w:t>
      </w:r>
      <w:r w:rsidRPr="0097660A">
        <w:rPr>
          <w:i/>
        </w:rPr>
        <w:t>Correlations Inter Variable</w:t>
      </w:r>
    </w:p>
    <w:p w:rsidR="007F23B0" w:rsidRDefault="00210D53" w:rsidP="007F23B0">
      <w:pPr>
        <w:spacing w:before="0" w:after="0"/>
        <w:ind w:firstLine="0"/>
      </w:pPr>
      <w:r w:rsidRPr="00210D53">
        <w:rPr>
          <w:noProof/>
        </w:rPr>
        <w:drawing>
          <wp:inline distT="0" distB="0" distL="0" distR="0" wp14:anchorId="17BCFB05" wp14:editId="47F6BAA5">
            <wp:extent cx="2560064" cy="1344304"/>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60769" cy="1344674"/>
                    </a:xfrm>
                    <a:prstGeom prst="rect">
                      <a:avLst/>
                    </a:prstGeom>
                    <a:noFill/>
                    <a:ln>
                      <a:noFill/>
                    </a:ln>
                  </pic:spPr>
                </pic:pic>
              </a:graphicData>
            </a:graphic>
          </wp:inline>
        </w:drawing>
      </w:r>
    </w:p>
    <w:p w:rsidR="007F23B0" w:rsidRDefault="007F23B0" w:rsidP="0097660A">
      <w:pPr>
        <w:spacing w:before="0" w:after="0"/>
        <w:ind w:firstLine="720"/>
      </w:pPr>
      <w:r>
        <w:lastRenderedPageBreak/>
        <w:t xml:space="preserve">Tabel </w:t>
      </w:r>
      <w:r w:rsidR="00210D53">
        <w:t xml:space="preserve">10 di atas </w:t>
      </w:r>
      <w:r>
        <w:t xml:space="preserve">memberikan informasi mengenai hubungan antara variabel. Besar koefisien korelasi antara variabel </w:t>
      </w:r>
      <w:r w:rsidR="00210D53">
        <w:rPr>
          <w:i/>
        </w:rPr>
        <w:t xml:space="preserve">good corporate governance </w:t>
      </w:r>
      <w:r>
        <w:t xml:space="preserve">dan </w:t>
      </w:r>
      <w:r w:rsidR="00210D53">
        <w:t xml:space="preserve">kinerja (BSC) adalah sebesar 0,961 </w:t>
      </w:r>
      <w:r>
        <w:t xml:space="preserve">dengan nilai sig sebesar 0,000 (signifikan karena &lt;0,05). Koefisien korelasi positif menunjukkan bahwa pengaruh antara kedua variabel tersebut positif dan signifikan. Artinya jika variabel </w:t>
      </w:r>
      <w:r w:rsidR="00210D53">
        <w:rPr>
          <w:i/>
        </w:rPr>
        <w:t>good corporate governance</w:t>
      </w:r>
      <w:r w:rsidR="00210D53">
        <w:t xml:space="preserve"> (X</w:t>
      </w:r>
      <w:r>
        <w:t xml:space="preserve">) meningkat maka variabel </w:t>
      </w:r>
      <w:r w:rsidR="00210D53">
        <w:t xml:space="preserve">kinerja (BSC) </w:t>
      </w:r>
      <w:r>
        <w:t>(Y) akan meningkat pula.</w:t>
      </w:r>
    </w:p>
    <w:p w:rsidR="00B40D48" w:rsidRPr="00ED48E3" w:rsidRDefault="00B40D48" w:rsidP="00B40D48">
      <w:pPr>
        <w:pStyle w:val="Title"/>
        <w:jc w:val="both"/>
        <w:rPr>
          <w:rFonts w:ascii="Times New Roman" w:hAnsi="Times New Roman"/>
          <w:sz w:val="20"/>
        </w:rPr>
      </w:pPr>
    </w:p>
    <w:p w:rsidR="00F56DA2" w:rsidRPr="0097660A" w:rsidRDefault="0072472A" w:rsidP="00DF60CF">
      <w:pPr>
        <w:pStyle w:val="Heading1"/>
        <w:spacing w:before="0"/>
        <w:rPr>
          <w:i/>
        </w:rPr>
      </w:pPr>
      <w:r w:rsidRPr="0097660A">
        <w:rPr>
          <w:i/>
          <w:lang w:val="en-ID"/>
        </w:rPr>
        <w:t>Conclusions</w:t>
      </w:r>
      <w:r w:rsidR="005D057A" w:rsidRPr="0097660A">
        <w:rPr>
          <w:i/>
        </w:rPr>
        <w:t xml:space="preserve"> </w:t>
      </w:r>
      <w:r w:rsidRPr="0097660A">
        <w:rPr>
          <w:i/>
          <w:lang w:val="en-ID"/>
        </w:rPr>
        <w:t>and Recommendations</w:t>
      </w:r>
    </w:p>
    <w:p w:rsidR="009F0A4A" w:rsidRDefault="009F0A4A" w:rsidP="009F0A4A">
      <w:pPr>
        <w:pStyle w:val="Heading2"/>
        <w:numPr>
          <w:ilvl w:val="0"/>
          <w:numId w:val="0"/>
        </w:numPr>
        <w:spacing w:before="0" w:after="0"/>
        <w:ind w:left="576"/>
      </w:pPr>
    </w:p>
    <w:p w:rsidR="00F56DA2" w:rsidRPr="0097660A" w:rsidRDefault="00697ABC" w:rsidP="00DF60CF">
      <w:pPr>
        <w:pStyle w:val="Heading2"/>
        <w:spacing w:before="0" w:after="0"/>
        <w:rPr>
          <w:i/>
        </w:rPr>
      </w:pPr>
      <w:r w:rsidRPr="0097660A">
        <w:rPr>
          <w:i/>
          <w:lang w:val="en-ID"/>
        </w:rPr>
        <w:t>Conclusions</w:t>
      </w:r>
    </w:p>
    <w:p w:rsidR="00BF4553" w:rsidRDefault="00BF4553" w:rsidP="00BF4553">
      <w:pPr>
        <w:pStyle w:val="Title"/>
        <w:ind w:firstLine="360"/>
        <w:jc w:val="both"/>
        <w:rPr>
          <w:rFonts w:ascii="Times New Roman" w:hAnsi="Times New Roman"/>
          <w:sz w:val="20"/>
          <w:lang w:eastAsia="id-ID"/>
        </w:rPr>
      </w:pPr>
      <w:r w:rsidRPr="00BF4553">
        <w:rPr>
          <w:rFonts w:ascii="Times New Roman" w:hAnsi="Times New Roman"/>
          <w:sz w:val="20"/>
          <w:lang w:eastAsia="id-ID"/>
        </w:rPr>
        <w:t>Adapun kesimpulan yang dapat diberikan sehubungan dengan hasil penelitian dan pembahasan ini dapat diuraikan sebagai be</w:t>
      </w:r>
      <w:r>
        <w:rPr>
          <w:rFonts w:ascii="Times New Roman" w:hAnsi="Times New Roman"/>
          <w:sz w:val="20"/>
          <w:lang w:eastAsia="id-ID"/>
        </w:rPr>
        <w:t>rikut :</w:t>
      </w:r>
    </w:p>
    <w:p w:rsidR="00BF4553" w:rsidRDefault="003E4A9C" w:rsidP="00BF4553">
      <w:pPr>
        <w:pStyle w:val="Title"/>
        <w:numPr>
          <w:ilvl w:val="0"/>
          <w:numId w:val="16"/>
        </w:numPr>
        <w:jc w:val="both"/>
        <w:rPr>
          <w:rFonts w:ascii="Times New Roman" w:hAnsi="Times New Roman"/>
          <w:sz w:val="20"/>
          <w:lang w:eastAsia="id-ID"/>
        </w:rPr>
      </w:pPr>
      <w:r>
        <w:rPr>
          <w:rFonts w:ascii="Times New Roman" w:hAnsi="Times New Roman"/>
          <w:sz w:val="20"/>
          <w:lang w:eastAsia="id-ID"/>
        </w:rPr>
        <w:t xml:space="preserve">Berdasarkan pengujian hipotesis </w:t>
      </w:r>
      <w:r w:rsidR="00E93064">
        <w:rPr>
          <w:rFonts w:ascii="Times New Roman" w:hAnsi="Times New Roman"/>
          <w:sz w:val="20"/>
          <w:lang w:eastAsia="id-ID"/>
        </w:rPr>
        <w:t xml:space="preserve">melalui uji t </w:t>
      </w:r>
      <w:r>
        <w:rPr>
          <w:rFonts w:ascii="Times New Roman" w:hAnsi="Times New Roman"/>
          <w:sz w:val="20"/>
          <w:lang w:eastAsia="id-ID"/>
        </w:rPr>
        <w:t xml:space="preserve">diperoleh hasil bahwa variabel </w:t>
      </w:r>
      <w:r>
        <w:rPr>
          <w:rFonts w:ascii="Times New Roman" w:hAnsi="Times New Roman"/>
          <w:i/>
          <w:sz w:val="20"/>
          <w:lang w:eastAsia="id-ID"/>
        </w:rPr>
        <w:t xml:space="preserve">good corporate governance </w:t>
      </w:r>
      <w:r>
        <w:rPr>
          <w:rFonts w:ascii="Times New Roman" w:hAnsi="Times New Roman"/>
          <w:sz w:val="20"/>
          <w:lang w:eastAsia="id-ID"/>
        </w:rPr>
        <w:t>berpengaruh terhadap kinerja (BSC)</w:t>
      </w:r>
      <w:r w:rsidR="00E93064">
        <w:rPr>
          <w:rFonts w:ascii="Times New Roman" w:hAnsi="Times New Roman"/>
          <w:sz w:val="20"/>
          <w:lang w:eastAsia="id-ID"/>
        </w:rPr>
        <w:t xml:space="preserve"> dengan </w:t>
      </w:r>
      <w:r w:rsidR="00E93064" w:rsidRPr="00E93064">
        <w:rPr>
          <w:rFonts w:ascii="Times New Roman" w:hAnsi="Times New Roman"/>
          <w:sz w:val="20"/>
        </w:rPr>
        <w:t>nilai sig sebesar 0,000 (&lt;0,05)</w:t>
      </w:r>
      <w:r w:rsidR="00E93064">
        <w:rPr>
          <w:rFonts w:ascii="Times New Roman" w:hAnsi="Times New Roman"/>
          <w:sz w:val="20"/>
        </w:rPr>
        <w:t>.</w:t>
      </w:r>
    </w:p>
    <w:p w:rsidR="00BF4553" w:rsidRDefault="00152340" w:rsidP="00BF4553">
      <w:pPr>
        <w:pStyle w:val="Title"/>
        <w:numPr>
          <w:ilvl w:val="0"/>
          <w:numId w:val="16"/>
        </w:numPr>
        <w:jc w:val="both"/>
        <w:rPr>
          <w:rFonts w:ascii="Times New Roman" w:hAnsi="Times New Roman"/>
          <w:sz w:val="20"/>
          <w:lang w:eastAsia="id-ID"/>
        </w:rPr>
      </w:pPr>
      <w:r>
        <w:rPr>
          <w:rFonts w:ascii="Times New Roman" w:hAnsi="Times New Roman"/>
          <w:sz w:val="20"/>
          <w:lang w:eastAsia="id-ID"/>
        </w:rPr>
        <w:t>Berdasarkan hasil perhitungan R</w:t>
      </w:r>
      <w:r w:rsidRPr="00152340">
        <w:rPr>
          <w:rFonts w:ascii="Times New Roman" w:hAnsi="Times New Roman"/>
          <w:sz w:val="20"/>
          <w:vertAlign w:val="subscript"/>
          <w:lang w:eastAsia="id-ID"/>
        </w:rPr>
        <w:t>hitung</w:t>
      </w:r>
      <w:r>
        <w:rPr>
          <w:rFonts w:ascii="Times New Roman" w:hAnsi="Times New Roman"/>
          <w:sz w:val="20"/>
          <w:vertAlign w:val="subscript"/>
          <w:lang w:eastAsia="id-ID"/>
        </w:rPr>
        <w:t xml:space="preserve"> </w:t>
      </w:r>
      <w:r>
        <w:rPr>
          <w:rFonts w:ascii="Times New Roman" w:hAnsi="Times New Roman"/>
          <w:sz w:val="20"/>
          <w:lang w:eastAsia="id-ID"/>
        </w:rPr>
        <w:t xml:space="preserve">terhadap variabel GCG, diketahui bahwa indikator akuntabilitas dan </w:t>
      </w:r>
      <w:r>
        <w:rPr>
          <w:rFonts w:ascii="Times New Roman" w:hAnsi="Times New Roman"/>
          <w:i/>
          <w:sz w:val="20"/>
          <w:lang w:eastAsia="id-ID"/>
        </w:rPr>
        <w:t xml:space="preserve">fairness </w:t>
      </w:r>
      <w:r>
        <w:rPr>
          <w:rFonts w:ascii="Times New Roman" w:hAnsi="Times New Roman"/>
          <w:sz w:val="20"/>
          <w:lang w:eastAsia="id-ID"/>
        </w:rPr>
        <w:t>memiliki pengaruh yang paling besar terhadap kinerja.</w:t>
      </w:r>
    </w:p>
    <w:p w:rsidR="00152340" w:rsidRDefault="00152340" w:rsidP="00152340">
      <w:pPr>
        <w:pStyle w:val="Title"/>
        <w:numPr>
          <w:ilvl w:val="0"/>
          <w:numId w:val="16"/>
        </w:numPr>
        <w:jc w:val="both"/>
        <w:rPr>
          <w:rFonts w:ascii="Times New Roman" w:hAnsi="Times New Roman"/>
          <w:sz w:val="20"/>
          <w:lang w:eastAsia="id-ID"/>
        </w:rPr>
      </w:pPr>
      <w:r>
        <w:rPr>
          <w:rFonts w:ascii="Times New Roman" w:hAnsi="Times New Roman"/>
          <w:sz w:val="20"/>
          <w:lang w:eastAsia="id-ID"/>
        </w:rPr>
        <w:t>Berdasarkan hasil perhitungan R</w:t>
      </w:r>
      <w:r w:rsidRPr="00152340">
        <w:rPr>
          <w:rFonts w:ascii="Times New Roman" w:hAnsi="Times New Roman"/>
          <w:sz w:val="20"/>
          <w:vertAlign w:val="subscript"/>
          <w:lang w:eastAsia="id-ID"/>
        </w:rPr>
        <w:t>hitung</w:t>
      </w:r>
      <w:r>
        <w:rPr>
          <w:rFonts w:ascii="Times New Roman" w:hAnsi="Times New Roman"/>
          <w:sz w:val="20"/>
          <w:vertAlign w:val="subscript"/>
          <w:lang w:eastAsia="id-ID"/>
        </w:rPr>
        <w:t xml:space="preserve"> </w:t>
      </w:r>
      <w:r>
        <w:rPr>
          <w:rFonts w:ascii="Times New Roman" w:hAnsi="Times New Roman"/>
          <w:sz w:val="20"/>
          <w:lang w:eastAsia="id-ID"/>
        </w:rPr>
        <w:t xml:space="preserve">terhadap variabel kinerja (BSC), diketahui bahwa indikator </w:t>
      </w:r>
      <w:r>
        <w:rPr>
          <w:rFonts w:ascii="Times New Roman" w:hAnsi="Times New Roman"/>
          <w:i/>
          <w:sz w:val="20"/>
          <w:lang w:eastAsia="id-ID"/>
        </w:rPr>
        <w:t>financial perspective</w:t>
      </w:r>
      <w:r>
        <w:rPr>
          <w:rFonts w:ascii="Times New Roman" w:hAnsi="Times New Roman"/>
          <w:sz w:val="20"/>
          <w:lang w:eastAsia="id-ID"/>
        </w:rPr>
        <w:t xml:space="preserve"> memiliki pengaruh yang paling besar terhadap kinerja.</w:t>
      </w:r>
    </w:p>
    <w:p w:rsidR="00152340" w:rsidRDefault="00152340" w:rsidP="002304EF">
      <w:pPr>
        <w:pStyle w:val="Title"/>
        <w:jc w:val="both"/>
        <w:rPr>
          <w:rFonts w:ascii="Times New Roman" w:hAnsi="Times New Roman"/>
          <w:sz w:val="20"/>
          <w:lang w:eastAsia="id-ID"/>
        </w:rPr>
      </w:pPr>
    </w:p>
    <w:p w:rsidR="008F54C0" w:rsidRPr="0097660A" w:rsidRDefault="00697ABC" w:rsidP="008F54C0">
      <w:pPr>
        <w:pStyle w:val="Heading2"/>
        <w:spacing w:before="0" w:after="0"/>
        <w:rPr>
          <w:i/>
        </w:rPr>
      </w:pPr>
      <w:r w:rsidRPr="0097660A">
        <w:rPr>
          <w:i/>
          <w:lang w:val="en-ID"/>
        </w:rPr>
        <w:t>Recommendation</w:t>
      </w:r>
    </w:p>
    <w:p w:rsidR="00D201BB" w:rsidRPr="00152340" w:rsidRDefault="00D201BB" w:rsidP="00D201BB">
      <w:pPr>
        <w:pStyle w:val="Title"/>
        <w:ind w:firstLine="360"/>
        <w:jc w:val="both"/>
        <w:rPr>
          <w:rFonts w:ascii="Times New Roman" w:hAnsi="Times New Roman"/>
          <w:sz w:val="20"/>
        </w:rPr>
      </w:pPr>
      <w:r w:rsidRPr="00152340">
        <w:rPr>
          <w:rFonts w:ascii="Times New Roman" w:hAnsi="Times New Roman"/>
          <w:sz w:val="20"/>
        </w:rPr>
        <w:t xml:space="preserve">Berdasarkan hasil penelitian, </w:t>
      </w:r>
      <w:r w:rsidR="00152340" w:rsidRPr="00152340">
        <w:rPr>
          <w:rFonts w:ascii="Times New Roman" w:hAnsi="Times New Roman"/>
          <w:sz w:val="20"/>
        </w:rPr>
        <w:t xml:space="preserve">terdapat pengaruh antara </w:t>
      </w:r>
      <w:r w:rsidR="00152340" w:rsidRPr="00152340">
        <w:rPr>
          <w:rFonts w:ascii="Times New Roman" w:hAnsi="Times New Roman"/>
          <w:i/>
          <w:sz w:val="20"/>
          <w:lang w:eastAsia="id-ID"/>
        </w:rPr>
        <w:t>good corporate governance</w:t>
      </w:r>
      <w:r w:rsidR="00152340" w:rsidRPr="00152340">
        <w:rPr>
          <w:rFonts w:ascii="Times New Roman" w:hAnsi="Times New Roman"/>
          <w:sz w:val="20"/>
        </w:rPr>
        <w:t xml:space="preserve"> terhadap kinerja  (BSC), namun terdapat beberapa indikator-indikator yang pengaruhnya kecil sehingga perlu dioptimalkan</w:t>
      </w:r>
      <w:r w:rsidRPr="00152340">
        <w:rPr>
          <w:rFonts w:ascii="Times New Roman" w:hAnsi="Times New Roman"/>
          <w:sz w:val="20"/>
        </w:rPr>
        <w:t>. Dengan demikian, saran</w:t>
      </w:r>
      <w:r w:rsidR="00152340">
        <w:rPr>
          <w:rFonts w:ascii="Times New Roman" w:hAnsi="Times New Roman"/>
          <w:sz w:val="20"/>
        </w:rPr>
        <w:t>-saran terkait</w:t>
      </w:r>
      <w:r w:rsidRPr="00152340">
        <w:rPr>
          <w:rFonts w:ascii="Times New Roman" w:hAnsi="Times New Roman"/>
          <w:sz w:val="20"/>
        </w:rPr>
        <w:t xml:space="preserve"> langkah strategis yang dapat menjadi masukan bagi manajemen </w:t>
      </w:r>
      <w:r w:rsidR="00152340">
        <w:rPr>
          <w:rFonts w:ascii="Times New Roman" w:hAnsi="Times New Roman"/>
          <w:sz w:val="20"/>
        </w:rPr>
        <w:t xml:space="preserve">bank </w:t>
      </w:r>
      <w:r w:rsidR="00152340" w:rsidRPr="00152340">
        <w:rPr>
          <w:rFonts w:ascii="Times New Roman" w:hAnsi="Times New Roman"/>
          <w:b/>
          <w:sz w:val="20"/>
        </w:rPr>
        <w:t>bjb</w:t>
      </w:r>
      <w:r w:rsidRPr="00152340">
        <w:rPr>
          <w:rFonts w:ascii="Times New Roman" w:hAnsi="Times New Roman"/>
          <w:sz w:val="20"/>
        </w:rPr>
        <w:t xml:space="preserve"> adalah sebagai berikut :</w:t>
      </w:r>
    </w:p>
    <w:p w:rsidR="00D201BB" w:rsidRDefault="00152340" w:rsidP="00D201BB">
      <w:pPr>
        <w:pStyle w:val="Title"/>
        <w:numPr>
          <w:ilvl w:val="0"/>
          <w:numId w:val="17"/>
        </w:numPr>
        <w:jc w:val="both"/>
        <w:rPr>
          <w:rFonts w:ascii="Times New Roman" w:hAnsi="Times New Roman"/>
          <w:sz w:val="20"/>
        </w:rPr>
      </w:pPr>
      <w:r>
        <w:rPr>
          <w:rFonts w:ascii="Times New Roman" w:hAnsi="Times New Roman"/>
          <w:sz w:val="20"/>
        </w:rPr>
        <w:t xml:space="preserve">Berdasarkan </w:t>
      </w:r>
      <w:r>
        <w:rPr>
          <w:rFonts w:ascii="Times New Roman" w:hAnsi="Times New Roman"/>
          <w:sz w:val="20"/>
          <w:lang w:eastAsia="id-ID"/>
        </w:rPr>
        <w:t>hasil perhitungan R</w:t>
      </w:r>
      <w:r w:rsidRPr="00152340">
        <w:rPr>
          <w:rFonts w:ascii="Times New Roman" w:hAnsi="Times New Roman"/>
          <w:sz w:val="20"/>
          <w:vertAlign w:val="subscript"/>
          <w:lang w:eastAsia="id-ID"/>
        </w:rPr>
        <w:t>hitung</w:t>
      </w:r>
      <w:r>
        <w:rPr>
          <w:rFonts w:ascii="Times New Roman" w:hAnsi="Times New Roman"/>
          <w:sz w:val="20"/>
          <w:vertAlign w:val="subscript"/>
          <w:lang w:eastAsia="id-ID"/>
        </w:rPr>
        <w:t xml:space="preserve"> </w:t>
      </w:r>
      <w:r>
        <w:rPr>
          <w:rFonts w:ascii="Times New Roman" w:hAnsi="Times New Roman"/>
          <w:sz w:val="20"/>
          <w:lang w:eastAsia="id-ID"/>
        </w:rPr>
        <w:t xml:space="preserve">terhadap variabel GCG, diketahui bahwa indikator transparansi, </w:t>
      </w:r>
      <w:r w:rsidRPr="00152340">
        <w:rPr>
          <w:rFonts w:ascii="Times New Roman" w:hAnsi="Times New Roman"/>
          <w:i/>
          <w:sz w:val="20"/>
          <w:lang w:eastAsia="id-ID"/>
        </w:rPr>
        <w:t>responsibility</w:t>
      </w:r>
      <w:r>
        <w:rPr>
          <w:rFonts w:ascii="Times New Roman" w:hAnsi="Times New Roman"/>
          <w:i/>
          <w:sz w:val="20"/>
          <w:lang w:eastAsia="id-ID"/>
        </w:rPr>
        <w:t xml:space="preserve">, </w:t>
      </w:r>
      <w:r>
        <w:rPr>
          <w:rFonts w:ascii="Times New Roman" w:hAnsi="Times New Roman"/>
          <w:sz w:val="20"/>
          <w:lang w:eastAsia="id-ID"/>
        </w:rPr>
        <w:t xml:space="preserve">dan </w:t>
      </w:r>
      <w:r>
        <w:rPr>
          <w:rFonts w:ascii="Times New Roman" w:hAnsi="Times New Roman"/>
          <w:i/>
          <w:sz w:val="20"/>
          <w:lang w:eastAsia="id-ID"/>
        </w:rPr>
        <w:t xml:space="preserve">independency </w:t>
      </w:r>
      <w:r>
        <w:rPr>
          <w:rFonts w:ascii="Times New Roman" w:hAnsi="Times New Roman"/>
          <w:sz w:val="20"/>
          <w:lang w:eastAsia="id-ID"/>
        </w:rPr>
        <w:t>masih perlu dioptimalkan, sehingga rekomendasi yang diberikan yaitu :</w:t>
      </w:r>
    </w:p>
    <w:p w:rsidR="0062039A" w:rsidRDefault="001369C1" w:rsidP="001369C1">
      <w:pPr>
        <w:pStyle w:val="Title"/>
        <w:numPr>
          <w:ilvl w:val="1"/>
          <w:numId w:val="17"/>
        </w:numPr>
        <w:jc w:val="both"/>
        <w:rPr>
          <w:rFonts w:ascii="Times New Roman" w:hAnsi="Times New Roman"/>
          <w:sz w:val="20"/>
        </w:rPr>
      </w:pPr>
      <w:r>
        <w:rPr>
          <w:rFonts w:ascii="Times New Roman" w:hAnsi="Times New Roman"/>
          <w:sz w:val="20"/>
        </w:rPr>
        <w:t xml:space="preserve">Membuat pedoman mengenai </w:t>
      </w:r>
      <w:r w:rsidRPr="001369C1">
        <w:rPr>
          <w:rFonts w:ascii="Times New Roman" w:hAnsi="Times New Roman"/>
          <w:sz w:val="20"/>
        </w:rPr>
        <w:t xml:space="preserve">keterbukaan dalam </w:t>
      </w:r>
      <w:r>
        <w:rPr>
          <w:rFonts w:ascii="Times New Roman" w:hAnsi="Times New Roman"/>
          <w:sz w:val="20"/>
        </w:rPr>
        <w:t>memberikan</w:t>
      </w:r>
      <w:r w:rsidRPr="001369C1">
        <w:rPr>
          <w:rFonts w:ascii="Times New Roman" w:hAnsi="Times New Roman"/>
          <w:sz w:val="20"/>
        </w:rPr>
        <w:t xml:space="preserve"> informasi yang material dan relevan</w:t>
      </w:r>
      <w:r>
        <w:rPr>
          <w:rFonts w:ascii="Times New Roman" w:hAnsi="Times New Roman"/>
          <w:sz w:val="20"/>
        </w:rPr>
        <w:t xml:space="preserve"> terkait produk / jasa bank kepada nasabah / debitur</w:t>
      </w:r>
    </w:p>
    <w:p w:rsidR="001369C1" w:rsidRDefault="001369C1" w:rsidP="001369C1">
      <w:pPr>
        <w:pStyle w:val="Title"/>
        <w:numPr>
          <w:ilvl w:val="1"/>
          <w:numId w:val="17"/>
        </w:numPr>
        <w:jc w:val="both"/>
        <w:rPr>
          <w:rFonts w:ascii="Times New Roman" w:hAnsi="Times New Roman"/>
          <w:sz w:val="20"/>
        </w:rPr>
      </w:pPr>
      <w:r>
        <w:rPr>
          <w:rFonts w:ascii="Times New Roman" w:hAnsi="Times New Roman"/>
          <w:sz w:val="20"/>
        </w:rPr>
        <w:t xml:space="preserve">Meningkatkan sosialisasi terkait ketentuan internal yang berlaku di bank </w:t>
      </w:r>
      <w:r w:rsidRPr="001369C1">
        <w:rPr>
          <w:rFonts w:ascii="Times New Roman" w:hAnsi="Times New Roman"/>
          <w:b/>
          <w:sz w:val="20"/>
        </w:rPr>
        <w:t>bjb</w:t>
      </w:r>
      <w:r>
        <w:rPr>
          <w:rFonts w:ascii="Times New Roman" w:hAnsi="Times New Roman"/>
          <w:sz w:val="20"/>
        </w:rPr>
        <w:t xml:space="preserve"> sehingga setiap terbentuk </w:t>
      </w:r>
      <w:r>
        <w:rPr>
          <w:rFonts w:ascii="Times New Roman" w:hAnsi="Times New Roman"/>
          <w:i/>
          <w:sz w:val="20"/>
        </w:rPr>
        <w:t xml:space="preserve">awareness </w:t>
      </w:r>
      <w:r>
        <w:rPr>
          <w:rFonts w:ascii="Times New Roman" w:hAnsi="Times New Roman"/>
          <w:sz w:val="20"/>
        </w:rPr>
        <w:t xml:space="preserve">di setiap pegawai akan pentingnya pemahaman dan pelaksanaan </w:t>
      </w:r>
      <w:r>
        <w:rPr>
          <w:rFonts w:ascii="Times New Roman" w:hAnsi="Times New Roman"/>
          <w:sz w:val="20"/>
        </w:rPr>
        <w:lastRenderedPageBreak/>
        <w:t>pekerjaan sesuai SOP dan pedoman yang berlaku.</w:t>
      </w:r>
    </w:p>
    <w:p w:rsidR="001369C1" w:rsidRDefault="001369C1" w:rsidP="001369C1">
      <w:pPr>
        <w:pStyle w:val="Title"/>
        <w:numPr>
          <w:ilvl w:val="1"/>
          <w:numId w:val="17"/>
        </w:numPr>
        <w:jc w:val="both"/>
        <w:rPr>
          <w:rFonts w:ascii="Times New Roman" w:hAnsi="Times New Roman"/>
          <w:sz w:val="20"/>
        </w:rPr>
      </w:pPr>
      <w:r w:rsidRPr="001369C1">
        <w:rPr>
          <w:rFonts w:ascii="Times New Roman" w:hAnsi="Times New Roman"/>
          <w:sz w:val="20"/>
        </w:rPr>
        <w:t xml:space="preserve">Menerapkan secara optimal </w:t>
      </w:r>
      <w:r w:rsidRPr="001369C1">
        <w:rPr>
          <w:rFonts w:ascii="Times New Roman" w:hAnsi="Times New Roman"/>
          <w:i/>
          <w:sz w:val="20"/>
        </w:rPr>
        <w:t xml:space="preserve">four eye principle </w:t>
      </w:r>
      <w:r w:rsidRPr="001369C1">
        <w:rPr>
          <w:rFonts w:ascii="Times New Roman" w:hAnsi="Times New Roman"/>
          <w:sz w:val="20"/>
        </w:rPr>
        <w:t xml:space="preserve">dan peran dari kontrol internal cabang, sehingga produk / jasa bank dapat dikelola secara profesional tanpa benturan kepentingan dan pengaruh atau tekanan dari pihak manapun yang tidak sesuai dengan </w:t>
      </w:r>
      <w:r>
        <w:rPr>
          <w:rFonts w:ascii="Times New Roman" w:hAnsi="Times New Roman"/>
          <w:sz w:val="20"/>
        </w:rPr>
        <w:t>ketentuan internal bank.</w:t>
      </w:r>
    </w:p>
    <w:p w:rsidR="00152340" w:rsidRDefault="00152340" w:rsidP="00152340">
      <w:pPr>
        <w:pStyle w:val="Title"/>
        <w:numPr>
          <w:ilvl w:val="0"/>
          <w:numId w:val="17"/>
        </w:numPr>
        <w:jc w:val="both"/>
        <w:rPr>
          <w:rFonts w:ascii="Times New Roman" w:hAnsi="Times New Roman"/>
          <w:sz w:val="20"/>
        </w:rPr>
      </w:pPr>
      <w:r>
        <w:rPr>
          <w:rFonts w:ascii="Times New Roman" w:hAnsi="Times New Roman"/>
          <w:sz w:val="20"/>
        </w:rPr>
        <w:t xml:space="preserve">Berdasarkan </w:t>
      </w:r>
      <w:r>
        <w:rPr>
          <w:rFonts w:ascii="Times New Roman" w:hAnsi="Times New Roman"/>
          <w:sz w:val="20"/>
          <w:lang w:eastAsia="id-ID"/>
        </w:rPr>
        <w:t>hasil perhitungan R</w:t>
      </w:r>
      <w:r w:rsidRPr="00152340">
        <w:rPr>
          <w:rFonts w:ascii="Times New Roman" w:hAnsi="Times New Roman"/>
          <w:sz w:val="20"/>
          <w:vertAlign w:val="subscript"/>
          <w:lang w:eastAsia="id-ID"/>
        </w:rPr>
        <w:t>hitung</w:t>
      </w:r>
      <w:r>
        <w:rPr>
          <w:rFonts w:ascii="Times New Roman" w:hAnsi="Times New Roman"/>
          <w:sz w:val="20"/>
          <w:vertAlign w:val="subscript"/>
          <w:lang w:eastAsia="id-ID"/>
        </w:rPr>
        <w:t xml:space="preserve"> </w:t>
      </w:r>
      <w:r>
        <w:rPr>
          <w:rFonts w:ascii="Times New Roman" w:hAnsi="Times New Roman"/>
          <w:sz w:val="20"/>
          <w:lang w:eastAsia="id-ID"/>
        </w:rPr>
        <w:t xml:space="preserve">terhadap variabel </w:t>
      </w:r>
      <w:r w:rsidR="0062039A">
        <w:rPr>
          <w:rFonts w:ascii="Times New Roman" w:hAnsi="Times New Roman"/>
          <w:sz w:val="20"/>
          <w:lang w:eastAsia="id-ID"/>
        </w:rPr>
        <w:t>kinerja (BSC)</w:t>
      </w:r>
      <w:r>
        <w:rPr>
          <w:rFonts w:ascii="Times New Roman" w:hAnsi="Times New Roman"/>
          <w:sz w:val="20"/>
          <w:lang w:eastAsia="id-ID"/>
        </w:rPr>
        <w:t xml:space="preserve">, diketahui bahwa indikator </w:t>
      </w:r>
      <w:r w:rsidR="0062039A">
        <w:rPr>
          <w:rFonts w:ascii="Times New Roman" w:hAnsi="Times New Roman"/>
          <w:i/>
          <w:sz w:val="20"/>
          <w:lang w:eastAsia="id-ID"/>
        </w:rPr>
        <w:t xml:space="preserve">customer perspective, internal process perspective, </w:t>
      </w:r>
      <w:r w:rsidR="0062039A">
        <w:rPr>
          <w:rFonts w:ascii="Times New Roman" w:hAnsi="Times New Roman"/>
          <w:sz w:val="20"/>
          <w:lang w:eastAsia="id-ID"/>
        </w:rPr>
        <w:t xml:space="preserve">dan </w:t>
      </w:r>
      <w:r w:rsidR="0062039A">
        <w:rPr>
          <w:rFonts w:ascii="Times New Roman" w:hAnsi="Times New Roman"/>
          <w:i/>
          <w:sz w:val="20"/>
          <w:lang w:eastAsia="id-ID"/>
        </w:rPr>
        <w:t xml:space="preserve">learning and growth perspective </w:t>
      </w:r>
      <w:r>
        <w:rPr>
          <w:rFonts w:ascii="Times New Roman" w:hAnsi="Times New Roman"/>
          <w:sz w:val="20"/>
          <w:lang w:eastAsia="id-ID"/>
        </w:rPr>
        <w:t>masih perlu dioptimalkan, sehingga rekomendasi yang diberikan yaitu :</w:t>
      </w:r>
    </w:p>
    <w:p w:rsidR="001369C1" w:rsidRDefault="00AA715D" w:rsidP="001369C1">
      <w:pPr>
        <w:pStyle w:val="Title"/>
        <w:numPr>
          <w:ilvl w:val="1"/>
          <w:numId w:val="17"/>
        </w:numPr>
        <w:jc w:val="both"/>
        <w:rPr>
          <w:rFonts w:ascii="Times New Roman" w:hAnsi="Times New Roman"/>
          <w:sz w:val="20"/>
        </w:rPr>
      </w:pPr>
      <w:r>
        <w:rPr>
          <w:rFonts w:ascii="Times New Roman" w:hAnsi="Times New Roman"/>
          <w:sz w:val="20"/>
        </w:rPr>
        <w:t>Melakukan optimalisasi fungsi SQA (</w:t>
      </w:r>
      <w:r>
        <w:rPr>
          <w:rFonts w:ascii="Times New Roman" w:hAnsi="Times New Roman"/>
          <w:i/>
          <w:sz w:val="20"/>
        </w:rPr>
        <w:t>Service Quality Assurance</w:t>
      </w:r>
      <w:r>
        <w:rPr>
          <w:rFonts w:ascii="Times New Roman" w:hAnsi="Times New Roman"/>
          <w:sz w:val="20"/>
        </w:rPr>
        <w:t>) dan KYC (</w:t>
      </w:r>
      <w:r>
        <w:rPr>
          <w:rFonts w:ascii="Times New Roman" w:hAnsi="Times New Roman"/>
          <w:i/>
          <w:sz w:val="20"/>
        </w:rPr>
        <w:t>Know Your Customer</w:t>
      </w:r>
      <w:r>
        <w:rPr>
          <w:rFonts w:ascii="Times New Roman" w:hAnsi="Times New Roman"/>
          <w:sz w:val="20"/>
        </w:rPr>
        <w:t xml:space="preserve">) pada setiap pegawai baik </w:t>
      </w:r>
      <w:r>
        <w:rPr>
          <w:rFonts w:ascii="Times New Roman" w:hAnsi="Times New Roman"/>
          <w:i/>
          <w:sz w:val="20"/>
        </w:rPr>
        <w:t xml:space="preserve">frontliner, back office, </w:t>
      </w:r>
      <w:r>
        <w:rPr>
          <w:rFonts w:ascii="Times New Roman" w:hAnsi="Times New Roman"/>
          <w:sz w:val="20"/>
        </w:rPr>
        <w:t>maupun AO/RO</w:t>
      </w:r>
      <w:r>
        <w:rPr>
          <w:rFonts w:ascii="Times New Roman" w:hAnsi="Times New Roman"/>
          <w:i/>
          <w:sz w:val="20"/>
        </w:rPr>
        <w:t xml:space="preserve"> </w:t>
      </w:r>
      <w:r>
        <w:rPr>
          <w:rFonts w:ascii="Times New Roman" w:hAnsi="Times New Roman"/>
          <w:sz w:val="20"/>
        </w:rPr>
        <w:t>untuk memberikan nilai tambah (</w:t>
      </w:r>
      <w:r>
        <w:rPr>
          <w:rFonts w:ascii="Times New Roman" w:hAnsi="Times New Roman"/>
          <w:i/>
          <w:sz w:val="20"/>
        </w:rPr>
        <w:t>added value</w:t>
      </w:r>
      <w:r>
        <w:rPr>
          <w:rFonts w:ascii="Times New Roman" w:hAnsi="Times New Roman"/>
          <w:sz w:val="20"/>
        </w:rPr>
        <w:t>) terhadap pelayanan kepada nasabah / debitur</w:t>
      </w:r>
      <w:r w:rsidR="009A4739">
        <w:rPr>
          <w:rFonts w:ascii="Times New Roman" w:hAnsi="Times New Roman"/>
          <w:sz w:val="20"/>
        </w:rPr>
        <w:t>.</w:t>
      </w:r>
    </w:p>
    <w:p w:rsidR="009A4739" w:rsidRDefault="009A4739" w:rsidP="009A4739">
      <w:pPr>
        <w:pStyle w:val="Title"/>
        <w:numPr>
          <w:ilvl w:val="1"/>
          <w:numId w:val="17"/>
        </w:numPr>
        <w:jc w:val="both"/>
        <w:rPr>
          <w:rFonts w:ascii="Times New Roman" w:hAnsi="Times New Roman"/>
          <w:sz w:val="20"/>
        </w:rPr>
      </w:pPr>
      <w:r>
        <w:rPr>
          <w:rFonts w:ascii="Times New Roman" w:hAnsi="Times New Roman"/>
          <w:sz w:val="20"/>
        </w:rPr>
        <w:t>Melakukan p</w:t>
      </w:r>
      <w:r w:rsidRPr="009A4739">
        <w:rPr>
          <w:rFonts w:ascii="Times New Roman" w:hAnsi="Times New Roman"/>
          <w:sz w:val="20"/>
        </w:rPr>
        <w:t>embagian tugas dan tanggung jawab pekerjaan untuk setiap pegawai sesuai dengan jabatan dan kewenangannya</w:t>
      </w:r>
      <w:r>
        <w:rPr>
          <w:rFonts w:ascii="Times New Roman" w:hAnsi="Times New Roman"/>
          <w:sz w:val="20"/>
        </w:rPr>
        <w:t xml:space="preserve">. Selain itu </w:t>
      </w:r>
      <w:r w:rsidRPr="009A4739">
        <w:rPr>
          <w:rFonts w:ascii="Times New Roman" w:hAnsi="Times New Roman"/>
          <w:sz w:val="20"/>
        </w:rPr>
        <w:t xml:space="preserve">prinsip </w:t>
      </w:r>
      <w:r w:rsidRPr="009A4739">
        <w:rPr>
          <w:rFonts w:ascii="Times New Roman" w:hAnsi="Times New Roman"/>
          <w:i/>
          <w:sz w:val="20"/>
        </w:rPr>
        <w:t>the right man on the right place</w:t>
      </w:r>
      <w:r>
        <w:rPr>
          <w:rFonts w:ascii="Times New Roman" w:hAnsi="Times New Roman"/>
          <w:sz w:val="20"/>
        </w:rPr>
        <w:t xml:space="preserve"> harus diterapkan pada kantor cabang seoptimal mungkin.</w:t>
      </w:r>
    </w:p>
    <w:p w:rsidR="00991161" w:rsidRDefault="00991161" w:rsidP="00991161">
      <w:pPr>
        <w:pStyle w:val="Title"/>
        <w:numPr>
          <w:ilvl w:val="1"/>
          <w:numId w:val="17"/>
        </w:numPr>
        <w:jc w:val="both"/>
        <w:rPr>
          <w:rFonts w:ascii="Times New Roman" w:hAnsi="Times New Roman"/>
          <w:sz w:val="20"/>
        </w:rPr>
      </w:pPr>
      <w:r>
        <w:rPr>
          <w:rFonts w:ascii="Times New Roman" w:hAnsi="Times New Roman"/>
          <w:sz w:val="20"/>
        </w:rPr>
        <w:t xml:space="preserve">Membuat matrix / </w:t>
      </w:r>
      <w:r>
        <w:rPr>
          <w:rFonts w:ascii="Times New Roman" w:hAnsi="Times New Roman"/>
          <w:i/>
          <w:sz w:val="20"/>
        </w:rPr>
        <w:t xml:space="preserve">checklist </w:t>
      </w:r>
      <w:r>
        <w:rPr>
          <w:rFonts w:ascii="Times New Roman" w:hAnsi="Times New Roman"/>
          <w:sz w:val="20"/>
        </w:rPr>
        <w:t>pekerjaan baik harian, mingguan, dan bulanan, seperti misalnya pelaporan</w:t>
      </w:r>
      <w:r w:rsidRPr="00991161">
        <w:rPr>
          <w:rFonts w:ascii="Times New Roman" w:hAnsi="Times New Roman"/>
          <w:sz w:val="20"/>
        </w:rPr>
        <w:t xml:space="preserve"> gratifikasi, pelaporan APU-PPT, LTKM-LTKT, CIS-CIT, dsb </w:t>
      </w:r>
      <w:r>
        <w:rPr>
          <w:rFonts w:ascii="Times New Roman" w:hAnsi="Times New Roman"/>
          <w:sz w:val="20"/>
        </w:rPr>
        <w:t xml:space="preserve">yang </w:t>
      </w:r>
      <w:r w:rsidRPr="00991161">
        <w:rPr>
          <w:rFonts w:ascii="Times New Roman" w:hAnsi="Times New Roman"/>
          <w:sz w:val="20"/>
        </w:rPr>
        <w:t xml:space="preserve">merupakan kewajiban yang harus dipenuhi </w:t>
      </w:r>
      <w:r>
        <w:rPr>
          <w:rFonts w:ascii="Times New Roman" w:hAnsi="Times New Roman"/>
          <w:sz w:val="20"/>
        </w:rPr>
        <w:t>secara rutin</w:t>
      </w:r>
    </w:p>
    <w:p w:rsidR="00991161" w:rsidRPr="009A4739" w:rsidRDefault="00401966" w:rsidP="00401966">
      <w:pPr>
        <w:pStyle w:val="Title"/>
        <w:numPr>
          <w:ilvl w:val="1"/>
          <w:numId w:val="17"/>
        </w:numPr>
        <w:jc w:val="both"/>
        <w:rPr>
          <w:rFonts w:ascii="Times New Roman" w:hAnsi="Times New Roman"/>
          <w:sz w:val="20"/>
        </w:rPr>
      </w:pPr>
      <w:r w:rsidRPr="00401966">
        <w:rPr>
          <w:rFonts w:ascii="Times New Roman" w:hAnsi="Times New Roman"/>
          <w:sz w:val="20"/>
        </w:rPr>
        <w:t xml:space="preserve">Pengajuan pendidikan dan pelatihan </w:t>
      </w:r>
      <w:r>
        <w:rPr>
          <w:rFonts w:ascii="Times New Roman" w:hAnsi="Times New Roman"/>
          <w:sz w:val="20"/>
        </w:rPr>
        <w:t>harus</w:t>
      </w:r>
      <w:r w:rsidRPr="00401966">
        <w:rPr>
          <w:rFonts w:ascii="Times New Roman" w:hAnsi="Times New Roman"/>
          <w:sz w:val="20"/>
        </w:rPr>
        <w:t xml:space="preserve"> dilakukan secara terbuka dan merata sesuai dengan fungsi, tugas dan tanggung jawab </w:t>
      </w:r>
      <w:r>
        <w:rPr>
          <w:rFonts w:ascii="Times New Roman" w:hAnsi="Times New Roman"/>
          <w:sz w:val="20"/>
        </w:rPr>
        <w:t xml:space="preserve">dari masing-masing </w:t>
      </w:r>
      <w:r w:rsidRPr="00401966">
        <w:rPr>
          <w:rFonts w:ascii="Times New Roman" w:hAnsi="Times New Roman"/>
          <w:sz w:val="20"/>
        </w:rPr>
        <w:t>pegawai</w:t>
      </w:r>
    </w:p>
    <w:p w:rsidR="00D201BB" w:rsidRDefault="00152340" w:rsidP="00D201BB">
      <w:pPr>
        <w:pStyle w:val="Title"/>
        <w:numPr>
          <w:ilvl w:val="0"/>
          <w:numId w:val="17"/>
        </w:numPr>
        <w:jc w:val="both"/>
        <w:rPr>
          <w:rFonts w:ascii="Times New Roman" w:hAnsi="Times New Roman"/>
          <w:sz w:val="20"/>
        </w:rPr>
      </w:pPr>
      <w:r>
        <w:rPr>
          <w:rFonts w:ascii="Times New Roman" w:hAnsi="Times New Roman"/>
          <w:sz w:val="20"/>
        </w:rPr>
        <w:t>Selanjutnya agar pada penelitian-penelitian berikutnya ditambahkan variabel-variabel lain dalam mendukung kinerja sehingga hasil penelitian bisa lebih komprehensif.</w:t>
      </w:r>
    </w:p>
    <w:p w:rsidR="00152340" w:rsidRPr="00152340" w:rsidRDefault="00152340" w:rsidP="00697ABC">
      <w:pPr>
        <w:pStyle w:val="Title"/>
        <w:jc w:val="both"/>
        <w:rPr>
          <w:rFonts w:ascii="Times New Roman" w:hAnsi="Times New Roman"/>
          <w:sz w:val="20"/>
        </w:rPr>
      </w:pPr>
    </w:p>
    <w:p w:rsidR="00F56DA2" w:rsidRPr="00A51ADE" w:rsidRDefault="00D34721" w:rsidP="00DF60CF">
      <w:pPr>
        <w:pStyle w:val="Heading1"/>
        <w:numPr>
          <w:ilvl w:val="0"/>
          <w:numId w:val="0"/>
        </w:numPr>
        <w:spacing w:before="0"/>
      </w:pPr>
      <w:r>
        <w:rPr>
          <w:lang w:val="en-US"/>
        </w:rPr>
        <w:t>Reference</w:t>
      </w:r>
    </w:p>
    <w:p w:rsidR="000657A6" w:rsidRDefault="000657A6" w:rsidP="000657A6">
      <w:pPr>
        <w:pStyle w:val="Title"/>
        <w:jc w:val="both"/>
        <w:rPr>
          <w:rFonts w:ascii="Times New Roman" w:hAnsi="Times New Roman"/>
          <w:sz w:val="20"/>
          <w:szCs w:val="28"/>
        </w:rPr>
      </w:pPr>
    </w:p>
    <w:p w:rsidR="000657A6" w:rsidRDefault="000657A6" w:rsidP="00EA438F">
      <w:pPr>
        <w:pStyle w:val="Title"/>
        <w:ind w:left="567" w:hanging="567"/>
        <w:jc w:val="both"/>
        <w:rPr>
          <w:rFonts w:ascii="Times New Roman" w:hAnsi="Times New Roman"/>
          <w:sz w:val="20"/>
          <w:szCs w:val="28"/>
        </w:rPr>
      </w:pPr>
      <w:r w:rsidRPr="000657A6">
        <w:rPr>
          <w:rFonts w:ascii="Times New Roman" w:hAnsi="Times New Roman"/>
          <w:sz w:val="20"/>
          <w:szCs w:val="28"/>
        </w:rPr>
        <w:t xml:space="preserve">Annual Report 2017, (2018), Terus Berinovasi Dalam Membangun Bisnis Yang Berkualitas, bank </w:t>
      </w:r>
      <w:r w:rsidRPr="000657A6">
        <w:rPr>
          <w:rFonts w:ascii="Times New Roman" w:hAnsi="Times New Roman"/>
          <w:b/>
          <w:sz w:val="20"/>
          <w:szCs w:val="28"/>
        </w:rPr>
        <w:t>bjb</w:t>
      </w:r>
      <w:r w:rsidRPr="000657A6">
        <w:rPr>
          <w:rFonts w:ascii="Times New Roman" w:hAnsi="Times New Roman"/>
          <w:sz w:val="20"/>
          <w:szCs w:val="28"/>
        </w:rPr>
        <w:t>, Bandung</w:t>
      </w:r>
    </w:p>
    <w:p w:rsidR="00455675" w:rsidRDefault="00455675" w:rsidP="00EA438F">
      <w:pPr>
        <w:pStyle w:val="Title"/>
        <w:ind w:left="567" w:hanging="567"/>
        <w:jc w:val="both"/>
        <w:rPr>
          <w:rFonts w:ascii="Times New Roman" w:hAnsi="Times New Roman"/>
          <w:sz w:val="20"/>
          <w:szCs w:val="28"/>
        </w:rPr>
      </w:pPr>
      <w:r w:rsidRPr="00455675">
        <w:rPr>
          <w:rFonts w:ascii="Times New Roman" w:hAnsi="Times New Roman"/>
          <w:sz w:val="20"/>
          <w:szCs w:val="28"/>
        </w:rPr>
        <w:lastRenderedPageBreak/>
        <w:t>Barnett, W., Hansen, M., (1996), The Red Queen in Organizational Evolution, Strategic Management Journal, Vol. 17, p139-157</w:t>
      </w:r>
    </w:p>
    <w:p w:rsidR="005B244E" w:rsidRDefault="005B244E" w:rsidP="00EA438F">
      <w:pPr>
        <w:pStyle w:val="Title"/>
        <w:ind w:left="567" w:hanging="567"/>
        <w:jc w:val="both"/>
        <w:rPr>
          <w:rFonts w:ascii="Times New Roman" w:hAnsi="Times New Roman"/>
          <w:sz w:val="20"/>
          <w:szCs w:val="28"/>
        </w:rPr>
      </w:pPr>
      <w:r w:rsidRPr="005B244E">
        <w:rPr>
          <w:rFonts w:ascii="Times New Roman" w:hAnsi="Times New Roman"/>
          <w:sz w:val="20"/>
          <w:szCs w:val="28"/>
        </w:rPr>
        <w:t>Bauer, R., Gunster, N., Otten, R. (2004). Empirical Evidence on Corporate Governance in Europe: The Effect on Stock Returns, Firm Value, and Performance. Journal of Asset Management, Vol. 5, p. 91–104.</w:t>
      </w:r>
    </w:p>
    <w:p w:rsidR="0018656C" w:rsidRDefault="0018656C" w:rsidP="0018656C">
      <w:pPr>
        <w:pStyle w:val="Title"/>
        <w:ind w:left="567" w:hanging="567"/>
        <w:jc w:val="both"/>
        <w:rPr>
          <w:rFonts w:ascii="Times New Roman" w:hAnsi="Times New Roman"/>
          <w:sz w:val="20"/>
          <w:szCs w:val="28"/>
        </w:rPr>
      </w:pPr>
      <w:r w:rsidRPr="0018656C">
        <w:rPr>
          <w:rFonts w:ascii="Times New Roman" w:hAnsi="Times New Roman"/>
          <w:sz w:val="20"/>
          <w:szCs w:val="28"/>
        </w:rPr>
        <w:t>Bhagat, S., Bolton, B. (2007). Corporate Governance and Firm Pperformance. University of Colorado, 57 p. Retrieved August 22, 2016 from http://www.econ</w:t>
      </w:r>
      <w:r w:rsidR="0016097A">
        <w:rPr>
          <w:rFonts w:ascii="Times New Roman" w:hAnsi="Times New Roman"/>
          <w:sz w:val="20"/>
          <w:szCs w:val="28"/>
        </w:rPr>
        <w:t xml:space="preserve"> </w:t>
      </w:r>
      <w:r w:rsidRPr="0018656C">
        <w:rPr>
          <w:rFonts w:ascii="Times New Roman" w:hAnsi="Times New Roman"/>
          <w:sz w:val="20"/>
          <w:szCs w:val="28"/>
        </w:rPr>
        <w:t>.upf.edu/docs/seminars/</w:t>
      </w:r>
      <w:r>
        <w:rPr>
          <w:rFonts w:ascii="Times New Roman" w:hAnsi="Times New Roman"/>
          <w:sz w:val="20"/>
          <w:szCs w:val="28"/>
        </w:rPr>
        <w:t xml:space="preserve"> </w:t>
      </w:r>
      <w:r w:rsidRPr="0018656C">
        <w:rPr>
          <w:rFonts w:ascii="Times New Roman" w:hAnsi="Times New Roman"/>
          <w:sz w:val="20"/>
          <w:szCs w:val="28"/>
        </w:rPr>
        <w:t>bhagat.pdf.</w:t>
      </w:r>
    </w:p>
    <w:p w:rsidR="0018656C" w:rsidRDefault="0018656C" w:rsidP="0018656C">
      <w:pPr>
        <w:pStyle w:val="Title"/>
        <w:ind w:left="567" w:hanging="567"/>
        <w:jc w:val="both"/>
        <w:rPr>
          <w:rFonts w:ascii="Times New Roman" w:hAnsi="Times New Roman"/>
          <w:sz w:val="20"/>
          <w:szCs w:val="28"/>
        </w:rPr>
      </w:pPr>
      <w:r w:rsidRPr="0018656C">
        <w:rPr>
          <w:rFonts w:ascii="Times New Roman" w:hAnsi="Times New Roman"/>
          <w:sz w:val="20"/>
          <w:szCs w:val="28"/>
        </w:rPr>
        <w:t>Bhagat, S., Bolton, B. (2008). Corporate Governance and firm Performance. Journal of Corporate Finance, Vol. 14, p. 257–273.</w:t>
      </w:r>
    </w:p>
    <w:p w:rsidR="005B244E" w:rsidRDefault="005B244E" w:rsidP="005B244E">
      <w:pPr>
        <w:pStyle w:val="Title"/>
        <w:ind w:left="567" w:hanging="567"/>
        <w:jc w:val="both"/>
        <w:rPr>
          <w:rFonts w:ascii="Times New Roman" w:hAnsi="Times New Roman"/>
          <w:sz w:val="20"/>
          <w:szCs w:val="28"/>
        </w:rPr>
      </w:pPr>
      <w:r w:rsidRPr="005B244E">
        <w:rPr>
          <w:rFonts w:ascii="Times New Roman" w:hAnsi="Times New Roman"/>
          <w:sz w:val="20"/>
          <w:szCs w:val="28"/>
        </w:rPr>
        <w:t>Brenes, E. R., Madrigal, K., Requena, B. (2011). Corporate Governance and Family Business Performance. Journal of Business Research, Vol. 64, p. 280–285.</w:t>
      </w:r>
    </w:p>
    <w:p w:rsidR="000657A6" w:rsidRDefault="000657A6" w:rsidP="00EA438F">
      <w:pPr>
        <w:pStyle w:val="Title"/>
        <w:ind w:left="567" w:hanging="567"/>
        <w:jc w:val="both"/>
        <w:rPr>
          <w:rFonts w:ascii="Times New Roman" w:hAnsi="Times New Roman"/>
          <w:sz w:val="20"/>
          <w:szCs w:val="28"/>
        </w:rPr>
      </w:pPr>
      <w:r w:rsidRPr="000657A6">
        <w:rPr>
          <w:rFonts w:ascii="Times New Roman" w:hAnsi="Times New Roman"/>
          <w:sz w:val="20"/>
          <w:szCs w:val="28"/>
        </w:rPr>
        <w:t>Brown, L. D., Caylor, M. L. (2006). Corporate Governance and Firm Valuation. Journal of Accounting and Public Policy, Vol. 25, p. 409–430.</w:t>
      </w:r>
    </w:p>
    <w:p w:rsidR="000657A6" w:rsidRDefault="000657A6" w:rsidP="000657A6">
      <w:pPr>
        <w:pStyle w:val="Title"/>
        <w:ind w:left="567" w:hanging="567"/>
        <w:jc w:val="both"/>
        <w:rPr>
          <w:rFonts w:ascii="Times New Roman" w:hAnsi="Times New Roman"/>
          <w:sz w:val="20"/>
          <w:szCs w:val="28"/>
        </w:rPr>
      </w:pPr>
      <w:r w:rsidRPr="000657A6">
        <w:rPr>
          <w:rFonts w:ascii="Times New Roman" w:hAnsi="Times New Roman"/>
          <w:sz w:val="20"/>
          <w:szCs w:val="28"/>
        </w:rPr>
        <w:t>Callahan, W. T., Millar, J. A., Schulman, C. (2003). An Analysis of the Effect of Management Participation in Director</w:t>
      </w:r>
      <w:r>
        <w:rPr>
          <w:rFonts w:ascii="Times New Roman" w:hAnsi="Times New Roman"/>
          <w:sz w:val="20"/>
          <w:szCs w:val="28"/>
        </w:rPr>
        <w:t xml:space="preserve"> </w:t>
      </w:r>
      <w:r w:rsidRPr="000657A6">
        <w:rPr>
          <w:rFonts w:ascii="Times New Roman" w:hAnsi="Times New Roman"/>
          <w:sz w:val="20"/>
          <w:szCs w:val="28"/>
        </w:rPr>
        <w:t>Selection on the Long-Term Performance of the Firm. Journal of Corporate Finance, Vol. 9, No. 2, p. 169–181.</w:t>
      </w:r>
    </w:p>
    <w:p w:rsidR="005B244E" w:rsidRDefault="005B244E" w:rsidP="00EA438F">
      <w:pPr>
        <w:pStyle w:val="Title"/>
        <w:ind w:left="567" w:hanging="567"/>
        <w:jc w:val="both"/>
        <w:rPr>
          <w:rFonts w:ascii="Times New Roman" w:hAnsi="Times New Roman"/>
          <w:sz w:val="20"/>
          <w:szCs w:val="28"/>
        </w:rPr>
      </w:pPr>
      <w:r w:rsidRPr="005B244E">
        <w:rPr>
          <w:rFonts w:ascii="Times New Roman" w:hAnsi="Times New Roman"/>
          <w:sz w:val="20"/>
          <w:szCs w:val="28"/>
        </w:rPr>
        <w:t>Carline, N. F., Linn, S. C., Yadav, P. K. (2009). Operating Performance Changes Associated with Corporate Mergers and the Role of Corporate Governance. Journal of Banking &amp; Finance, Vol. 33, p. 1829–1841.</w:t>
      </w:r>
    </w:p>
    <w:p w:rsidR="005B244E" w:rsidRDefault="005B244E" w:rsidP="00EA438F">
      <w:pPr>
        <w:pStyle w:val="Title"/>
        <w:ind w:left="567" w:hanging="567"/>
        <w:jc w:val="both"/>
        <w:rPr>
          <w:rFonts w:ascii="Times New Roman" w:hAnsi="Times New Roman"/>
          <w:sz w:val="20"/>
          <w:szCs w:val="28"/>
        </w:rPr>
      </w:pPr>
      <w:r w:rsidRPr="005B244E">
        <w:rPr>
          <w:rFonts w:ascii="Times New Roman" w:hAnsi="Times New Roman"/>
          <w:sz w:val="20"/>
          <w:szCs w:val="28"/>
        </w:rPr>
        <w:t>Castaner, X., Kavadis, N. (2013). Does Good Governance Prevent Bad Strategy? A Study of Corporate Governance, Financial Diversification, and Value Creation by French Corporations, 2000–2006. Strategic Management Journal, Vol. 34, p. 863–876.</w:t>
      </w:r>
    </w:p>
    <w:p w:rsidR="000657A6" w:rsidRDefault="000657A6" w:rsidP="000657A6">
      <w:pPr>
        <w:pStyle w:val="Title"/>
        <w:ind w:left="567" w:hanging="567"/>
        <w:jc w:val="both"/>
        <w:rPr>
          <w:rFonts w:ascii="Times New Roman" w:hAnsi="Times New Roman"/>
          <w:sz w:val="20"/>
          <w:szCs w:val="28"/>
        </w:rPr>
      </w:pPr>
      <w:r w:rsidRPr="000657A6">
        <w:rPr>
          <w:rFonts w:ascii="Times New Roman" w:hAnsi="Times New Roman"/>
          <w:sz w:val="20"/>
          <w:szCs w:val="28"/>
        </w:rPr>
        <w:t>Chung, K. H., Wright, P., Kedia, B. B. (2003). Corporate Governance &amp; Market Valuation of Capital &amp; R &amp; D Investment.</w:t>
      </w:r>
      <w:r>
        <w:rPr>
          <w:rFonts w:ascii="Times New Roman" w:hAnsi="Times New Roman"/>
          <w:sz w:val="20"/>
          <w:szCs w:val="28"/>
        </w:rPr>
        <w:t xml:space="preserve"> </w:t>
      </w:r>
      <w:r w:rsidRPr="000657A6">
        <w:rPr>
          <w:rFonts w:ascii="Times New Roman" w:hAnsi="Times New Roman"/>
          <w:sz w:val="20"/>
          <w:szCs w:val="28"/>
        </w:rPr>
        <w:t>Review of Financial Economics, Vol. 12, p. 161–172.</w:t>
      </w:r>
    </w:p>
    <w:p w:rsidR="00455675" w:rsidRDefault="00455675" w:rsidP="00EA438F">
      <w:pPr>
        <w:pStyle w:val="Title"/>
        <w:ind w:left="567" w:hanging="567"/>
        <w:jc w:val="both"/>
        <w:rPr>
          <w:rFonts w:ascii="Times New Roman" w:hAnsi="Times New Roman"/>
          <w:sz w:val="20"/>
          <w:szCs w:val="28"/>
        </w:rPr>
      </w:pPr>
      <w:r w:rsidRPr="00455675">
        <w:rPr>
          <w:rFonts w:ascii="Times New Roman" w:hAnsi="Times New Roman"/>
          <w:sz w:val="20"/>
          <w:szCs w:val="28"/>
        </w:rPr>
        <w:t>Civelek, M. E., Çemberci, M., Artar, O. K., Uca, N., (2015), Key Factors of Sustainable Firm Performance : A Strategic Approach</w:t>
      </w:r>
    </w:p>
    <w:p w:rsidR="005B244E" w:rsidRDefault="000657A6" w:rsidP="005B244E">
      <w:pPr>
        <w:pStyle w:val="Title"/>
        <w:ind w:left="567" w:hanging="567"/>
        <w:jc w:val="both"/>
        <w:rPr>
          <w:rFonts w:ascii="Times New Roman" w:hAnsi="Times New Roman"/>
          <w:sz w:val="20"/>
          <w:szCs w:val="28"/>
        </w:rPr>
      </w:pPr>
      <w:r w:rsidRPr="000657A6">
        <w:rPr>
          <w:rFonts w:ascii="Times New Roman" w:hAnsi="Times New Roman"/>
          <w:sz w:val="20"/>
          <w:szCs w:val="28"/>
        </w:rPr>
        <w:t>Daines, R., Gow, I., Larcker, D. (2008). Rating the Ratings: How Good are Commercial Governance Ratings? Rock Center for Corporate Governance at Stanford University, Stanford University School of Law, Law &amp; Economics Research Paper Series No. 360. npublished working paper, Stanford University, 74 p. Retrieved August 21, 2016 from http://law.stanford.edu/wp-content/uploads/sites/default/files/event/265</w:t>
      </w:r>
      <w:r w:rsidRPr="000657A6">
        <w:rPr>
          <w:rFonts w:ascii="Times New Roman" w:hAnsi="Times New Roman"/>
          <w:sz w:val="20"/>
          <w:szCs w:val="28"/>
        </w:rPr>
        <w:lastRenderedPageBreak/>
        <w:t>516/media/slspublic/Rating%20the%20Ratings_Daines_Gow_and_Larcker_0.pdf</w:t>
      </w:r>
    </w:p>
    <w:p w:rsidR="00B5345F" w:rsidRDefault="00B5345F" w:rsidP="005B244E">
      <w:pPr>
        <w:pStyle w:val="Title"/>
        <w:ind w:left="567" w:hanging="567"/>
        <w:jc w:val="both"/>
        <w:rPr>
          <w:rFonts w:ascii="Times New Roman" w:hAnsi="Times New Roman"/>
          <w:sz w:val="20"/>
          <w:szCs w:val="28"/>
        </w:rPr>
      </w:pPr>
      <w:r w:rsidRPr="00B5345F">
        <w:rPr>
          <w:rFonts w:ascii="Times New Roman" w:hAnsi="Times New Roman"/>
          <w:sz w:val="20"/>
          <w:szCs w:val="28"/>
        </w:rPr>
        <w:t>Damian, M. I., (2015), Corporate Governance Quality On Specific Case Of Romanian Listed Companies, Vol. 3, No. 2, p40–58, https://doi.org/10.1515/ijek-2015-0015</w:t>
      </w:r>
    </w:p>
    <w:p w:rsidR="00C73996" w:rsidRDefault="00C73996" w:rsidP="005B244E">
      <w:pPr>
        <w:pStyle w:val="Title"/>
        <w:ind w:left="567" w:hanging="567"/>
        <w:jc w:val="both"/>
        <w:rPr>
          <w:rFonts w:ascii="Times New Roman" w:hAnsi="Times New Roman"/>
          <w:sz w:val="20"/>
          <w:szCs w:val="28"/>
        </w:rPr>
      </w:pPr>
      <w:r>
        <w:rPr>
          <w:rFonts w:ascii="Times New Roman" w:hAnsi="Times New Roman"/>
          <w:sz w:val="20"/>
          <w:szCs w:val="28"/>
        </w:rPr>
        <w:t xml:space="preserve">Elbannan, Mona A., Elbannan, Mohamed, A., (2014), </w:t>
      </w:r>
      <w:r w:rsidRPr="00C73996">
        <w:rPr>
          <w:rFonts w:ascii="Times New Roman" w:hAnsi="Times New Roman"/>
          <w:sz w:val="20"/>
          <w:szCs w:val="28"/>
        </w:rPr>
        <w:t>Corporate Governance and Accounting Performance: A Balanced Scorecard Approach</w:t>
      </w:r>
      <w:r>
        <w:rPr>
          <w:rFonts w:ascii="Times New Roman" w:hAnsi="Times New Roman"/>
          <w:sz w:val="20"/>
          <w:szCs w:val="28"/>
        </w:rPr>
        <w:t xml:space="preserve">, </w:t>
      </w:r>
      <w:r w:rsidRPr="00C73996">
        <w:rPr>
          <w:rFonts w:ascii="Times New Roman" w:hAnsi="Times New Roman"/>
          <w:sz w:val="20"/>
          <w:szCs w:val="28"/>
        </w:rPr>
        <w:t>Accounting and Finance Research, Vol. 3, No. 2, p60-76</w:t>
      </w:r>
    </w:p>
    <w:p w:rsidR="005B244E" w:rsidRDefault="005B244E" w:rsidP="005B244E">
      <w:pPr>
        <w:pStyle w:val="Title"/>
        <w:ind w:left="567" w:hanging="567"/>
        <w:jc w:val="both"/>
        <w:rPr>
          <w:rFonts w:ascii="Times New Roman" w:hAnsi="Times New Roman"/>
          <w:sz w:val="20"/>
          <w:szCs w:val="28"/>
        </w:rPr>
      </w:pPr>
      <w:r w:rsidRPr="005B244E">
        <w:rPr>
          <w:rFonts w:ascii="Times New Roman" w:hAnsi="Times New Roman"/>
          <w:sz w:val="20"/>
          <w:szCs w:val="28"/>
        </w:rPr>
        <w:t>Giroud, X., Mueller, H. M. (2010). Does corporate governance matter in competitive industries? Journal of Financial Economics, Vol. 95, p. 312–331.</w:t>
      </w:r>
    </w:p>
    <w:p w:rsidR="005B244E" w:rsidRDefault="005B244E" w:rsidP="005B244E">
      <w:pPr>
        <w:pStyle w:val="Title"/>
        <w:ind w:left="567" w:hanging="567"/>
        <w:jc w:val="both"/>
        <w:rPr>
          <w:rFonts w:ascii="Times New Roman" w:hAnsi="Times New Roman"/>
          <w:sz w:val="20"/>
          <w:szCs w:val="28"/>
        </w:rPr>
      </w:pPr>
      <w:r w:rsidRPr="005B244E">
        <w:rPr>
          <w:rFonts w:ascii="Times New Roman" w:hAnsi="Times New Roman"/>
          <w:sz w:val="20"/>
          <w:szCs w:val="28"/>
        </w:rPr>
        <w:t>Grove, H., Patelli, L., Victoravich, L. M., Xu, P. (2011). Corporate Governance and Performance in the Wake of the Financial Crisis: Evidence from U.S. Commercial Banks. Corporate Governance, Vol. 19, No. 5, p. 418–436</w:t>
      </w:r>
    </w:p>
    <w:p w:rsidR="005B244E" w:rsidRDefault="005B244E" w:rsidP="005B244E">
      <w:pPr>
        <w:pStyle w:val="Title"/>
        <w:ind w:left="567" w:hanging="567"/>
        <w:jc w:val="both"/>
        <w:rPr>
          <w:rFonts w:ascii="Times New Roman" w:hAnsi="Times New Roman"/>
          <w:sz w:val="20"/>
          <w:szCs w:val="28"/>
        </w:rPr>
      </w:pPr>
      <w:r w:rsidRPr="005B244E">
        <w:rPr>
          <w:rFonts w:ascii="Times New Roman" w:hAnsi="Times New Roman"/>
          <w:sz w:val="20"/>
          <w:szCs w:val="28"/>
        </w:rPr>
        <w:t>Gupta, K., Chandrasekhar, K., Tourani-Rad, A. (2013). Is corporate governance relevant during the financial crisis?Journal of International Financial Markets, Institutions and Money, Vol. 23, p. 85–110.</w:t>
      </w:r>
    </w:p>
    <w:p w:rsidR="000657A6" w:rsidRDefault="000657A6" w:rsidP="000657A6">
      <w:pPr>
        <w:pStyle w:val="Title"/>
        <w:ind w:left="567" w:hanging="567"/>
        <w:jc w:val="both"/>
        <w:rPr>
          <w:rFonts w:ascii="Times New Roman" w:hAnsi="Times New Roman"/>
          <w:sz w:val="20"/>
          <w:szCs w:val="28"/>
        </w:rPr>
      </w:pPr>
      <w:r w:rsidRPr="000657A6">
        <w:rPr>
          <w:rFonts w:ascii="Times New Roman" w:hAnsi="Times New Roman"/>
          <w:sz w:val="20"/>
          <w:szCs w:val="28"/>
        </w:rPr>
        <w:t>Hadad, Muliaman D., (2016), Peraturan Otoritas Jasa Keuangan Nomor 55/POJK.03/2016 tanggal 07 Desember 2016 tentang Penerapan Tata Kelola Bagi Bank Umum, Jakarta</w:t>
      </w:r>
    </w:p>
    <w:p w:rsidR="00455675" w:rsidRDefault="00455675" w:rsidP="000657A6">
      <w:pPr>
        <w:pStyle w:val="Title"/>
        <w:ind w:left="567" w:hanging="567"/>
        <w:jc w:val="both"/>
        <w:rPr>
          <w:rFonts w:ascii="Times New Roman" w:hAnsi="Times New Roman"/>
          <w:sz w:val="20"/>
          <w:szCs w:val="28"/>
        </w:rPr>
      </w:pPr>
      <w:r w:rsidRPr="00455675">
        <w:rPr>
          <w:rFonts w:ascii="Times New Roman" w:hAnsi="Times New Roman"/>
          <w:sz w:val="20"/>
          <w:szCs w:val="28"/>
        </w:rPr>
        <w:t>Hubbard, G., Beamish, P., (2011), Strategic Management : Thinking, Analysis, Action, Frechs Fores, Newcastle : Pearson Australia</w:t>
      </w:r>
    </w:p>
    <w:p w:rsidR="005B244E" w:rsidRDefault="005B244E" w:rsidP="000657A6">
      <w:pPr>
        <w:pStyle w:val="Title"/>
        <w:ind w:left="567" w:hanging="567"/>
        <w:jc w:val="both"/>
        <w:rPr>
          <w:rFonts w:ascii="Times New Roman" w:hAnsi="Times New Roman"/>
          <w:sz w:val="20"/>
          <w:szCs w:val="28"/>
        </w:rPr>
      </w:pPr>
      <w:r w:rsidRPr="005B244E">
        <w:rPr>
          <w:rFonts w:ascii="Times New Roman" w:hAnsi="Times New Roman"/>
          <w:sz w:val="20"/>
          <w:szCs w:val="28"/>
        </w:rPr>
        <w:t>Hutchinson, M. (2002). An Analysis of the Association between Firms, Investment Opportunities, Board Composition, and Firm Performance. Asia Pacific Journal of Accounting and Economics, Vol. 9, p. 17–39</w:t>
      </w:r>
    </w:p>
    <w:p w:rsidR="00455675" w:rsidRDefault="00455675" w:rsidP="00EA438F">
      <w:pPr>
        <w:pStyle w:val="Title"/>
        <w:ind w:left="567" w:hanging="567"/>
        <w:jc w:val="both"/>
        <w:rPr>
          <w:rFonts w:ascii="Times New Roman" w:hAnsi="Times New Roman"/>
          <w:sz w:val="20"/>
          <w:szCs w:val="28"/>
        </w:rPr>
      </w:pPr>
      <w:r w:rsidRPr="00455675">
        <w:rPr>
          <w:rFonts w:ascii="Times New Roman" w:hAnsi="Times New Roman"/>
          <w:sz w:val="20"/>
          <w:szCs w:val="28"/>
        </w:rPr>
        <w:t>Huygens, M., Baden-Fuller, C., Van Den Bosch, F. A. J., &amp; Volberda, H. W., (2001), Co-Evolution of Firm Capabilities and Industry Competition: Investigating the Music Industry, Organization Studies, Vol. 22, p971-1011</w:t>
      </w:r>
    </w:p>
    <w:p w:rsidR="000657A6" w:rsidRDefault="000657A6" w:rsidP="00EA438F">
      <w:pPr>
        <w:pStyle w:val="Title"/>
        <w:ind w:left="567" w:hanging="567"/>
        <w:jc w:val="both"/>
        <w:rPr>
          <w:rFonts w:ascii="Times New Roman" w:hAnsi="Times New Roman"/>
          <w:sz w:val="20"/>
          <w:szCs w:val="28"/>
        </w:rPr>
      </w:pPr>
      <w:r w:rsidRPr="000657A6">
        <w:rPr>
          <w:rFonts w:ascii="Times New Roman" w:hAnsi="Times New Roman"/>
          <w:sz w:val="20"/>
          <w:szCs w:val="28"/>
        </w:rPr>
        <w:t>Infobank, (2018), 115 Rating Bank 2018, Edisi Juli 2018, Jakarta</w:t>
      </w:r>
    </w:p>
    <w:p w:rsidR="000657A6" w:rsidRDefault="000657A6" w:rsidP="00EA438F">
      <w:pPr>
        <w:pStyle w:val="Title"/>
        <w:ind w:left="567" w:hanging="567"/>
        <w:jc w:val="both"/>
        <w:rPr>
          <w:rFonts w:ascii="Times New Roman" w:hAnsi="Times New Roman"/>
          <w:sz w:val="20"/>
          <w:szCs w:val="28"/>
        </w:rPr>
      </w:pPr>
      <w:r w:rsidRPr="000657A6">
        <w:rPr>
          <w:rFonts w:ascii="Times New Roman" w:hAnsi="Times New Roman"/>
          <w:sz w:val="20"/>
          <w:szCs w:val="28"/>
        </w:rPr>
        <w:t>Kaplan, R. S., Norton, D. P., (1991), The Balanced Scorecard - Measures That Drive Performance The Balanced Scorecard, Harward Business Review</w:t>
      </w:r>
    </w:p>
    <w:p w:rsidR="000657A6" w:rsidRDefault="000657A6" w:rsidP="00EA438F">
      <w:pPr>
        <w:pStyle w:val="Title"/>
        <w:ind w:left="567" w:hanging="567"/>
        <w:jc w:val="both"/>
        <w:rPr>
          <w:rFonts w:ascii="Times New Roman" w:hAnsi="Times New Roman"/>
          <w:sz w:val="20"/>
          <w:szCs w:val="28"/>
        </w:rPr>
      </w:pPr>
      <w:r w:rsidRPr="000657A6">
        <w:rPr>
          <w:rFonts w:ascii="Times New Roman" w:hAnsi="Times New Roman"/>
          <w:sz w:val="20"/>
          <w:szCs w:val="28"/>
        </w:rPr>
        <w:t>Krivogorsky, V. (2006). Ownership, Board Structure, &amp; Performance in Continental Europe. The International Journal of Accounting, Vol. 41, No. 7, p. 176–197.</w:t>
      </w:r>
    </w:p>
    <w:p w:rsidR="000657A6" w:rsidRDefault="000657A6" w:rsidP="00EA438F">
      <w:pPr>
        <w:pStyle w:val="Title"/>
        <w:ind w:left="567" w:hanging="567"/>
        <w:jc w:val="both"/>
        <w:rPr>
          <w:rFonts w:ascii="Times New Roman" w:hAnsi="Times New Roman"/>
          <w:sz w:val="20"/>
          <w:szCs w:val="28"/>
        </w:rPr>
      </w:pPr>
      <w:r w:rsidRPr="000657A6">
        <w:rPr>
          <w:rFonts w:ascii="Times New Roman" w:hAnsi="Times New Roman"/>
          <w:sz w:val="20"/>
          <w:szCs w:val="28"/>
        </w:rPr>
        <w:t xml:space="preserve">Larcker, D., Richardson, S., Tuna, I. (2007). Corporate governance, accounting outcomes, and organizational performance, </w:t>
      </w:r>
      <w:r w:rsidRPr="000657A6">
        <w:rPr>
          <w:rFonts w:ascii="Times New Roman" w:hAnsi="Times New Roman"/>
          <w:sz w:val="20"/>
          <w:szCs w:val="28"/>
        </w:rPr>
        <w:lastRenderedPageBreak/>
        <w:t>The Accounting Review, Vol. 82, p. 963–1008</w:t>
      </w:r>
    </w:p>
    <w:p w:rsidR="00455675" w:rsidRDefault="00455675" w:rsidP="00EA438F">
      <w:pPr>
        <w:pStyle w:val="Title"/>
        <w:ind w:left="567" w:hanging="567"/>
        <w:jc w:val="both"/>
        <w:rPr>
          <w:rFonts w:ascii="Times New Roman" w:hAnsi="Times New Roman"/>
          <w:sz w:val="20"/>
          <w:szCs w:val="28"/>
        </w:rPr>
      </w:pPr>
      <w:r w:rsidRPr="00455675">
        <w:rPr>
          <w:rFonts w:ascii="Times New Roman" w:hAnsi="Times New Roman"/>
          <w:sz w:val="20"/>
          <w:szCs w:val="28"/>
        </w:rPr>
        <w:t>Lin, C.-Y., Kuo, T.-H., (2007), The Mediate Effect Of Learning And Knowledge On Organizational Performance, Industrial Management &amp; Data Systems</w:t>
      </w:r>
    </w:p>
    <w:p w:rsidR="000657A6" w:rsidRDefault="000657A6" w:rsidP="00EA438F">
      <w:pPr>
        <w:pStyle w:val="Title"/>
        <w:ind w:left="567" w:hanging="567"/>
        <w:jc w:val="both"/>
        <w:rPr>
          <w:rFonts w:ascii="Times New Roman" w:hAnsi="Times New Roman"/>
          <w:sz w:val="20"/>
          <w:szCs w:val="28"/>
        </w:rPr>
      </w:pPr>
      <w:r w:rsidRPr="000657A6">
        <w:rPr>
          <w:rFonts w:ascii="Times New Roman" w:hAnsi="Times New Roman"/>
          <w:sz w:val="20"/>
          <w:szCs w:val="28"/>
        </w:rPr>
        <w:t xml:space="preserve">LPPI, (2018), Implementasi </w:t>
      </w:r>
      <w:r w:rsidRPr="000657A6">
        <w:rPr>
          <w:rFonts w:ascii="Times New Roman" w:hAnsi="Times New Roman"/>
          <w:i/>
          <w:sz w:val="20"/>
          <w:szCs w:val="28"/>
        </w:rPr>
        <w:t>Good Corporate Governance (GCG)</w:t>
      </w:r>
      <w:r w:rsidRPr="000657A6">
        <w:rPr>
          <w:rFonts w:ascii="Times New Roman" w:hAnsi="Times New Roman"/>
          <w:sz w:val="20"/>
          <w:szCs w:val="28"/>
        </w:rPr>
        <w:t xml:space="preserve"> Industri Perbankan Nasional Tahun 2007 s.d. 2017, Lembaga Pengembangan Perbankan Indonesia, Jakarta</w:t>
      </w:r>
    </w:p>
    <w:p w:rsidR="00B5345F" w:rsidRDefault="00B5345F" w:rsidP="00EA438F">
      <w:pPr>
        <w:pStyle w:val="Title"/>
        <w:ind w:left="567" w:hanging="567"/>
        <w:jc w:val="both"/>
        <w:rPr>
          <w:rFonts w:ascii="Times New Roman" w:hAnsi="Times New Roman"/>
          <w:sz w:val="20"/>
          <w:szCs w:val="28"/>
        </w:rPr>
      </w:pPr>
      <w:r w:rsidRPr="00B5345F">
        <w:rPr>
          <w:rFonts w:ascii="Times New Roman" w:hAnsi="Times New Roman"/>
          <w:sz w:val="20"/>
          <w:szCs w:val="28"/>
        </w:rPr>
        <w:t>Maholtra, K. N., (2010), Marketing Reseach : An Applied Orientation Sixth Ed Pearson Education (Sixth edit), Pearson Education</w:t>
      </w:r>
    </w:p>
    <w:p w:rsidR="000657A6" w:rsidRDefault="000657A6" w:rsidP="00EA438F">
      <w:pPr>
        <w:pStyle w:val="Title"/>
        <w:ind w:left="567" w:hanging="567"/>
        <w:jc w:val="both"/>
        <w:rPr>
          <w:rFonts w:ascii="Times New Roman" w:hAnsi="Times New Roman"/>
          <w:sz w:val="20"/>
          <w:szCs w:val="28"/>
        </w:rPr>
      </w:pPr>
      <w:r w:rsidRPr="000657A6">
        <w:rPr>
          <w:rFonts w:ascii="Times New Roman" w:hAnsi="Times New Roman"/>
          <w:sz w:val="20"/>
          <w:szCs w:val="28"/>
        </w:rPr>
        <w:t>Mak, Y., Kusnadi, Y. (2005). Size Really Matters: Further Evidence on the Negative Relationship between Board Size and Firm Value. Pacific-Basin Finance Journal, Vol. 13, p. 301–318.</w:t>
      </w:r>
    </w:p>
    <w:p w:rsidR="00455675" w:rsidRDefault="00455675" w:rsidP="00EA438F">
      <w:pPr>
        <w:pStyle w:val="Title"/>
        <w:ind w:left="567" w:hanging="567"/>
        <w:jc w:val="both"/>
        <w:rPr>
          <w:rFonts w:ascii="Times New Roman" w:hAnsi="Times New Roman"/>
          <w:sz w:val="20"/>
          <w:szCs w:val="28"/>
        </w:rPr>
      </w:pPr>
      <w:r w:rsidRPr="00455675">
        <w:rPr>
          <w:rFonts w:ascii="Times New Roman" w:hAnsi="Times New Roman"/>
          <w:sz w:val="20"/>
          <w:szCs w:val="28"/>
        </w:rPr>
        <w:t>Marques, C. S., Ferreira, J., (2009), SME Innovative Capacity, Competitive Advantage and Performance in A “Traditional” Industrial Region of Portugal, Journal of Technology Management and Innovation, https://doi.org/</w:t>
      </w:r>
      <w:r>
        <w:rPr>
          <w:rFonts w:ascii="Times New Roman" w:hAnsi="Times New Roman"/>
          <w:sz w:val="20"/>
          <w:szCs w:val="28"/>
        </w:rPr>
        <w:t xml:space="preserve"> </w:t>
      </w:r>
      <w:r w:rsidRPr="00455675">
        <w:rPr>
          <w:rFonts w:ascii="Times New Roman" w:hAnsi="Times New Roman"/>
          <w:sz w:val="20"/>
          <w:szCs w:val="28"/>
        </w:rPr>
        <w:t>10.4067/S0718-27242009000400005</w:t>
      </w:r>
    </w:p>
    <w:p w:rsidR="008B1AD7" w:rsidRDefault="000657A6" w:rsidP="00EA438F">
      <w:pPr>
        <w:pStyle w:val="Title"/>
        <w:ind w:left="567" w:hanging="567"/>
        <w:jc w:val="both"/>
        <w:rPr>
          <w:rFonts w:ascii="Times New Roman" w:hAnsi="Times New Roman"/>
          <w:sz w:val="20"/>
          <w:szCs w:val="28"/>
        </w:rPr>
      </w:pPr>
      <w:r w:rsidRPr="000657A6">
        <w:rPr>
          <w:rFonts w:ascii="Times New Roman" w:hAnsi="Times New Roman"/>
          <w:sz w:val="20"/>
          <w:szCs w:val="28"/>
        </w:rPr>
        <w:t>Martinez-Simarro, D., Devece, C., &amp; Llopis-Albert, C., (2015), How Information Systems Strategy Moderates the Relationship Between Business Strategy and Performance, Journal of Business Research, Vol. 68, No. 7, p1592–1594, https://doi.org/10.1016/j.jb</w:t>
      </w:r>
      <w:r w:rsidR="00065FB3">
        <w:rPr>
          <w:rFonts w:ascii="Times New Roman" w:hAnsi="Times New Roman"/>
          <w:sz w:val="20"/>
          <w:szCs w:val="28"/>
        </w:rPr>
        <w:t>usres.2015.01.0</w:t>
      </w:r>
      <w:r w:rsidRPr="000657A6">
        <w:rPr>
          <w:rFonts w:ascii="Times New Roman" w:hAnsi="Times New Roman"/>
          <w:sz w:val="20"/>
          <w:szCs w:val="28"/>
        </w:rPr>
        <w:t>7</w:t>
      </w:r>
    </w:p>
    <w:p w:rsidR="00455675" w:rsidRDefault="00455675" w:rsidP="00EA438F">
      <w:pPr>
        <w:spacing w:before="0" w:after="0"/>
        <w:ind w:left="567" w:hanging="567"/>
      </w:pPr>
      <w:r w:rsidRPr="00455675">
        <w:t>McGahan, A. M., &amp; Porter, M. E., (1997), How Much Does Industry Matter Really, Strategic Management Journal, Vol. 18, p15-30</w:t>
      </w:r>
    </w:p>
    <w:p w:rsidR="000657A6" w:rsidRDefault="000657A6" w:rsidP="00EA438F">
      <w:pPr>
        <w:spacing w:before="0" w:after="0"/>
        <w:ind w:left="567" w:hanging="567"/>
      </w:pPr>
      <w:r w:rsidRPr="000657A6">
        <w:t>Nicholson, G., Kiel, G. (2007). Can Directors Impact Performance? A case-based test of three theories of corporate governance. Corporate Governance, Vol. 15, No. 4, p. 585–608.</w:t>
      </w:r>
    </w:p>
    <w:p w:rsidR="000657A6" w:rsidRDefault="000657A6" w:rsidP="00EA438F">
      <w:pPr>
        <w:spacing w:before="0" w:after="0"/>
        <w:ind w:left="567" w:hanging="567"/>
      </w:pPr>
      <w:r w:rsidRPr="000657A6">
        <w:t>OJK, (2018), Laporan Publikasi Bank Umum Konvensional, Diakses 18 Juni 2018, https://www.ojk.go.id/id/kanal/perbankan/data-dan-statistik/laporan-keuangan-perbankan</w:t>
      </w:r>
      <w:r w:rsidR="00C85C81">
        <w:t xml:space="preserve"> </w:t>
      </w:r>
      <w:r w:rsidRPr="000657A6">
        <w:t>/default.aspx</w:t>
      </w:r>
    </w:p>
    <w:p w:rsidR="00455675" w:rsidRDefault="00455675" w:rsidP="00EA438F">
      <w:pPr>
        <w:spacing w:before="0" w:after="0"/>
        <w:ind w:left="567" w:hanging="567"/>
      </w:pPr>
      <w:r w:rsidRPr="00455675">
        <w:t>Pucciarelli, F., Kaplan, A., (2016), Competition and Strategy in Higher Education: Managing Complexity and Uncertainty, Business Horizons</w:t>
      </w:r>
    </w:p>
    <w:p w:rsidR="00B5345F" w:rsidRDefault="00B5345F" w:rsidP="00EA438F">
      <w:pPr>
        <w:spacing w:before="0" w:after="0"/>
        <w:ind w:left="567" w:hanging="567"/>
      </w:pPr>
      <w:r w:rsidRPr="00B5345F">
        <w:t>Regalli, M., (2012), Corporate Governance Quality and Cost of Equity in Financial Companies, Vol. 3, No. 2, p2–16. https://doi.org/10.5430</w:t>
      </w:r>
      <w:r w:rsidR="00C85C81">
        <w:t xml:space="preserve"> </w:t>
      </w:r>
      <w:r w:rsidRPr="00B5345F">
        <w:t>/ ijba.v3n2p2</w:t>
      </w:r>
    </w:p>
    <w:p w:rsidR="005B244E" w:rsidRDefault="005B244E" w:rsidP="00EA438F">
      <w:pPr>
        <w:spacing w:before="0" w:after="0"/>
        <w:ind w:left="567" w:hanging="567"/>
      </w:pPr>
      <w:r w:rsidRPr="005B244E">
        <w:t xml:space="preserve">Renders, A., Gaeremynck, A., Sercu, P. (2010). Corporate Governance and Performance: Controlling for Sample Selection Bias and </w:t>
      </w:r>
      <w:r w:rsidRPr="005B244E">
        <w:lastRenderedPageBreak/>
        <w:t>Endogeneity. Corporate Governance, Vol. 18, No. 2, p. 87–106.</w:t>
      </w:r>
    </w:p>
    <w:p w:rsidR="000657A6" w:rsidRDefault="000657A6" w:rsidP="00EA438F">
      <w:pPr>
        <w:spacing w:before="0" w:after="0"/>
        <w:ind w:left="567" w:hanging="567"/>
      </w:pPr>
      <w:r w:rsidRPr="000657A6">
        <w:t>Sebahattin, Y., Ba, F., &amp; Ta, İ., (2014), The Effect of Leadership and Innovativeness on Business Performance, Vol. 150, p785–793, https://doi.org/10.1016/j.sbspro.2014.09.064</w:t>
      </w:r>
    </w:p>
    <w:p w:rsidR="001C080A" w:rsidRDefault="001C080A" w:rsidP="001C080A">
      <w:pPr>
        <w:pStyle w:val="Default"/>
        <w:tabs>
          <w:tab w:val="left" w:pos="567"/>
          <w:tab w:val="left" w:leader="dot" w:pos="7371"/>
          <w:tab w:val="left" w:pos="7513"/>
        </w:tabs>
        <w:ind w:left="567" w:hanging="567"/>
        <w:jc w:val="both"/>
        <w:rPr>
          <w:rFonts w:ascii="Times New Roman" w:hAnsi="Times New Roman" w:cs="Times New Roman"/>
          <w:bCs/>
          <w:color w:val="auto"/>
          <w:sz w:val="20"/>
          <w:szCs w:val="20"/>
          <w:lang w:val="fr-CH"/>
        </w:rPr>
      </w:pPr>
      <w:r w:rsidRPr="001C080A">
        <w:rPr>
          <w:rFonts w:ascii="Times New Roman" w:hAnsi="Times New Roman" w:cs="Times New Roman"/>
          <w:bCs/>
          <w:color w:val="auto"/>
          <w:sz w:val="20"/>
          <w:szCs w:val="20"/>
          <w:lang w:val="fr-CH"/>
        </w:rPr>
        <w:t xml:space="preserve">Setiawan, Awan., Yulianto., Erwin, (2017), </w:t>
      </w:r>
      <w:r w:rsidRPr="001C080A">
        <w:rPr>
          <w:rFonts w:ascii="Times New Roman" w:hAnsi="Times New Roman" w:cs="Times New Roman"/>
          <w:bCs/>
          <w:i/>
          <w:color w:val="auto"/>
          <w:sz w:val="20"/>
          <w:szCs w:val="20"/>
          <w:lang w:val="fr-CH"/>
        </w:rPr>
        <w:t>Information System Strategic Planning Using IT Balanced Scorecard In Ward &amp; Peppard Framework Model</w:t>
      </w:r>
      <w:r w:rsidRPr="001C080A">
        <w:rPr>
          <w:rFonts w:ascii="Times New Roman" w:hAnsi="Times New Roman" w:cs="Times New Roman"/>
          <w:bCs/>
          <w:color w:val="auto"/>
          <w:sz w:val="20"/>
          <w:szCs w:val="20"/>
          <w:lang w:val="fr-CH"/>
        </w:rPr>
        <w:t>, International Journal of Engineering and Technology (IJET), Vol. 9, No. 3, p1864-1872, DOI: 10.21817/ijet/2017/v9i3/170903134</w:t>
      </w:r>
    </w:p>
    <w:p w:rsidR="005B244E" w:rsidRDefault="005B244E" w:rsidP="00EA438F">
      <w:pPr>
        <w:spacing w:before="0" w:after="0"/>
        <w:ind w:left="567" w:hanging="567"/>
      </w:pPr>
      <w:r w:rsidRPr="005B244E">
        <w:t>Shank, T., Hill, R., Stang, J. (2013). Do Investors Benefit from Good Corporate Governance? The International Journal of Business in Society, Vol. 13, No. 4, p. 384–396.</w:t>
      </w:r>
    </w:p>
    <w:p w:rsidR="00455675" w:rsidRDefault="00455675" w:rsidP="00EA438F">
      <w:pPr>
        <w:spacing w:before="0" w:after="0"/>
        <w:ind w:left="567" w:hanging="567"/>
      </w:pPr>
      <w:r w:rsidRPr="00455675">
        <w:t>Silverman, B., Nickerson, J., &amp; Freeman, J., (1997), Profitability, Transactional Alignment, and Organizational Mortality in the US Trucking Industry, Strategic Management Journal, Vol. 18, p31-52</w:t>
      </w:r>
    </w:p>
    <w:p w:rsidR="002E1EF6" w:rsidRDefault="002E1EF6" w:rsidP="00EA438F">
      <w:pPr>
        <w:spacing w:before="0" w:after="0"/>
        <w:ind w:left="567" w:hanging="567"/>
      </w:pPr>
      <w:r w:rsidRPr="002E1EF6">
        <w:t>Sugiyono, (2013), Metode Penelitian Kuantitatif, Kualitatif dan Kombinasi (Mixed Methods), Alfabeta, Bandung</w:t>
      </w:r>
    </w:p>
    <w:p w:rsidR="005B244E" w:rsidRDefault="005B244E" w:rsidP="00EA438F">
      <w:pPr>
        <w:spacing w:before="0" w:after="0"/>
        <w:ind w:left="567" w:hanging="567"/>
      </w:pPr>
      <w:r w:rsidRPr="005B244E">
        <w:t>Sunday, O. (2008). Corporate governance and firm performance: The Case of Nigerian Listed firms. European Journal of Economics, Finance and Administrative Sciences, Vol. 14, p. 16–28.</w:t>
      </w:r>
    </w:p>
    <w:p w:rsidR="00B5345F" w:rsidRDefault="00B5345F" w:rsidP="00EA438F">
      <w:pPr>
        <w:spacing w:before="0" w:after="0"/>
        <w:ind w:left="567" w:hanging="567"/>
      </w:pPr>
      <w:r w:rsidRPr="00B5345F">
        <w:t>Tampubolon, Nelson., (2017), SEOJK No. 13/SEOJK.03/2017 tanggal 17 Maret 2017 tentang Penerapan Tata Kelola Bagi Bank Umum, Jakarta</w:t>
      </w:r>
    </w:p>
    <w:p w:rsidR="00455675" w:rsidRDefault="00455675" w:rsidP="00EA438F">
      <w:pPr>
        <w:spacing w:before="0" w:after="0"/>
        <w:ind w:left="567" w:hanging="567"/>
      </w:pPr>
      <w:r w:rsidRPr="00455675">
        <w:t>Tan, J., &amp; Litschert, R., (1994), Environment-Strategy Relationship and Its Performance Implications : An Empirical Study of the Chinese Electronics Industry, Strategic Management Journal, Vol. 15, p1-20</w:t>
      </w:r>
    </w:p>
    <w:p w:rsidR="00455675" w:rsidRDefault="00455675" w:rsidP="00EA438F">
      <w:pPr>
        <w:spacing w:before="0" w:after="0"/>
        <w:ind w:left="567" w:hanging="567"/>
      </w:pPr>
      <w:r w:rsidRPr="00455675">
        <w:t>Tan, J., &amp; Tan, D., (2005), Environment-Strategy Co-Evolution and Co-Alignment: A Staged Model of Chinese SOEs Under Transition, Strategic Management Journal, Vol. 26, p141-157</w:t>
      </w:r>
    </w:p>
    <w:p w:rsidR="00455675" w:rsidRDefault="00455675" w:rsidP="00EA438F">
      <w:pPr>
        <w:spacing w:before="0" w:after="0"/>
        <w:ind w:left="567" w:hanging="567"/>
      </w:pPr>
      <w:r w:rsidRPr="00455675">
        <w:t>Wernerfelt, (1984), A Resource-Based View of the Firm. Strategic Management Journal</w:t>
      </w:r>
    </w:p>
    <w:p w:rsidR="000657A6" w:rsidRDefault="000657A6" w:rsidP="00EA438F">
      <w:pPr>
        <w:spacing w:before="0" w:after="0"/>
        <w:ind w:left="567" w:hanging="567"/>
      </w:pPr>
      <w:r w:rsidRPr="000657A6">
        <w:t>Wheelen, Thomas L., Hunger, J David., (2008), Strategic Management &amp; Business Policy, Pearson International Edition, New Jersey</w:t>
      </w:r>
    </w:p>
    <w:p w:rsidR="000657A6" w:rsidRDefault="000657A6" w:rsidP="00EA438F">
      <w:pPr>
        <w:spacing w:before="0" w:after="0"/>
        <w:ind w:left="567" w:hanging="567"/>
      </w:pPr>
    </w:p>
    <w:p w:rsidR="000657A6" w:rsidRDefault="000657A6" w:rsidP="00EA438F">
      <w:pPr>
        <w:spacing w:before="0" w:after="0"/>
        <w:ind w:left="567" w:hanging="567"/>
      </w:pPr>
    </w:p>
    <w:p w:rsidR="00A9610C" w:rsidRDefault="00A9610C" w:rsidP="00EA438F">
      <w:pPr>
        <w:spacing w:before="0" w:after="0"/>
        <w:ind w:left="567" w:hanging="567"/>
      </w:pPr>
    </w:p>
    <w:p w:rsidR="00A9610C" w:rsidRDefault="00A9610C" w:rsidP="00EA438F">
      <w:pPr>
        <w:spacing w:before="0" w:after="0"/>
        <w:ind w:left="567" w:hanging="567"/>
      </w:pPr>
    </w:p>
    <w:p w:rsidR="00A9610C" w:rsidRDefault="00A9610C" w:rsidP="00EA438F">
      <w:pPr>
        <w:spacing w:before="0" w:after="0"/>
        <w:ind w:left="567" w:hanging="567"/>
      </w:pPr>
    </w:p>
    <w:p w:rsidR="00A9610C" w:rsidRDefault="00A9610C" w:rsidP="00EA438F">
      <w:pPr>
        <w:spacing w:before="0" w:after="0"/>
        <w:ind w:left="567" w:hanging="567"/>
      </w:pPr>
    </w:p>
    <w:p w:rsidR="00A9610C" w:rsidRDefault="00A9610C" w:rsidP="00EA438F">
      <w:pPr>
        <w:spacing w:before="0" w:after="0"/>
        <w:ind w:left="567" w:hanging="567"/>
      </w:pPr>
    </w:p>
    <w:p w:rsidR="00A9610C" w:rsidRDefault="00A9610C" w:rsidP="00EA438F">
      <w:pPr>
        <w:spacing w:before="0" w:after="0"/>
        <w:ind w:left="567" w:hanging="567"/>
      </w:pPr>
    </w:p>
    <w:p w:rsidR="00A9610C" w:rsidRDefault="00A9610C" w:rsidP="00EA438F">
      <w:pPr>
        <w:spacing w:before="0" w:after="0"/>
        <w:ind w:left="567" w:hanging="567"/>
      </w:pPr>
    </w:p>
    <w:p w:rsidR="00A9610C" w:rsidRDefault="00A9610C" w:rsidP="00EA438F">
      <w:pPr>
        <w:spacing w:before="0" w:after="0"/>
        <w:ind w:left="567" w:hanging="567"/>
      </w:pPr>
    </w:p>
    <w:sectPr w:rsidR="00A9610C" w:rsidSect="00097558">
      <w:type w:val="continuous"/>
      <w:pgSz w:w="11907" w:h="16840" w:code="9"/>
      <w:pgMar w:top="1134" w:right="1134" w:bottom="1134" w:left="1701" w:header="720" w:footer="114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731" w:rsidRDefault="00D03731" w:rsidP="00C261FE">
      <w:pPr>
        <w:spacing w:after="0"/>
      </w:pPr>
      <w:r>
        <w:separator/>
      </w:r>
    </w:p>
  </w:endnote>
  <w:endnote w:type="continuationSeparator" w:id="0">
    <w:p w:rsidR="00D03731" w:rsidRDefault="00D03731" w:rsidP="00C26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AB" w:rsidRPr="00554D31" w:rsidRDefault="007106AB">
    <w:pPr>
      <w:pStyle w:val="Footer"/>
      <w:jc w:val="right"/>
      <w:rPr>
        <w:rFonts w:ascii="Times New Roman" w:hAnsi="Times New Roman"/>
        <w:sz w:val="20"/>
      </w:rPr>
    </w:pPr>
    <w:r w:rsidRPr="00554D31">
      <w:rPr>
        <w:rFonts w:ascii="Times New Roman" w:hAnsi="Times New Roman"/>
        <w:sz w:val="20"/>
      </w:rPr>
      <w:fldChar w:fldCharType="begin"/>
    </w:r>
    <w:r w:rsidRPr="00554D31">
      <w:rPr>
        <w:rFonts w:ascii="Times New Roman" w:hAnsi="Times New Roman"/>
        <w:sz w:val="20"/>
      </w:rPr>
      <w:instrText xml:space="preserve"> PAGE   \* MERGEFORMAT </w:instrText>
    </w:r>
    <w:r w:rsidRPr="00554D31">
      <w:rPr>
        <w:rFonts w:ascii="Times New Roman" w:hAnsi="Times New Roman"/>
        <w:sz w:val="20"/>
      </w:rPr>
      <w:fldChar w:fldCharType="separate"/>
    </w:r>
    <w:r w:rsidR="00B82CE9">
      <w:rPr>
        <w:rFonts w:ascii="Times New Roman" w:hAnsi="Times New Roman"/>
        <w:noProof/>
        <w:sz w:val="20"/>
      </w:rPr>
      <w:t>1</w:t>
    </w:r>
    <w:r w:rsidRPr="00554D31">
      <w:rPr>
        <w:rFonts w:ascii="Times New Roman" w:hAnsi="Times New Roman"/>
        <w:noProof/>
        <w:sz w:val="20"/>
      </w:rPr>
      <w:fldChar w:fldCharType="end"/>
    </w:r>
  </w:p>
  <w:p w:rsidR="0044334C" w:rsidRPr="007106AB" w:rsidRDefault="0044334C" w:rsidP="007106AB">
    <w:pPr>
      <w:pStyle w:val="Footer"/>
      <w:jc w:val="center"/>
      <w:rPr>
        <w:rFonts w:ascii="Times New Roman" w:hAnsi="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731" w:rsidRDefault="00D03731" w:rsidP="00C261FE">
      <w:pPr>
        <w:spacing w:after="0"/>
      </w:pPr>
      <w:r>
        <w:separator/>
      </w:r>
    </w:p>
  </w:footnote>
  <w:footnote w:type="continuationSeparator" w:id="0">
    <w:p w:rsidR="00D03731" w:rsidRDefault="00D03731" w:rsidP="00C261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972" w:rsidRDefault="00DD2972" w:rsidP="00DD2972">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18E44AB"/>
    <w:multiLevelType w:val="multilevel"/>
    <w:tmpl w:val="34E6B784"/>
    <w:lvl w:ilvl="0">
      <w:start w:val="1"/>
      <w:numFmt w:val="upperRoman"/>
      <w:pStyle w:val="Heading1"/>
      <w:suff w:val="space"/>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4FA7BAE"/>
    <w:multiLevelType w:val="hybridMultilevel"/>
    <w:tmpl w:val="DE0888F6"/>
    <w:lvl w:ilvl="0" w:tplc="D11EF09C">
      <w:start w:val="1"/>
      <w:numFmt w:val="decimal"/>
      <w:pStyle w:val="ACMReferen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9664D"/>
    <w:multiLevelType w:val="hybridMultilevel"/>
    <w:tmpl w:val="E9004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9E6817"/>
    <w:multiLevelType w:val="hybridMultilevel"/>
    <w:tmpl w:val="2E40B71E"/>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35E37402"/>
    <w:multiLevelType w:val="hybridMultilevel"/>
    <w:tmpl w:val="084CC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D477E16"/>
    <w:multiLevelType w:val="hybridMultilevel"/>
    <w:tmpl w:val="03A2A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2F7BC7"/>
    <w:multiLevelType w:val="hybridMultilevel"/>
    <w:tmpl w:val="C7B2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25B3D17"/>
    <w:multiLevelType w:val="hybridMultilevel"/>
    <w:tmpl w:val="0882B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270810"/>
    <w:multiLevelType w:val="hybridMultilevel"/>
    <w:tmpl w:val="9C3C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7F4B21"/>
    <w:multiLevelType w:val="multilevel"/>
    <w:tmpl w:val="20943EE0"/>
    <w:lvl w:ilvl="0">
      <w:start w:val="1"/>
      <w:numFmt w:val="decimal"/>
      <w:pStyle w:val="IEEEHeading3"/>
      <w:suff w:val="nothing"/>
      <w:lvlText w:val="%1)  "/>
      <w:lvlJc w:val="left"/>
      <w:pPr>
        <w:ind w:left="0" w:firstLine="0"/>
      </w:pPr>
      <w:rPr>
        <w:rFonts w:hint="default"/>
        <w:b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nsid w:val="70984C12"/>
    <w:multiLevelType w:val="hybridMultilevel"/>
    <w:tmpl w:val="40580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3237E1"/>
    <w:multiLevelType w:val="hybridMultilevel"/>
    <w:tmpl w:val="5BAA0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3"/>
  </w:num>
  <w:num w:numId="4">
    <w:abstractNumId w:val="1"/>
  </w:num>
  <w:num w:numId="5">
    <w:abstractNumId w:val="13"/>
  </w:num>
  <w:num w:numId="6">
    <w:abstractNumId w:val="10"/>
  </w:num>
  <w:num w:numId="7">
    <w:abstractNumId w:val="2"/>
  </w:num>
  <w:num w:numId="8">
    <w:abstractNumId w:val="14"/>
  </w:num>
  <w:num w:numId="9">
    <w:abstractNumId w:val="12"/>
  </w:num>
  <w:num w:numId="10">
    <w:abstractNumId w:val="4"/>
  </w:num>
  <w:num w:numId="11">
    <w:abstractNumId w:val="9"/>
  </w:num>
  <w:num w:numId="12">
    <w:abstractNumId w:val="11"/>
  </w:num>
  <w:num w:numId="13">
    <w:abstractNumId w:val="8"/>
  </w:num>
  <w:num w:numId="14">
    <w:abstractNumId w:val="17"/>
  </w:num>
  <w:num w:numId="15">
    <w:abstractNumId w:val="5"/>
  </w:num>
  <w:num w:numId="16">
    <w:abstractNumId w:val="6"/>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activeWritingStyle w:appName="MSWord" w:lang="en-ID" w:vendorID="64" w:dllVersion="131078" w:nlCheck="1" w:checkStyle="0"/>
  <w:activeWritingStyle w:appName="MSWord" w:lang="en-US" w:vendorID="64" w:dllVersion="4096" w:nlCheck="1" w:checkStyle="0"/>
  <w:activeWritingStyle w:appName="MSWord" w:lang="en-ID" w:vendorID="64" w:dllVersion="4096" w:nlCheck="1" w:checkStyle="0"/>
  <w:activeWritingStyle w:appName="MSWord" w:lang="fr-CH" w:vendorID="64" w:dllVersion="131078" w:nlCheck="1" w:checkStyle="1"/>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68"/>
    <w:rsid w:val="0000033A"/>
    <w:rsid w:val="00005984"/>
    <w:rsid w:val="00010DD6"/>
    <w:rsid w:val="0001315A"/>
    <w:rsid w:val="000149C0"/>
    <w:rsid w:val="000222A4"/>
    <w:rsid w:val="0002275D"/>
    <w:rsid w:val="00032827"/>
    <w:rsid w:val="00034CE7"/>
    <w:rsid w:val="0004248C"/>
    <w:rsid w:val="00042FB0"/>
    <w:rsid w:val="0004309B"/>
    <w:rsid w:val="000451C1"/>
    <w:rsid w:val="00051EB4"/>
    <w:rsid w:val="00062C1C"/>
    <w:rsid w:val="000657A6"/>
    <w:rsid w:val="00065FB3"/>
    <w:rsid w:val="0006695C"/>
    <w:rsid w:val="00067E60"/>
    <w:rsid w:val="000739AD"/>
    <w:rsid w:val="0007483C"/>
    <w:rsid w:val="00077036"/>
    <w:rsid w:val="000807E7"/>
    <w:rsid w:val="0009083A"/>
    <w:rsid w:val="000919A4"/>
    <w:rsid w:val="00097558"/>
    <w:rsid w:val="000A517A"/>
    <w:rsid w:val="000B0C1D"/>
    <w:rsid w:val="000C20E5"/>
    <w:rsid w:val="000C4CB5"/>
    <w:rsid w:val="000C77B3"/>
    <w:rsid w:val="000D1A70"/>
    <w:rsid w:val="000D4B4E"/>
    <w:rsid w:val="000E6113"/>
    <w:rsid w:val="000F3734"/>
    <w:rsid w:val="000F6677"/>
    <w:rsid w:val="000F68EE"/>
    <w:rsid w:val="000F70A2"/>
    <w:rsid w:val="00101541"/>
    <w:rsid w:val="00104502"/>
    <w:rsid w:val="00104A77"/>
    <w:rsid w:val="00105C3A"/>
    <w:rsid w:val="0010608E"/>
    <w:rsid w:val="0011087D"/>
    <w:rsid w:val="00113DFE"/>
    <w:rsid w:val="00113ECE"/>
    <w:rsid w:val="001150EB"/>
    <w:rsid w:val="0012191A"/>
    <w:rsid w:val="001238A5"/>
    <w:rsid w:val="0012396D"/>
    <w:rsid w:val="001239E8"/>
    <w:rsid w:val="00126AA7"/>
    <w:rsid w:val="00127034"/>
    <w:rsid w:val="00127FEF"/>
    <w:rsid w:val="00131ED5"/>
    <w:rsid w:val="00134A6F"/>
    <w:rsid w:val="001369C1"/>
    <w:rsid w:val="00136B84"/>
    <w:rsid w:val="001405FE"/>
    <w:rsid w:val="001454F8"/>
    <w:rsid w:val="0014661F"/>
    <w:rsid w:val="00152340"/>
    <w:rsid w:val="00156040"/>
    <w:rsid w:val="0016097A"/>
    <w:rsid w:val="00164802"/>
    <w:rsid w:val="00171FC2"/>
    <w:rsid w:val="00173C9E"/>
    <w:rsid w:val="00180388"/>
    <w:rsid w:val="001841A4"/>
    <w:rsid w:val="00184760"/>
    <w:rsid w:val="00186343"/>
    <w:rsid w:val="0018656C"/>
    <w:rsid w:val="001A17BE"/>
    <w:rsid w:val="001B12F4"/>
    <w:rsid w:val="001B1482"/>
    <w:rsid w:val="001B2983"/>
    <w:rsid w:val="001B2EE5"/>
    <w:rsid w:val="001B3C14"/>
    <w:rsid w:val="001B56DD"/>
    <w:rsid w:val="001C080A"/>
    <w:rsid w:val="001C0BE3"/>
    <w:rsid w:val="001C1775"/>
    <w:rsid w:val="001C29A9"/>
    <w:rsid w:val="001E0912"/>
    <w:rsid w:val="001E0B99"/>
    <w:rsid w:val="001E0E85"/>
    <w:rsid w:val="001E65E0"/>
    <w:rsid w:val="001F02B6"/>
    <w:rsid w:val="00201C44"/>
    <w:rsid w:val="00204772"/>
    <w:rsid w:val="00205F3B"/>
    <w:rsid w:val="002062B5"/>
    <w:rsid w:val="00206C2F"/>
    <w:rsid w:val="00210270"/>
    <w:rsid w:val="00210D53"/>
    <w:rsid w:val="002126AD"/>
    <w:rsid w:val="00222695"/>
    <w:rsid w:val="00222EC0"/>
    <w:rsid w:val="00224153"/>
    <w:rsid w:val="002304EF"/>
    <w:rsid w:val="0023513E"/>
    <w:rsid w:val="00236474"/>
    <w:rsid w:val="00240F15"/>
    <w:rsid w:val="00243445"/>
    <w:rsid w:val="00251BFF"/>
    <w:rsid w:val="0025551B"/>
    <w:rsid w:val="00256792"/>
    <w:rsid w:val="00260A88"/>
    <w:rsid w:val="002703D7"/>
    <w:rsid w:val="002753B7"/>
    <w:rsid w:val="00276C24"/>
    <w:rsid w:val="00277783"/>
    <w:rsid w:val="002A55E3"/>
    <w:rsid w:val="002A6146"/>
    <w:rsid w:val="002C0930"/>
    <w:rsid w:val="002C42ED"/>
    <w:rsid w:val="002D3368"/>
    <w:rsid w:val="002E1EF6"/>
    <w:rsid w:val="002F19F7"/>
    <w:rsid w:val="002F5D1C"/>
    <w:rsid w:val="002F624A"/>
    <w:rsid w:val="00301850"/>
    <w:rsid w:val="00302158"/>
    <w:rsid w:val="00302A04"/>
    <w:rsid w:val="003102D2"/>
    <w:rsid w:val="00311CDA"/>
    <w:rsid w:val="00314321"/>
    <w:rsid w:val="0032065C"/>
    <w:rsid w:val="00321457"/>
    <w:rsid w:val="00321887"/>
    <w:rsid w:val="003226DD"/>
    <w:rsid w:val="00322B4E"/>
    <w:rsid w:val="00324178"/>
    <w:rsid w:val="00324BA3"/>
    <w:rsid w:val="003266DE"/>
    <w:rsid w:val="00327BDA"/>
    <w:rsid w:val="003403CC"/>
    <w:rsid w:val="003405BB"/>
    <w:rsid w:val="00341A54"/>
    <w:rsid w:val="00343BB5"/>
    <w:rsid w:val="00344871"/>
    <w:rsid w:val="0035288A"/>
    <w:rsid w:val="003557D1"/>
    <w:rsid w:val="00360105"/>
    <w:rsid w:val="00361E35"/>
    <w:rsid w:val="0036369B"/>
    <w:rsid w:val="003670AC"/>
    <w:rsid w:val="00374EAD"/>
    <w:rsid w:val="00375144"/>
    <w:rsid w:val="0037770D"/>
    <w:rsid w:val="003801C0"/>
    <w:rsid w:val="00384750"/>
    <w:rsid w:val="003942BC"/>
    <w:rsid w:val="003A6CB4"/>
    <w:rsid w:val="003B2067"/>
    <w:rsid w:val="003B4D39"/>
    <w:rsid w:val="003B542E"/>
    <w:rsid w:val="003C0CB7"/>
    <w:rsid w:val="003C7E0F"/>
    <w:rsid w:val="003D1827"/>
    <w:rsid w:val="003D2ADB"/>
    <w:rsid w:val="003D2BD7"/>
    <w:rsid w:val="003D3C3B"/>
    <w:rsid w:val="003D75A1"/>
    <w:rsid w:val="003E0EB2"/>
    <w:rsid w:val="003E129C"/>
    <w:rsid w:val="003E2182"/>
    <w:rsid w:val="003E2277"/>
    <w:rsid w:val="003E24D2"/>
    <w:rsid w:val="003E3D74"/>
    <w:rsid w:val="003E4A9C"/>
    <w:rsid w:val="003E66D7"/>
    <w:rsid w:val="003F412E"/>
    <w:rsid w:val="003F6023"/>
    <w:rsid w:val="004013A7"/>
    <w:rsid w:val="00401966"/>
    <w:rsid w:val="00402139"/>
    <w:rsid w:val="004049CC"/>
    <w:rsid w:val="004100B8"/>
    <w:rsid w:val="004125E8"/>
    <w:rsid w:val="0041728C"/>
    <w:rsid w:val="00417CBA"/>
    <w:rsid w:val="0042385A"/>
    <w:rsid w:val="00427029"/>
    <w:rsid w:val="00427F68"/>
    <w:rsid w:val="004338C2"/>
    <w:rsid w:val="00435424"/>
    <w:rsid w:val="00436817"/>
    <w:rsid w:val="00436E4F"/>
    <w:rsid w:val="00441608"/>
    <w:rsid w:val="0044201D"/>
    <w:rsid w:val="004422F3"/>
    <w:rsid w:val="0044334C"/>
    <w:rsid w:val="00445B95"/>
    <w:rsid w:val="00445F83"/>
    <w:rsid w:val="00450069"/>
    <w:rsid w:val="00455675"/>
    <w:rsid w:val="0045757A"/>
    <w:rsid w:val="004612E1"/>
    <w:rsid w:val="004652CF"/>
    <w:rsid w:val="0046651A"/>
    <w:rsid w:val="00471C24"/>
    <w:rsid w:val="004739D6"/>
    <w:rsid w:val="00474C09"/>
    <w:rsid w:val="0048222D"/>
    <w:rsid w:val="00487EC0"/>
    <w:rsid w:val="0049140C"/>
    <w:rsid w:val="00492E52"/>
    <w:rsid w:val="0049417E"/>
    <w:rsid w:val="004978F9"/>
    <w:rsid w:val="004A1A59"/>
    <w:rsid w:val="004A5FD2"/>
    <w:rsid w:val="004A6092"/>
    <w:rsid w:val="004B19E4"/>
    <w:rsid w:val="004B2486"/>
    <w:rsid w:val="004B6F74"/>
    <w:rsid w:val="004C1F7A"/>
    <w:rsid w:val="004C384B"/>
    <w:rsid w:val="004C3917"/>
    <w:rsid w:val="004C5D41"/>
    <w:rsid w:val="004C5F26"/>
    <w:rsid w:val="004C7493"/>
    <w:rsid w:val="004D44B2"/>
    <w:rsid w:val="004D6C73"/>
    <w:rsid w:val="004D7155"/>
    <w:rsid w:val="004E20A3"/>
    <w:rsid w:val="004E3E5D"/>
    <w:rsid w:val="004F4E64"/>
    <w:rsid w:val="00501298"/>
    <w:rsid w:val="005030AA"/>
    <w:rsid w:val="00506231"/>
    <w:rsid w:val="005063DB"/>
    <w:rsid w:val="005241E9"/>
    <w:rsid w:val="005410F4"/>
    <w:rsid w:val="0054382C"/>
    <w:rsid w:val="00547499"/>
    <w:rsid w:val="00547CBB"/>
    <w:rsid w:val="00550EE3"/>
    <w:rsid w:val="00551FE4"/>
    <w:rsid w:val="0055400D"/>
    <w:rsid w:val="00554D31"/>
    <w:rsid w:val="005561CC"/>
    <w:rsid w:val="005623E9"/>
    <w:rsid w:val="00573A74"/>
    <w:rsid w:val="00575D2B"/>
    <w:rsid w:val="00581D51"/>
    <w:rsid w:val="0058596B"/>
    <w:rsid w:val="00596E6C"/>
    <w:rsid w:val="005A0C11"/>
    <w:rsid w:val="005A15F5"/>
    <w:rsid w:val="005A2902"/>
    <w:rsid w:val="005A5EBB"/>
    <w:rsid w:val="005A6602"/>
    <w:rsid w:val="005B169B"/>
    <w:rsid w:val="005B1E46"/>
    <w:rsid w:val="005B207D"/>
    <w:rsid w:val="005B244E"/>
    <w:rsid w:val="005B5A41"/>
    <w:rsid w:val="005B747F"/>
    <w:rsid w:val="005C0D0A"/>
    <w:rsid w:val="005C4E30"/>
    <w:rsid w:val="005D057A"/>
    <w:rsid w:val="005D378C"/>
    <w:rsid w:val="005D61CB"/>
    <w:rsid w:val="005D78B9"/>
    <w:rsid w:val="005E6C97"/>
    <w:rsid w:val="005E6E1A"/>
    <w:rsid w:val="006021C5"/>
    <w:rsid w:val="006029DC"/>
    <w:rsid w:val="00605E0E"/>
    <w:rsid w:val="00606065"/>
    <w:rsid w:val="006167B3"/>
    <w:rsid w:val="0062039A"/>
    <w:rsid w:val="00621FB8"/>
    <w:rsid w:val="0062504D"/>
    <w:rsid w:val="0062599C"/>
    <w:rsid w:val="00642754"/>
    <w:rsid w:val="00647D4E"/>
    <w:rsid w:val="00647DF3"/>
    <w:rsid w:val="00651342"/>
    <w:rsid w:val="00654176"/>
    <w:rsid w:val="006632B5"/>
    <w:rsid w:val="00671FBE"/>
    <w:rsid w:val="00673DAA"/>
    <w:rsid w:val="0067439B"/>
    <w:rsid w:val="0067693F"/>
    <w:rsid w:val="00680F91"/>
    <w:rsid w:val="006841C4"/>
    <w:rsid w:val="00684859"/>
    <w:rsid w:val="00686A10"/>
    <w:rsid w:val="00694DF4"/>
    <w:rsid w:val="00697ABC"/>
    <w:rsid w:val="006A1813"/>
    <w:rsid w:val="006A207C"/>
    <w:rsid w:val="006A31D6"/>
    <w:rsid w:val="006A39CD"/>
    <w:rsid w:val="006B4C62"/>
    <w:rsid w:val="006B66C1"/>
    <w:rsid w:val="006C0184"/>
    <w:rsid w:val="006C4382"/>
    <w:rsid w:val="006C5330"/>
    <w:rsid w:val="006C63D3"/>
    <w:rsid w:val="006C78B6"/>
    <w:rsid w:val="006C7D8F"/>
    <w:rsid w:val="006D0818"/>
    <w:rsid w:val="006D37E4"/>
    <w:rsid w:val="006D4167"/>
    <w:rsid w:val="006D7161"/>
    <w:rsid w:val="006E3AA4"/>
    <w:rsid w:val="006F0397"/>
    <w:rsid w:val="006F2F36"/>
    <w:rsid w:val="006F3073"/>
    <w:rsid w:val="007012CD"/>
    <w:rsid w:val="007106AB"/>
    <w:rsid w:val="00711695"/>
    <w:rsid w:val="0071257E"/>
    <w:rsid w:val="0071624B"/>
    <w:rsid w:val="00717192"/>
    <w:rsid w:val="0072472A"/>
    <w:rsid w:val="00726936"/>
    <w:rsid w:val="00726F1A"/>
    <w:rsid w:val="0073186D"/>
    <w:rsid w:val="0073207C"/>
    <w:rsid w:val="00733CF1"/>
    <w:rsid w:val="0073504C"/>
    <w:rsid w:val="00747A7B"/>
    <w:rsid w:val="00747EA0"/>
    <w:rsid w:val="007526A8"/>
    <w:rsid w:val="007648C1"/>
    <w:rsid w:val="00765DA2"/>
    <w:rsid w:val="007712F2"/>
    <w:rsid w:val="00772B8E"/>
    <w:rsid w:val="00777690"/>
    <w:rsid w:val="007820BB"/>
    <w:rsid w:val="00783E58"/>
    <w:rsid w:val="007853ED"/>
    <w:rsid w:val="00794E0A"/>
    <w:rsid w:val="007A4B1B"/>
    <w:rsid w:val="007C1E51"/>
    <w:rsid w:val="007C1F01"/>
    <w:rsid w:val="007C43F3"/>
    <w:rsid w:val="007D4A6F"/>
    <w:rsid w:val="007D75EA"/>
    <w:rsid w:val="007E2413"/>
    <w:rsid w:val="007E2A86"/>
    <w:rsid w:val="007E3F55"/>
    <w:rsid w:val="007E75C3"/>
    <w:rsid w:val="007F23B0"/>
    <w:rsid w:val="0080041C"/>
    <w:rsid w:val="008047BE"/>
    <w:rsid w:val="00813C75"/>
    <w:rsid w:val="00820A57"/>
    <w:rsid w:val="00821012"/>
    <w:rsid w:val="00822E15"/>
    <w:rsid w:val="00827732"/>
    <w:rsid w:val="00840523"/>
    <w:rsid w:val="00843972"/>
    <w:rsid w:val="00845A9C"/>
    <w:rsid w:val="008540C4"/>
    <w:rsid w:val="008554A3"/>
    <w:rsid w:val="008655FE"/>
    <w:rsid w:val="00867270"/>
    <w:rsid w:val="00867D6D"/>
    <w:rsid w:val="00873269"/>
    <w:rsid w:val="00873C59"/>
    <w:rsid w:val="00874E26"/>
    <w:rsid w:val="008760D7"/>
    <w:rsid w:val="00884B80"/>
    <w:rsid w:val="008929D8"/>
    <w:rsid w:val="00893EF9"/>
    <w:rsid w:val="00895468"/>
    <w:rsid w:val="008954AB"/>
    <w:rsid w:val="00896306"/>
    <w:rsid w:val="008A09C4"/>
    <w:rsid w:val="008B1AD7"/>
    <w:rsid w:val="008C3FFE"/>
    <w:rsid w:val="008C497F"/>
    <w:rsid w:val="008C784F"/>
    <w:rsid w:val="008D0AFA"/>
    <w:rsid w:val="008D763B"/>
    <w:rsid w:val="008D7D64"/>
    <w:rsid w:val="008E53DE"/>
    <w:rsid w:val="008E594F"/>
    <w:rsid w:val="008F1BFB"/>
    <w:rsid w:val="008F54C0"/>
    <w:rsid w:val="008F6D97"/>
    <w:rsid w:val="00905B6F"/>
    <w:rsid w:val="00910605"/>
    <w:rsid w:val="009158ED"/>
    <w:rsid w:val="009211E8"/>
    <w:rsid w:val="00921DE2"/>
    <w:rsid w:val="0092573F"/>
    <w:rsid w:val="00931799"/>
    <w:rsid w:val="00943C3B"/>
    <w:rsid w:val="0094471B"/>
    <w:rsid w:val="00946D58"/>
    <w:rsid w:val="00957A1B"/>
    <w:rsid w:val="009635A2"/>
    <w:rsid w:val="00966E0D"/>
    <w:rsid w:val="009736C8"/>
    <w:rsid w:val="00973881"/>
    <w:rsid w:val="0097441F"/>
    <w:rsid w:val="009756A8"/>
    <w:rsid w:val="0097660A"/>
    <w:rsid w:val="00977288"/>
    <w:rsid w:val="00980CFC"/>
    <w:rsid w:val="00987FBC"/>
    <w:rsid w:val="00990920"/>
    <w:rsid w:val="00991161"/>
    <w:rsid w:val="009948E4"/>
    <w:rsid w:val="009A0376"/>
    <w:rsid w:val="009A0E7A"/>
    <w:rsid w:val="009A470B"/>
    <w:rsid w:val="009A4739"/>
    <w:rsid w:val="009B4E50"/>
    <w:rsid w:val="009B72F3"/>
    <w:rsid w:val="009B7840"/>
    <w:rsid w:val="009C14CF"/>
    <w:rsid w:val="009C530C"/>
    <w:rsid w:val="009D46BB"/>
    <w:rsid w:val="009D4CAA"/>
    <w:rsid w:val="009E2C44"/>
    <w:rsid w:val="009E4176"/>
    <w:rsid w:val="009E7AF8"/>
    <w:rsid w:val="009F0103"/>
    <w:rsid w:val="009F0A4A"/>
    <w:rsid w:val="009F45A2"/>
    <w:rsid w:val="00A01062"/>
    <w:rsid w:val="00A02D2F"/>
    <w:rsid w:val="00A0310E"/>
    <w:rsid w:val="00A0561F"/>
    <w:rsid w:val="00A066DD"/>
    <w:rsid w:val="00A119D5"/>
    <w:rsid w:val="00A11D94"/>
    <w:rsid w:val="00A177E1"/>
    <w:rsid w:val="00A17DC6"/>
    <w:rsid w:val="00A20487"/>
    <w:rsid w:val="00A21E79"/>
    <w:rsid w:val="00A3007F"/>
    <w:rsid w:val="00A3423D"/>
    <w:rsid w:val="00A40F04"/>
    <w:rsid w:val="00A40F18"/>
    <w:rsid w:val="00A45707"/>
    <w:rsid w:val="00A4740C"/>
    <w:rsid w:val="00A53C57"/>
    <w:rsid w:val="00A55BED"/>
    <w:rsid w:val="00A60209"/>
    <w:rsid w:val="00A730B7"/>
    <w:rsid w:val="00A749DD"/>
    <w:rsid w:val="00A776C5"/>
    <w:rsid w:val="00A77B2D"/>
    <w:rsid w:val="00A82AA5"/>
    <w:rsid w:val="00A83A2C"/>
    <w:rsid w:val="00A9024E"/>
    <w:rsid w:val="00A93D21"/>
    <w:rsid w:val="00A9610C"/>
    <w:rsid w:val="00AA22EC"/>
    <w:rsid w:val="00AA715D"/>
    <w:rsid w:val="00AB3D8F"/>
    <w:rsid w:val="00AB4D3F"/>
    <w:rsid w:val="00AB73B0"/>
    <w:rsid w:val="00AC1E1A"/>
    <w:rsid w:val="00AC39FB"/>
    <w:rsid w:val="00AC3E30"/>
    <w:rsid w:val="00AE6D04"/>
    <w:rsid w:val="00AF1FC6"/>
    <w:rsid w:val="00AF66AD"/>
    <w:rsid w:val="00B00BAF"/>
    <w:rsid w:val="00B01199"/>
    <w:rsid w:val="00B0611C"/>
    <w:rsid w:val="00B06AAB"/>
    <w:rsid w:val="00B137A8"/>
    <w:rsid w:val="00B13860"/>
    <w:rsid w:val="00B146F9"/>
    <w:rsid w:val="00B16166"/>
    <w:rsid w:val="00B2151C"/>
    <w:rsid w:val="00B22880"/>
    <w:rsid w:val="00B2453E"/>
    <w:rsid w:val="00B24C10"/>
    <w:rsid w:val="00B25092"/>
    <w:rsid w:val="00B252BE"/>
    <w:rsid w:val="00B26432"/>
    <w:rsid w:val="00B34BC7"/>
    <w:rsid w:val="00B3556A"/>
    <w:rsid w:val="00B37C12"/>
    <w:rsid w:val="00B40D48"/>
    <w:rsid w:val="00B456A5"/>
    <w:rsid w:val="00B5345F"/>
    <w:rsid w:val="00B546E3"/>
    <w:rsid w:val="00B571DD"/>
    <w:rsid w:val="00B6356A"/>
    <w:rsid w:val="00B657A6"/>
    <w:rsid w:val="00B82CE9"/>
    <w:rsid w:val="00B922D0"/>
    <w:rsid w:val="00B93BC4"/>
    <w:rsid w:val="00B96DF2"/>
    <w:rsid w:val="00BA26FD"/>
    <w:rsid w:val="00BA75AE"/>
    <w:rsid w:val="00BC1239"/>
    <w:rsid w:val="00BD35B8"/>
    <w:rsid w:val="00BD48E8"/>
    <w:rsid w:val="00BD7012"/>
    <w:rsid w:val="00BD7EFD"/>
    <w:rsid w:val="00BE6258"/>
    <w:rsid w:val="00BE669F"/>
    <w:rsid w:val="00BF0447"/>
    <w:rsid w:val="00BF067D"/>
    <w:rsid w:val="00BF0DE7"/>
    <w:rsid w:val="00BF29A5"/>
    <w:rsid w:val="00BF4553"/>
    <w:rsid w:val="00BF53BB"/>
    <w:rsid w:val="00C00E6A"/>
    <w:rsid w:val="00C030B9"/>
    <w:rsid w:val="00C113DE"/>
    <w:rsid w:val="00C12B92"/>
    <w:rsid w:val="00C1447D"/>
    <w:rsid w:val="00C1467B"/>
    <w:rsid w:val="00C14A60"/>
    <w:rsid w:val="00C21968"/>
    <w:rsid w:val="00C261FE"/>
    <w:rsid w:val="00C27027"/>
    <w:rsid w:val="00C32480"/>
    <w:rsid w:val="00C34DA9"/>
    <w:rsid w:val="00C35461"/>
    <w:rsid w:val="00C36DEA"/>
    <w:rsid w:val="00C42517"/>
    <w:rsid w:val="00C5113D"/>
    <w:rsid w:val="00C52D83"/>
    <w:rsid w:val="00C54C96"/>
    <w:rsid w:val="00C6372A"/>
    <w:rsid w:val="00C65763"/>
    <w:rsid w:val="00C718A9"/>
    <w:rsid w:val="00C73996"/>
    <w:rsid w:val="00C763C0"/>
    <w:rsid w:val="00C774FC"/>
    <w:rsid w:val="00C82084"/>
    <w:rsid w:val="00C84D31"/>
    <w:rsid w:val="00C85C81"/>
    <w:rsid w:val="00C97C8D"/>
    <w:rsid w:val="00CA2BED"/>
    <w:rsid w:val="00CA3034"/>
    <w:rsid w:val="00CA3965"/>
    <w:rsid w:val="00CA5CCB"/>
    <w:rsid w:val="00CA7228"/>
    <w:rsid w:val="00CB5E97"/>
    <w:rsid w:val="00CB7558"/>
    <w:rsid w:val="00CC4BD4"/>
    <w:rsid w:val="00CC587E"/>
    <w:rsid w:val="00CD4D4F"/>
    <w:rsid w:val="00CE061F"/>
    <w:rsid w:val="00CE239F"/>
    <w:rsid w:val="00CE3BC9"/>
    <w:rsid w:val="00CF3BDD"/>
    <w:rsid w:val="00D028B3"/>
    <w:rsid w:val="00D03161"/>
    <w:rsid w:val="00D03731"/>
    <w:rsid w:val="00D03FEE"/>
    <w:rsid w:val="00D05740"/>
    <w:rsid w:val="00D12885"/>
    <w:rsid w:val="00D12D34"/>
    <w:rsid w:val="00D14260"/>
    <w:rsid w:val="00D201BB"/>
    <w:rsid w:val="00D25F09"/>
    <w:rsid w:val="00D336A0"/>
    <w:rsid w:val="00D34721"/>
    <w:rsid w:val="00D34DC2"/>
    <w:rsid w:val="00D3570E"/>
    <w:rsid w:val="00D3753C"/>
    <w:rsid w:val="00D45278"/>
    <w:rsid w:val="00D453D4"/>
    <w:rsid w:val="00D4552A"/>
    <w:rsid w:val="00D50C1E"/>
    <w:rsid w:val="00D53850"/>
    <w:rsid w:val="00D61E44"/>
    <w:rsid w:val="00D6615E"/>
    <w:rsid w:val="00D7633C"/>
    <w:rsid w:val="00D77A3F"/>
    <w:rsid w:val="00D82C72"/>
    <w:rsid w:val="00D83807"/>
    <w:rsid w:val="00D83FF1"/>
    <w:rsid w:val="00D84A37"/>
    <w:rsid w:val="00D976A4"/>
    <w:rsid w:val="00DA4867"/>
    <w:rsid w:val="00DA6C2A"/>
    <w:rsid w:val="00DA74E5"/>
    <w:rsid w:val="00DB0C6C"/>
    <w:rsid w:val="00DB2459"/>
    <w:rsid w:val="00DB381F"/>
    <w:rsid w:val="00DB68EF"/>
    <w:rsid w:val="00DC22F1"/>
    <w:rsid w:val="00DC5EF4"/>
    <w:rsid w:val="00DC61CF"/>
    <w:rsid w:val="00DC7346"/>
    <w:rsid w:val="00DC753A"/>
    <w:rsid w:val="00DD2972"/>
    <w:rsid w:val="00DE0729"/>
    <w:rsid w:val="00DE10EC"/>
    <w:rsid w:val="00DE16CA"/>
    <w:rsid w:val="00DE64D1"/>
    <w:rsid w:val="00DE70B4"/>
    <w:rsid w:val="00DF4C65"/>
    <w:rsid w:val="00DF60CF"/>
    <w:rsid w:val="00E00C65"/>
    <w:rsid w:val="00E11248"/>
    <w:rsid w:val="00E141FF"/>
    <w:rsid w:val="00E14BD5"/>
    <w:rsid w:val="00E2262A"/>
    <w:rsid w:val="00E269B1"/>
    <w:rsid w:val="00E41521"/>
    <w:rsid w:val="00E4210F"/>
    <w:rsid w:val="00E42CBB"/>
    <w:rsid w:val="00E46745"/>
    <w:rsid w:val="00E46C9B"/>
    <w:rsid w:val="00E52415"/>
    <w:rsid w:val="00E5366F"/>
    <w:rsid w:val="00E57D9D"/>
    <w:rsid w:val="00E642C3"/>
    <w:rsid w:val="00E6634F"/>
    <w:rsid w:val="00E72BAE"/>
    <w:rsid w:val="00E7344A"/>
    <w:rsid w:val="00E76453"/>
    <w:rsid w:val="00E82023"/>
    <w:rsid w:val="00E824F6"/>
    <w:rsid w:val="00E84FCD"/>
    <w:rsid w:val="00E87FDD"/>
    <w:rsid w:val="00E905A9"/>
    <w:rsid w:val="00E91AAF"/>
    <w:rsid w:val="00E93064"/>
    <w:rsid w:val="00E96679"/>
    <w:rsid w:val="00EA12E6"/>
    <w:rsid w:val="00EA1598"/>
    <w:rsid w:val="00EA2979"/>
    <w:rsid w:val="00EA3822"/>
    <w:rsid w:val="00EA3953"/>
    <w:rsid w:val="00EA438F"/>
    <w:rsid w:val="00EB689C"/>
    <w:rsid w:val="00EC057F"/>
    <w:rsid w:val="00EC38C4"/>
    <w:rsid w:val="00EC5DF1"/>
    <w:rsid w:val="00EC6C12"/>
    <w:rsid w:val="00ED2CF3"/>
    <w:rsid w:val="00ED3331"/>
    <w:rsid w:val="00ED38BD"/>
    <w:rsid w:val="00ED47B5"/>
    <w:rsid w:val="00ED48E3"/>
    <w:rsid w:val="00ED7518"/>
    <w:rsid w:val="00ED7C67"/>
    <w:rsid w:val="00EE11D6"/>
    <w:rsid w:val="00EE54DC"/>
    <w:rsid w:val="00EF00D5"/>
    <w:rsid w:val="00EF62FB"/>
    <w:rsid w:val="00F00749"/>
    <w:rsid w:val="00F01F9C"/>
    <w:rsid w:val="00F03665"/>
    <w:rsid w:val="00F10DB1"/>
    <w:rsid w:val="00F11960"/>
    <w:rsid w:val="00F23A2D"/>
    <w:rsid w:val="00F24936"/>
    <w:rsid w:val="00F2710F"/>
    <w:rsid w:val="00F3581B"/>
    <w:rsid w:val="00F36ABE"/>
    <w:rsid w:val="00F40676"/>
    <w:rsid w:val="00F41843"/>
    <w:rsid w:val="00F4251B"/>
    <w:rsid w:val="00F4451D"/>
    <w:rsid w:val="00F448AF"/>
    <w:rsid w:val="00F52BC8"/>
    <w:rsid w:val="00F52E7B"/>
    <w:rsid w:val="00F5314C"/>
    <w:rsid w:val="00F54F48"/>
    <w:rsid w:val="00F550C8"/>
    <w:rsid w:val="00F56DA2"/>
    <w:rsid w:val="00F57D9C"/>
    <w:rsid w:val="00F65B49"/>
    <w:rsid w:val="00F74BD1"/>
    <w:rsid w:val="00F7652B"/>
    <w:rsid w:val="00F8186C"/>
    <w:rsid w:val="00F84B0B"/>
    <w:rsid w:val="00F86803"/>
    <w:rsid w:val="00F873E6"/>
    <w:rsid w:val="00F92BEF"/>
    <w:rsid w:val="00FA3A98"/>
    <w:rsid w:val="00FA3EDF"/>
    <w:rsid w:val="00FA4148"/>
    <w:rsid w:val="00FA5F3C"/>
    <w:rsid w:val="00FB06E8"/>
    <w:rsid w:val="00FB3349"/>
    <w:rsid w:val="00FB4466"/>
    <w:rsid w:val="00FB74F6"/>
    <w:rsid w:val="00FB7641"/>
    <w:rsid w:val="00FC596A"/>
    <w:rsid w:val="00FC60C0"/>
    <w:rsid w:val="00FC7953"/>
    <w:rsid w:val="00FD0009"/>
    <w:rsid w:val="00FD0127"/>
    <w:rsid w:val="00FD07D5"/>
    <w:rsid w:val="00FD45DB"/>
    <w:rsid w:val="00FD4887"/>
    <w:rsid w:val="00FE105D"/>
    <w:rsid w:val="00FE4A7A"/>
    <w:rsid w:val="00FE6024"/>
    <w:rsid w:val="00FE7759"/>
    <w:rsid w:val="00FF32B4"/>
    <w:rsid w:val="00FF38F9"/>
    <w:rsid w:val="00FF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619A5D-D811-4FB0-8594-0CE1CF92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D31"/>
    <w:pPr>
      <w:spacing w:before="120" w:after="120"/>
      <w:ind w:firstLine="360"/>
      <w:jc w:val="both"/>
    </w:pPr>
    <w:rPr>
      <w:rFonts w:ascii="Times New Roman" w:hAnsi="Times New Roman"/>
      <w:szCs w:val="22"/>
    </w:rPr>
  </w:style>
  <w:style w:type="paragraph" w:styleId="Heading1">
    <w:name w:val="heading 1"/>
    <w:basedOn w:val="Normal"/>
    <w:next w:val="Normal"/>
    <w:link w:val="Heading1Char"/>
    <w:qFormat/>
    <w:rsid w:val="00873269"/>
    <w:pPr>
      <w:keepNext/>
      <w:numPr>
        <w:numId w:val="4"/>
      </w:numPr>
      <w:spacing w:after="0"/>
      <w:ind w:left="0" w:firstLine="0"/>
      <w:jc w:val="center"/>
      <w:outlineLvl w:val="0"/>
    </w:pPr>
    <w:rPr>
      <w:rFonts w:eastAsia="Times New Roman"/>
      <w:b/>
      <w:smallCaps/>
      <w:kern w:val="28"/>
      <w:sz w:val="24"/>
      <w:szCs w:val="20"/>
      <w:lang w:val="x-none" w:eastAsia="x-none"/>
    </w:rPr>
  </w:style>
  <w:style w:type="paragraph" w:styleId="Heading2">
    <w:name w:val="heading 2"/>
    <w:basedOn w:val="Heading1"/>
    <w:next w:val="Normal"/>
    <w:link w:val="Heading2Char"/>
    <w:qFormat/>
    <w:rsid w:val="003E24D2"/>
    <w:pPr>
      <w:numPr>
        <w:ilvl w:val="1"/>
      </w:numPr>
      <w:spacing w:after="120"/>
      <w:jc w:val="left"/>
      <w:outlineLvl w:val="1"/>
    </w:pPr>
    <w:rPr>
      <w:smallCaps w:val="0"/>
      <w:sz w:val="20"/>
    </w:rPr>
  </w:style>
  <w:style w:type="paragraph" w:styleId="Heading3">
    <w:name w:val="heading 3"/>
    <w:basedOn w:val="Heading2"/>
    <w:next w:val="Normal"/>
    <w:link w:val="Heading3Char"/>
    <w:qFormat/>
    <w:rsid w:val="00F11960"/>
    <w:pPr>
      <w:numPr>
        <w:ilvl w:val="2"/>
      </w:numPr>
      <w:outlineLvl w:val="2"/>
    </w:pPr>
  </w:style>
  <w:style w:type="paragraph" w:styleId="Heading4">
    <w:name w:val="heading 4"/>
    <w:basedOn w:val="Heading3"/>
    <w:next w:val="Normal"/>
    <w:link w:val="Heading4Char"/>
    <w:qFormat/>
    <w:rsid w:val="00551FE4"/>
    <w:pPr>
      <w:numPr>
        <w:ilvl w:val="3"/>
      </w:numPr>
      <w:outlineLvl w:val="3"/>
    </w:pPr>
    <w:rPr>
      <w:b w:val="0"/>
      <w:i/>
    </w:rPr>
  </w:style>
  <w:style w:type="paragraph" w:styleId="Heading5">
    <w:name w:val="heading 5"/>
    <w:basedOn w:val="ListNumber3"/>
    <w:next w:val="Normal"/>
    <w:link w:val="Heading5Char"/>
    <w:qFormat/>
    <w:rsid w:val="00551FE4"/>
    <w:pPr>
      <w:numPr>
        <w:ilvl w:val="4"/>
        <w:numId w:val="4"/>
      </w:numPr>
      <w:spacing w:before="40" w:after="0"/>
      <w:contextualSpacing w:val="0"/>
      <w:outlineLvl w:val="4"/>
    </w:pPr>
    <w:rPr>
      <w:rFonts w:eastAsia="Times New Roman"/>
      <w:i/>
      <w:szCs w:val="20"/>
      <w:lang w:val="x-none" w:eastAsia="x-none"/>
    </w:rPr>
  </w:style>
  <w:style w:type="paragraph" w:styleId="Heading6">
    <w:name w:val="heading 6"/>
    <w:basedOn w:val="Normal"/>
    <w:next w:val="Normal"/>
    <w:link w:val="Heading6Char"/>
    <w:qFormat/>
    <w:rsid w:val="00551FE4"/>
    <w:pPr>
      <w:numPr>
        <w:ilvl w:val="5"/>
        <w:numId w:val="4"/>
      </w:numPr>
      <w:spacing w:before="240" w:after="60"/>
      <w:outlineLvl w:val="5"/>
    </w:pPr>
    <w:rPr>
      <w:rFonts w:ascii="Arial" w:eastAsia="Times New Roman" w:hAnsi="Arial"/>
      <w:i/>
      <w:szCs w:val="20"/>
      <w:lang w:val="x-none" w:eastAsia="x-none"/>
    </w:rPr>
  </w:style>
  <w:style w:type="paragraph" w:styleId="Heading7">
    <w:name w:val="heading 7"/>
    <w:basedOn w:val="Normal"/>
    <w:next w:val="Normal"/>
    <w:link w:val="Heading7Char"/>
    <w:qFormat/>
    <w:rsid w:val="00551FE4"/>
    <w:pPr>
      <w:numPr>
        <w:ilvl w:val="6"/>
        <w:numId w:val="4"/>
      </w:numPr>
      <w:spacing w:before="240" w:after="60"/>
      <w:outlineLvl w:val="6"/>
    </w:pPr>
    <w:rPr>
      <w:rFonts w:ascii="Arial" w:eastAsia="Times New Roman" w:hAnsi="Arial"/>
      <w:szCs w:val="20"/>
      <w:lang w:val="x-none" w:eastAsia="x-none"/>
    </w:rPr>
  </w:style>
  <w:style w:type="paragraph" w:styleId="Heading8">
    <w:name w:val="heading 8"/>
    <w:basedOn w:val="Normal"/>
    <w:next w:val="Normal"/>
    <w:link w:val="Heading8Char"/>
    <w:qFormat/>
    <w:rsid w:val="00551FE4"/>
    <w:pPr>
      <w:numPr>
        <w:ilvl w:val="7"/>
        <w:numId w:val="4"/>
      </w:numPr>
      <w:spacing w:before="240" w:after="60"/>
      <w:outlineLvl w:val="7"/>
    </w:pPr>
    <w:rPr>
      <w:rFonts w:ascii="Arial" w:eastAsia="Times New Roman" w:hAnsi="Arial"/>
      <w:i/>
      <w:szCs w:val="20"/>
      <w:lang w:val="x-none" w:eastAsia="x-none"/>
    </w:rPr>
  </w:style>
  <w:style w:type="paragraph" w:styleId="Heading9">
    <w:name w:val="heading 9"/>
    <w:basedOn w:val="Normal"/>
    <w:next w:val="Normal"/>
    <w:link w:val="Heading9Char"/>
    <w:qFormat/>
    <w:rsid w:val="00551FE4"/>
    <w:pPr>
      <w:numPr>
        <w:ilvl w:val="8"/>
        <w:numId w:val="4"/>
      </w:numPr>
      <w:spacing w:before="240" w:after="60"/>
      <w:outlineLvl w:val="8"/>
    </w:pPr>
    <w:rPr>
      <w:rFonts w:ascii="Arial" w:eastAsia="Times New Roman" w:hAnsi="Arial"/>
      <w:i/>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uiPriority w:val="99"/>
    <w:rsid w:val="00551FE4"/>
    <w:pPr>
      <w:spacing w:after="80"/>
      <w:jc w:val="center"/>
    </w:pPr>
    <w:rPr>
      <w:rFonts w:ascii="Helvetica" w:eastAsia="Times New Roman" w:hAnsi="Helvetica"/>
      <w:sz w:val="24"/>
      <w:szCs w:val="20"/>
    </w:rPr>
  </w:style>
  <w:style w:type="paragraph" w:customStyle="1" w:styleId="Affiliations">
    <w:name w:val="Affiliations"/>
    <w:basedOn w:val="Normal"/>
    <w:rsid w:val="00551FE4"/>
    <w:pPr>
      <w:spacing w:after="80"/>
      <w:jc w:val="center"/>
    </w:pPr>
    <w:rPr>
      <w:rFonts w:ascii="Helvetica" w:eastAsia="Times New Roman" w:hAnsi="Helvetica"/>
      <w:szCs w:val="20"/>
    </w:rPr>
  </w:style>
  <w:style w:type="paragraph" w:customStyle="1" w:styleId="E-Mail">
    <w:name w:val="E-Mail"/>
    <w:basedOn w:val="Author"/>
    <w:rsid w:val="00551FE4"/>
    <w:pPr>
      <w:spacing w:after="60"/>
    </w:pPr>
  </w:style>
  <w:style w:type="character" w:customStyle="1" w:styleId="Heading1Char">
    <w:name w:val="Heading 1 Char"/>
    <w:link w:val="Heading1"/>
    <w:rsid w:val="00873269"/>
    <w:rPr>
      <w:rFonts w:ascii="Times New Roman" w:eastAsia="Times New Roman" w:hAnsi="Times New Roman"/>
      <w:b/>
      <w:smallCaps/>
      <w:kern w:val="28"/>
      <w:sz w:val="24"/>
      <w:lang w:val="x-none" w:eastAsia="x-none"/>
    </w:rPr>
  </w:style>
  <w:style w:type="character" w:customStyle="1" w:styleId="Heading2Char">
    <w:name w:val="Heading 2 Char"/>
    <w:link w:val="Heading2"/>
    <w:rsid w:val="003E24D2"/>
    <w:rPr>
      <w:rFonts w:ascii="Times New Roman" w:eastAsia="Times New Roman" w:hAnsi="Times New Roman"/>
      <w:b/>
      <w:kern w:val="28"/>
      <w:lang w:val="x-none" w:eastAsia="x-none"/>
    </w:rPr>
  </w:style>
  <w:style w:type="character" w:customStyle="1" w:styleId="Heading3Char">
    <w:name w:val="Heading 3 Char"/>
    <w:link w:val="Heading3"/>
    <w:rsid w:val="00F11960"/>
    <w:rPr>
      <w:rFonts w:ascii="Times New Roman" w:eastAsia="Times New Roman" w:hAnsi="Times New Roman"/>
      <w:b/>
      <w:kern w:val="28"/>
      <w:lang w:val="x-none" w:eastAsia="x-none"/>
    </w:rPr>
  </w:style>
  <w:style w:type="character" w:customStyle="1" w:styleId="Heading4Char">
    <w:name w:val="Heading 4 Char"/>
    <w:link w:val="Heading4"/>
    <w:rsid w:val="00551FE4"/>
    <w:rPr>
      <w:rFonts w:ascii="Times New Roman" w:eastAsia="Times New Roman" w:hAnsi="Times New Roman"/>
      <w:i/>
      <w:kern w:val="28"/>
      <w:lang w:val="x-none" w:eastAsia="x-none"/>
    </w:rPr>
  </w:style>
  <w:style w:type="character" w:customStyle="1" w:styleId="Heading5Char">
    <w:name w:val="Heading 5 Char"/>
    <w:link w:val="Heading5"/>
    <w:rsid w:val="00551FE4"/>
    <w:rPr>
      <w:rFonts w:ascii="Times New Roman" w:eastAsia="Times New Roman" w:hAnsi="Times New Roman"/>
      <w:i/>
      <w:lang w:val="x-none" w:eastAsia="x-none"/>
    </w:rPr>
  </w:style>
  <w:style w:type="character" w:customStyle="1" w:styleId="Heading6Char">
    <w:name w:val="Heading 6 Char"/>
    <w:link w:val="Heading6"/>
    <w:rsid w:val="00551FE4"/>
    <w:rPr>
      <w:rFonts w:ascii="Arial" w:eastAsia="Times New Roman" w:hAnsi="Arial"/>
      <w:i/>
      <w:lang w:val="x-none" w:eastAsia="x-none"/>
    </w:rPr>
  </w:style>
  <w:style w:type="character" w:customStyle="1" w:styleId="Heading7Char">
    <w:name w:val="Heading 7 Char"/>
    <w:link w:val="Heading7"/>
    <w:rsid w:val="00551FE4"/>
    <w:rPr>
      <w:rFonts w:ascii="Arial" w:eastAsia="Times New Roman" w:hAnsi="Arial"/>
      <w:lang w:val="x-none" w:eastAsia="x-none"/>
    </w:rPr>
  </w:style>
  <w:style w:type="character" w:customStyle="1" w:styleId="Heading8Char">
    <w:name w:val="Heading 8 Char"/>
    <w:link w:val="Heading8"/>
    <w:rsid w:val="00551FE4"/>
    <w:rPr>
      <w:rFonts w:ascii="Arial" w:eastAsia="Times New Roman" w:hAnsi="Arial"/>
      <w:i/>
      <w:lang w:val="x-none" w:eastAsia="x-none"/>
    </w:rPr>
  </w:style>
  <w:style w:type="character" w:customStyle="1" w:styleId="Heading9Char">
    <w:name w:val="Heading 9 Char"/>
    <w:link w:val="Heading9"/>
    <w:rsid w:val="00551FE4"/>
    <w:rPr>
      <w:rFonts w:ascii="Arial" w:eastAsia="Times New Roman" w:hAnsi="Arial"/>
      <w:i/>
      <w:lang w:val="x-none" w:eastAsia="x-none"/>
    </w:rPr>
  </w:style>
  <w:style w:type="paragraph" w:customStyle="1" w:styleId="References">
    <w:name w:val="References"/>
    <w:basedOn w:val="Normal"/>
    <w:rsid w:val="00551FE4"/>
    <w:pPr>
      <w:numPr>
        <w:numId w:val="1"/>
      </w:numPr>
      <w:spacing w:after="80"/>
    </w:pPr>
    <w:rPr>
      <w:rFonts w:eastAsia="Times New Roman"/>
      <w:sz w:val="18"/>
      <w:szCs w:val="20"/>
    </w:rPr>
  </w:style>
  <w:style w:type="paragraph" w:styleId="BodyTextIndent">
    <w:name w:val="Body Text Indent"/>
    <w:basedOn w:val="Normal"/>
    <w:link w:val="BodyTextIndentChar"/>
    <w:rsid w:val="00551FE4"/>
    <w:pPr>
      <w:spacing w:after="0"/>
    </w:pPr>
    <w:rPr>
      <w:rFonts w:eastAsia="Times New Roman"/>
      <w:szCs w:val="20"/>
      <w:lang w:val="x-none" w:eastAsia="x-none"/>
    </w:rPr>
  </w:style>
  <w:style w:type="character" w:customStyle="1" w:styleId="BodyTextIndentChar">
    <w:name w:val="Body Text Indent Char"/>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unhideWhenUsed/>
    <w:rsid w:val="00C261FE"/>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C261FE"/>
    <w:rPr>
      <w:sz w:val="22"/>
      <w:szCs w:val="22"/>
    </w:rPr>
  </w:style>
  <w:style w:type="paragraph" w:customStyle="1" w:styleId="papertitle">
    <w:name w:val="paper title"/>
    <w:uiPriority w:val="99"/>
    <w:rsid w:val="00276C24"/>
    <w:pPr>
      <w:spacing w:after="120"/>
      <w:jc w:val="center"/>
    </w:pPr>
    <w:rPr>
      <w:rFonts w:ascii="Times New Roman" w:eastAsia="Times New Roman" w:hAnsi="Times New Roman"/>
      <w:bCs/>
      <w:noProof/>
      <w:sz w:val="48"/>
      <w:szCs w:val="48"/>
    </w:rPr>
  </w:style>
  <w:style w:type="paragraph" w:customStyle="1" w:styleId="bulletlist">
    <w:name w:val="bullet list"/>
    <w:rsid w:val="00E6634F"/>
    <w:pPr>
      <w:numPr>
        <w:numId w:val="2"/>
      </w:numPr>
      <w:tabs>
        <w:tab w:val="clear" w:pos="648"/>
        <w:tab w:val="left" w:pos="288"/>
      </w:tabs>
      <w:spacing w:line="228" w:lineRule="auto"/>
      <w:ind w:left="576" w:hanging="288"/>
    </w:pPr>
  </w:style>
  <w:style w:type="paragraph" w:customStyle="1" w:styleId="Default">
    <w:name w:val="Default"/>
    <w:rsid w:val="00E6634F"/>
    <w:pPr>
      <w:autoSpaceDE w:val="0"/>
      <w:autoSpaceDN w:val="0"/>
      <w:adjustRightInd w:val="0"/>
    </w:pPr>
    <w:rPr>
      <w:rFonts w:ascii="Century Schoolbook" w:eastAsia="Times New Roman" w:hAnsi="Century Schoolbook" w:cs="Century Schoolbook"/>
      <w:color w:val="000000"/>
      <w:sz w:val="24"/>
      <w:szCs w:val="24"/>
    </w:rPr>
  </w:style>
  <w:style w:type="character" w:styleId="Hyperlink">
    <w:name w:val="Hyperlink"/>
    <w:uiPriority w:val="99"/>
    <w:unhideWhenUsed/>
    <w:rsid w:val="00E6634F"/>
    <w:rPr>
      <w:color w:val="0000FF"/>
      <w:u w:val="single"/>
    </w:rPr>
  </w:style>
  <w:style w:type="paragraph" w:customStyle="1" w:styleId="InitialBodyText">
    <w:name w:val="Initial Body Text"/>
    <w:basedOn w:val="Normal"/>
    <w:link w:val="InitialBodyTextChar"/>
    <w:uiPriority w:val="99"/>
    <w:rsid w:val="00E6634F"/>
    <w:pPr>
      <w:spacing w:after="0"/>
    </w:pPr>
    <w:rPr>
      <w:rFonts w:ascii="Century Schoolbook" w:eastAsia="Times New Roman" w:hAnsi="Century Schoolbook"/>
      <w:szCs w:val="20"/>
      <w:lang w:val="x-none" w:eastAsia="zh-CN"/>
    </w:rPr>
  </w:style>
  <w:style w:type="character" w:customStyle="1" w:styleId="InitialBodyTextChar">
    <w:name w:val="Initial Body Text Char"/>
    <w:link w:val="InitialBodyText"/>
    <w:uiPriority w:val="99"/>
    <w:rsid w:val="00E6634F"/>
    <w:rPr>
      <w:rFonts w:ascii="Century Schoolbook" w:eastAsia="Times New Roman" w:hAnsi="Century Schoolbook"/>
      <w:lang w:eastAsia="zh-CN"/>
    </w:rPr>
  </w:style>
  <w:style w:type="paragraph" w:styleId="NormalWeb">
    <w:name w:val="Normal (Web)"/>
    <w:basedOn w:val="Normal"/>
    <w:uiPriority w:val="99"/>
    <w:unhideWhenUsed/>
    <w:rsid w:val="00E6634F"/>
    <w:pPr>
      <w:spacing w:before="100" w:beforeAutospacing="1" w:after="100" w:afterAutospacing="1"/>
    </w:pPr>
    <w:rPr>
      <w:rFonts w:eastAsia="Times New Roman"/>
      <w:sz w:val="24"/>
      <w:szCs w:val="24"/>
      <w:lang w:val="id-ID" w:eastAsia="id-ID"/>
    </w:rPr>
  </w:style>
  <w:style w:type="character" w:customStyle="1" w:styleId="hps">
    <w:name w:val="hps"/>
    <w:basedOn w:val="DefaultParagraphFont"/>
    <w:rsid w:val="00E6634F"/>
  </w:style>
  <w:style w:type="paragraph" w:styleId="ListParagraph">
    <w:name w:val="List Paragraph"/>
    <w:basedOn w:val="Normal"/>
    <w:link w:val="ListParagraphChar"/>
    <w:uiPriority w:val="34"/>
    <w:qFormat/>
    <w:rsid w:val="00E6634F"/>
    <w:pPr>
      <w:ind w:left="720"/>
      <w:contextualSpacing/>
    </w:pPr>
    <w:rPr>
      <w:rFonts w:eastAsia="Times New Roman"/>
      <w:lang w:val="id-ID" w:eastAsia="id-ID"/>
    </w:rPr>
  </w:style>
  <w:style w:type="paragraph" w:customStyle="1" w:styleId="TableBody">
    <w:name w:val="Table Body"/>
    <w:basedOn w:val="Normal"/>
    <w:uiPriority w:val="99"/>
    <w:rsid w:val="00E6634F"/>
    <w:pPr>
      <w:spacing w:before="40" w:after="40"/>
      <w:ind w:left="60" w:right="60"/>
    </w:pPr>
    <w:rPr>
      <w:rFonts w:ascii="Century Schoolbook" w:eastAsia="Times New Roman" w:hAnsi="Century Schoolbook"/>
      <w:sz w:val="16"/>
      <w:szCs w:val="16"/>
      <w:lang w:eastAsia="zh-CN"/>
    </w:rPr>
  </w:style>
  <w:style w:type="paragraph" w:customStyle="1" w:styleId="TableCaption">
    <w:name w:val="Table Caption"/>
    <w:basedOn w:val="Normal"/>
    <w:uiPriority w:val="99"/>
    <w:rsid w:val="00E6634F"/>
    <w:pPr>
      <w:tabs>
        <w:tab w:val="right" w:pos="7200"/>
      </w:tabs>
      <w:spacing w:after="60" w:line="220" w:lineRule="atLeast"/>
      <w:jc w:val="center"/>
    </w:pPr>
    <w:rPr>
      <w:rFonts w:ascii="Century Schoolbook" w:eastAsia="Times New Roman" w:hAnsi="Century Schoolbook"/>
      <w:sz w:val="18"/>
      <w:szCs w:val="18"/>
      <w:lang w:eastAsia="zh-CN"/>
    </w:rPr>
  </w:style>
  <w:style w:type="paragraph" w:customStyle="1" w:styleId="ACMReference">
    <w:name w:val="ACM Reference"/>
    <w:basedOn w:val="References"/>
    <w:link w:val="ACMReferenceChar"/>
    <w:autoRedefine/>
    <w:qFormat/>
    <w:rsid w:val="00F4251B"/>
    <w:pPr>
      <w:widowControl w:val="0"/>
      <w:numPr>
        <w:numId w:val="3"/>
      </w:numPr>
      <w:spacing w:after="0"/>
    </w:pPr>
    <w:rPr>
      <w:color w:val="000000"/>
      <w:sz w:val="24"/>
      <w:szCs w:val="24"/>
      <w:lang w:val="id-ID" w:eastAsia="x-none"/>
    </w:rPr>
  </w:style>
  <w:style w:type="character" w:customStyle="1" w:styleId="ACMReferenceChar">
    <w:name w:val="ACM Reference Char"/>
    <w:link w:val="ACMReference"/>
    <w:rsid w:val="00F4251B"/>
    <w:rPr>
      <w:rFonts w:ascii="Times New Roman" w:eastAsia="Times New Roman" w:hAnsi="Times New Roman"/>
      <w:color w:val="000000"/>
      <w:sz w:val="24"/>
      <w:szCs w:val="24"/>
      <w:lang w:val="id-ID" w:eastAsia="x-none"/>
    </w:rPr>
  </w:style>
  <w:style w:type="paragraph" w:customStyle="1" w:styleId="Sisennettyleipteksti">
    <w:name w:val="Sisennetty leipäteksti"/>
    <w:basedOn w:val="Default"/>
    <w:next w:val="Default"/>
    <w:uiPriority w:val="99"/>
    <w:rsid w:val="00E6634F"/>
    <w:rPr>
      <w:rFonts w:ascii="Times New Roman" w:hAnsi="Times New Roman" w:cs="Times New Roman"/>
      <w:color w:val="auto"/>
      <w:lang w:val="id-ID"/>
    </w:rPr>
  </w:style>
  <w:style w:type="character" w:customStyle="1" w:styleId="st1">
    <w:name w:val="st1"/>
    <w:basedOn w:val="DefaultParagraphFont"/>
    <w:rsid w:val="00E6634F"/>
  </w:style>
  <w:style w:type="paragraph" w:styleId="BodyText">
    <w:name w:val="Body Text"/>
    <w:basedOn w:val="Normal"/>
    <w:link w:val="BodyTextChar"/>
    <w:uiPriority w:val="99"/>
    <w:semiHidden/>
    <w:unhideWhenUsed/>
    <w:rsid w:val="00E6634F"/>
    <w:rPr>
      <w:rFonts w:ascii="Calibri" w:hAnsi="Calibri"/>
      <w:sz w:val="22"/>
      <w:lang w:val="x-none" w:eastAsia="x-none"/>
    </w:rPr>
  </w:style>
  <w:style w:type="character" w:customStyle="1" w:styleId="BodyTextChar">
    <w:name w:val="Body Text Char"/>
    <w:link w:val="BodyText"/>
    <w:uiPriority w:val="99"/>
    <w:semiHidden/>
    <w:rsid w:val="00E6634F"/>
    <w:rPr>
      <w:sz w:val="22"/>
      <w:szCs w:val="22"/>
    </w:rPr>
  </w:style>
  <w:style w:type="paragraph" w:customStyle="1" w:styleId="TableContents">
    <w:name w:val="Table Contents"/>
    <w:basedOn w:val="Normal"/>
    <w:rsid w:val="0006695C"/>
    <w:pPr>
      <w:suppressLineNumbers/>
      <w:suppressAutoHyphens/>
      <w:spacing w:after="0"/>
      <w:jc w:val="left"/>
    </w:pPr>
    <w:rPr>
      <w:rFonts w:eastAsia="Times New Roman"/>
      <w:kern w:val="1"/>
      <w:sz w:val="24"/>
      <w:szCs w:val="24"/>
      <w:lang w:val="id-ID" w:eastAsia="ar-SA"/>
    </w:rPr>
  </w:style>
  <w:style w:type="paragraph" w:customStyle="1" w:styleId="WW-Default">
    <w:name w:val="WW-Default"/>
    <w:rsid w:val="0006695C"/>
    <w:pPr>
      <w:suppressAutoHyphens/>
      <w:autoSpaceDE w:val="0"/>
    </w:pPr>
    <w:rPr>
      <w:rFonts w:ascii="Arial" w:eastAsia="Arial" w:hAnsi="Arial" w:cs="Arial"/>
      <w:color w:val="000000"/>
      <w:sz w:val="24"/>
      <w:szCs w:val="24"/>
      <w:lang w:eastAsia="ar-SA"/>
    </w:rPr>
  </w:style>
  <w:style w:type="paragraph" w:styleId="BalloonText">
    <w:name w:val="Balloon Text"/>
    <w:basedOn w:val="Normal"/>
    <w:link w:val="BalloonTextChar"/>
    <w:uiPriority w:val="99"/>
    <w:semiHidden/>
    <w:unhideWhenUsed/>
    <w:rsid w:val="0001315A"/>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01315A"/>
    <w:rPr>
      <w:rFonts w:ascii="Tahoma" w:hAnsi="Tahoma" w:cs="Tahoma"/>
      <w:sz w:val="16"/>
      <w:szCs w:val="16"/>
    </w:rPr>
  </w:style>
  <w:style w:type="paragraph" w:styleId="BodyTextIndent2">
    <w:name w:val="Body Text Indent 2"/>
    <w:basedOn w:val="Normal"/>
    <w:link w:val="BodyTextIndent2Char"/>
    <w:uiPriority w:val="99"/>
    <w:semiHidden/>
    <w:unhideWhenUsed/>
    <w:rsid w:val="00B252BE"/>
    <w:pPr>
      <w:spacing w:line="480" w:lineRule="auto"/>
      <w:ind w:left="360"/>
    </w:pPr>
    <w:rPr>
      <w:lang w:val="x-none" w:eastAsia="x-none"/>
    </w:rPr>
  </w:style>
  <w:style w:type="character" w:customStyle="1" w:styleId="BodyTextIndent2Char">
    <w:name w:val="Body Text Indent 2 Char"/>
    <w:link w:val="BodyTextIndent2"/>
    <w:uiPriority w:val="99"/>
    <w:semiHidden/>
    <w:rsid w:val="00B252BE"/>
    <w:rPr>
      <w:rFonts w:ascii="Times New Roman" w:hAnsi="Times New Roman"/>
      <w:sz w:val="18"/>
      <w:szCs w:val="22"/>
    </w:rPr>
  </w:style>
  <w:style w:type="paragraph" w:customStyle="1" w:styleId="IEEEAuthorName">
    <w:name w:val="IEEE Author Name"/>
    <w:basedOn w:val="Normal"/>
    <w:next w:val="Normal"/>
    <w:rsid w:val="00B252BE"/>
    <w:pPr>
      <w:adjustRightInd w:val="0"/>
      <w:snapToGrid w:val="0"/>
      <w:jc w:val="center"/>
    </w:pPr>
    <w:rPr>
      <w:rFonts w:eastAsia="Times New Roman"/>
      <w:sz w:val="22"/>
      <w:szCs w:val="24"/>
      <w:lang w:val="en-GB" w:eastAsia="en-GB"/>
    </w:rPr>
  </w:style>
  <w:style w:type="paragraph" w:customStyle="1" w:styleId="IEEEAuthorAffiliation">
    <w:name w:val="IEEE Author Affiliation"/>
    <w:basedOn w:val="Normal"/>
    <w:next w:val="Normal"/>
    <w:rsid w:val="00B252BE"/>
    <w:pPr>
      <w:spacing w:after="60"/>
      <w:jc w:val="center"/>
    </w:pPr>
    <w:rPr>
      <w:rFonts w:eastAsia="Times New Roman"/>
      <w:i/>
      <w:szCs w:val="24"/>
      <w:lang w:val="en-GB" w:eastAsia="en-GB"/>
    </w:rPr>
  </w:style>
  <w:style w:type="paragraph" w:customStyle="1" w:styleId="IEEEHeading2">
    <w:name w:val="IEEE Heading 2"/>
    <w:basedOn w:val="Normal"/>
    <w:next w:val="IEEEParagraph"/>
    <w:rsid w:val="00B252BE"/>
    <w:pPr>
      <w:numPr>
        <w:numId w:val="6"/>
      </w:numPr>
      <w:adjustRightInd w:val="0"/>
      <w:snapToGrid w:val="0"/>
      <w:spacing w:before="150" w:after="60"/>
      <w:ind w:left="289" w:hanging="289"/>
      <w:jc w:val="left"/>
    </w:pPr>
    <w:rPr>
      <w:rFonts w:eastAsia="SimSun"/>
      <w:i/>
      <w:szCs w:val="24"/>
      <w:lang w:val="en-AU" w:eastAsia="zh-CN"/>
    </w:rPr>
  </w:style>
  <w:style w:type="paragraph" w:customStyle="1" w:styleId="IEEEAuthorEmail">
    <w:name w:val="IEEE Author Email"/>
    <w:next w:val="IEEEAuthorAffiliation"/>
    <w:rsid w:val="00B252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B252BE"/>
    <w:rPr>
      <w:i/>
    </w:rPr>
  </w:style>
  <w:style w:type="character" w:customStyle="1" w:styleId="IEEEAbstractHeadingChar">
    <w:name w:val="IEEE Abstract Heading Char"/>
    <w:link w:val="IEEEAbstractHeading"/>
    <w:rsid w:val="00B252BE"/>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B252BE"/>
    <w:pPr>
      <w:adjustRightInd w:val="0"/>
      <w:snapToGrid w:val="0"/>
      <w:spacing w:after="0"/>
    </w:pPr>
    <w:rPr>
      <w:rFonts w:eastAsia="SimSun"/>
      <w:b/>
      <w:szCs w:val="24"/>
      <w:lang w:val="en-GB" w:eastAsia="en-GB"/>
    </w:rPr>
  </w:style>
  <w:style w:type="character" w:customStyle="1" w:styleId="IEEEAbtractChar">
    <w:name w:val="IEEE Abtract Char"/>
    <w:link w:val="IEEEAbtract"/>
    <w:rsid w:val="00B252BE"/>
    <w:rPr>
      <w:rFonts w:ascii="Times New Roman" w:eastAsia="SimSun" w:hAnsi="Times New Roman"/>
      <w:b/>
      <w:sz w:val="18"/>
      <w:szCs w:val="24"/>
      <w:lang w:val="en-GB" w:eastAsia="en-GB"/>
    </w:rPr>
  </w:style>
  <w:style w:type="paragraph" w:customStyle="1" w:styleId="IEEEParagraph">
    <w:name w:val="IEEE Paragraph"/>
    <w:basedOn w:val="Normal"/>
    <w:link w:val="IEEEParagraphChar"/>
    <w:rsid w:val="00B252BE"/>
    <w:pPr>
      <w:adjustRightInd w:val="0"/>
      <w:snapToGrid w:val="0"/>
      <w:spacing w:after="0"/>
      <w:ind w:firstLine="216"/>
    </w:pPr>
    <w:rPr>
      <w:rFonts w:eastAsia="SimSun"/>
      <w:szCs w:val="24"/>
      <w:lang w:val="en-AU" w:eastAsia="zh-CN"/>
    </w:rPr>
  </w:style>
  <w:style w:type="paragraph" w:customStyle="1" w:styleId="IEEEHeading1">
    <w:name w:val="IEEE Heading 1"/>
    <w:basedOn w:val="Normal"/>
    <w:next w:val="IEEEParagraph"/>
    <w:rsid w:val="00B252BE"/>
    <w:pPr>
      <w:numPr>
        <w:numId w:val="7"/>
      </w:numPr>
      <w:adjustRightInd w:val="0"/>
      <w:snapToGrid w:val="0"/>
      <w:spacing w:before="180" w:after="60"/>
      <w:ind w:left="289" w:hanging="289"/>
      <w:jc w:val="center"/>
    </w:pPr>
    <w:rPr>
      <w:rFonts w:eastAsia="SimSun"/>
      <w:smallCaps/>
      <w:szCs w:val="24"/>
      <w:lang w:val="en-AU" w:eastAsia="zh-CN"/>
    </w:rPr>
  </w:style>
  <w:style w:type="paragraph" w:customStyle="1" w:styleId="IEEETitle">
    <w:name w:val="IEEE Title"/>
    <w:basedOn w:val="Normal"/>
    <w:next w:val="IEEEAuthorName"/>
    <w:rsid w:val="00B252BE"/>
    <w:pPr>
      <w:adjustRightInd w:val="0"/>
      <w:snapToGrid w:val="0"/>
      <w:spacing w:after="0"/>
      <w:jc w:val="center"/>
    </w:pPr>
    <w:rPr>
      <w:rFonts w:eastAsia="SimSun"/>
      <w:sz w:val="48"/>
      <w:szCs w:val="24"/>
      <w:lang w:val="en-AU" w:eastAsia="zh-CN"/>
    </w:rPr>
  </w:style>
  <w:style w:type="paragraph" w:customStyle="1" w:styleId="IEEEHeading3">
    <w:name w:val="IEEE Heading 3"/>
    <w:basedOn w:val="Normal"/>
    <w:next w:val="IEEEParagraph"/>
    <w:link w:val="IEEEHeading3Char"/>
    <w:rsid w:val="00B252BE"/>
    <w:pPr>
      <w:numPr>
        <w:numId w:val="5"/>
      </w:numPr>
      <w:adjustRightInd w:val="0"/>
      <w:snapToGrid w:val="0"/>
      <w:spacing w:after="60"/>
    </w:pPr>
    <w:rPr>
      <w:rFonts w:eastAsia="SimSun"/>
      <w:i/>
      <w:szCs w:val="24"/>
      <w:lang w:val="en-AU" w:eastAsia="zh-CN"/>
    </w:rPr>
  </w:style>
  <w:style w:type="character" w:customStyle="1" w:styleId="IEEEParagraphChar">
    <w:name w:val="IEEE Paragraph Char"/>
    <w:link w:val="IEEEParagraph"/>
    <w:rsid w:val="00B252BE"/>
    <w:rPr>
      <w:rFonts w:ascii="Times New Roman" w:eastAsia="SimSun" w:hAnsi="Times New Roman"/>
      <w:szCs w:val="24"/>
      <w:lang w:val="en-AU" w:eastAsia="zh-CN"/>
    </w:rPr>
  </w:style>
  <w:style w:type="character" w:customStyle="1" w:styleId="IEEEHeading3Char">
    <w:name w:val="IEEE Heading 3 Char"/>
    <w:link w:val="IEEEHeading3"/>
    <w:rsid w:val="00B252BE"/>
    <w:rPr>
      <w:rFonts w:ascii="Times New Roman" w:eastAsia="SimSun" w:hAnsi="Times New Roman"/>
      <w:i/>
      <w:szCs w:val="24"/>
      <w:lang w:val="en-AU" w:eastAsia="zh-CN"/>
    </w:rPr>
  </w:style>
  <w:style w:type="paragraph" w:customStyle="1" w:styleId="IEEEReferenceItem">
    <w:name w:val="IEEE Reference Item"/>
    <w:basedOn w:val="Normal"/>
    <w:rsid w:val="00B252BE"/>
    <w:pPr>
      <w:tabs>
        <w:tab w:val="num" w:pos="1332"/>
      </w:tabs>
      <w:adjustRightInd w:val="0"/>
      <w:snapToGrid w:val="0"/>
      <w:spacing w:after="0"/>
      <w:ind w:left="1332" w:hanging="432"/>
    </w:pPr>
    <w:rPr>
      <w:rFonts w:eastAsia="SimSun"/>
      <w:sz w:val="16"/>
      <w:szCs w:val="24"/>
      <w:lang w:eastAsia="zh-CN"/>
    </w:rPr>
  </w:style>
  <w:style w:type="table" w:styleId="TableGrid">
    <w:name w:val="Table Grid"/>
    <w:basedOn w:val="TableNormal"/>
    <w:uiPriority w:val="59"/>
    <w:rsid w:val="0062599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stract">
    <w:name w:val="Abstract"/>
    <w:uiPriority w:val="99"/>
    <w:rsid w:val="007853ED"/>
    <w:pPr>
      <w:spacing w:after="200"/>
      <w:ind w:firstLine="274"/>
      <w:jc w:val="both"/>
    </w:pPr>
    <w:rPr>
      <w:rFonts w:ascii="Times New Roman" w:eastAsia="Times New Roman" w:hAnsi="Times New Roman"/>
      <w:b/>
      <w:bCs/>
      <w:sz w:val="18"/>
      <w:szCs w:val="18"/>
    </w:rPr>
  </w:style>
  <w:style w:type="paragraph" w:customStyle="1" w:styleId="figurecaption">
    <w:name w:val="figure caption"/>
    <w:rsid w:val="007853ED"/>
    <w:pPr>
      <w:numPr>
        <w:numId w:val="8"/>
      </w:numPr>
      <w:tabs>
        <w:tab w:val="left" w:pos="533"/>
      </w:tabs>
      <w:spacing w:before="80" w:after="200"/>
      <w:ind w:left="0" w:firstLine="0"/>
      <w:jc w:val="both"/>
    </w:pPr>
    <w:rPr>
      <w:rFonts w:ascii="Times New Roman" w:eastAsia="Times New Roman" w:hAnsi="Times New Roman"/>
      <w:noProof/>
      <w:sz w:val="16"/>
      <w:szCs w:val="16"/>
    </w:rPr>
  </w:style>
  <w:style w:type="character" w:styleId="Emphasis">
    <w:name w:val="Emphasis"/>
    <w:uiPriority w:val="20"/>
    <w:qFormat/>
    <w:rsid w:val="0062504D"/>
    <w:rPr>
      <w:i/>
      <w:iCs/>
    </w:rPr>
  </w:style>
  <w:style w:type="character" w:styleId="Strong">
    <w:name w:val="Strong"/>
    <w:uiPriority w:val="22"/>
    <w:qFormat/>
    <w:rsid w:val="0062504D"/>
    <w:rPr>
      <w:b/>
      <w:bCs/>
    </w:rPr>
  </w:style>
  <w:style w:type="paragraph" w:styleId="Caption">
    <w:name w:val="caption"/>
    <w:basedOn w:val="Normal"/>
    <w:next w:val="Normal"/>
    <w:uiPriority w:val="35"/>
    <w:unhideWhenUsed/>
    <w:qFormat/>
    <w:rsid w:val="00931799"/>
    <w:pPr>
      <w:jc w:val="center"/>
    </w:pPr>
    <w:rPr>
      <w:b/>
      <w:bCs/>
      <w:sz w:val="18"/>
      <w:szCs w:val="20"/>
    </w:rPr>
  </w:style>
  <w:style w:type="paragraph" w:styleId="Bibliography">
    <w:name w:val="Bibliography"/>
    <w:basedOn w:val="Normal"/>
    <w:next w:val="Normal"/>
    <w:uiPriority w:val="37"/>
    <w:unhideWhenUsed/>
    <w:rsid w:val="00CE061F"/>
  </w:style>
  <w:style w:type="paragraph" w:styleId="Title">
    <w:name w:val="Title"/>
    <w:basedOn w:val="Normal"/>
    <w:link w:val="TitleChar"/>
    <w:uiPriority w:val="10"/>
    <w:qFormat/>
    <w:rsid w:val="00F56DA2"/>
    <w:pPr>
      <w:spacing w:before="0" w:after="0"/>
      <w:ind w:firstLine="0"/>
      <w:jc w:val="center"/>
    </w:pPr>
    <w:rPr>
      <w:rFonts w:ascii="Comic Sans MS" w:eastAsia="Times New Roman" w:hAnsi="Comic Sans MS"/>
      <w:sz w:val="28"/>
      <w:szCs w:val="20"/>
    </w:rPr>
  </w:style>
  <w:style w:type="character" w:customStyle="1" w:styleId="TitleChar">
    <w:name w:val="Title Char"/>
    <w:link w:val="Title"/>
    <w:uiPriority w:val="10"/>
    <w:rsid w:val="00F56DA2"/>
    <w:rPr>
      <w:rFonts w:ascii="Comic Sans MS" w:eastAsia="Times New Roman" w:hAnsi="Comic Sans MS"/>
      <w:sz w:val="28"/>
    </w:rPr>
  </w:style>
  <w:style w:type="character" w:customStyle="1" w:styleId="Mention">
    <w:name w:val="Mention"/>
    <w:uiPriority w:val="99"/>
    <w:semiHidden/>
    <w:unhideWhenUsed/>
    <w:rsid w:val="00F56DA2"/>
    <w:rPr>
      <w:color w:val="2B579A"/>
      <w:shd w:val="clear" w:color="auto" w:fill="E6E6E6"/>
    </w:rPr>
  </w:style>
  <w:style w:type="character" w:styleId="CommentReference">
    <w:name w:val="annotation reference"/>
    <w:uiPriority w:val="99"/>
    <w:semiHidden/>
    <w:unhideWhenUsed/>
    <w:rsid w:val="00F56DA2"/>
    <w:rPr>
      <w:sz w:val="16"/>
      <w:szCs w:val="16"/>
    </w:rPr>
  </w:style>
  <w:style w:type="paragraph" w:styleId="CommentText">
    <w:name w:val="annotation text"/>
    <w:basedOn w:val="Normal"/>
    <w:link w:val="CommentTextChar"/>
    <w:uiPriority w:val="99"/>
    <w:semiHidden/>
    <w:unhideWhenUsed/>
    <w:rsid w:val="00F56DA2"/>
    <w:rPr>
      <w:szCs w:val="20"/>
    </w:rPr>
  </w:style>
  <w:style w:type="character" w:customStyle="1" w:styleId="CommentTextChar">
    <w:name w:val="Comment Text Char"/>
    <w:link w:val="CommentText"/>
    <w:uiPriority w:val="99"/>
    <w:semiHidden/>
    <w:rsid w:val="00F56DA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56DA2"/>
    <w:rPr>
      <w:b/>
      <w:bCs/>
    </w:rPr>
  </w:style>
  <w:style w:type="character" w:customStyle="1" w:styleId="CommentSubjectChar">
    <w:name w:val="Comment Subject Char"/>
    <w:link w:val="CommentSubject"/>
    <w:uiPriority w:val="99"/>
    <w:semiHidden/>
    <w:rsid w:val="00F56DA2"/>
    <w:rPr>
      <w:rFonts w:ascii="Times New Roman" w:hAnsi="Times New Roman"/>
      <w:b/>
      <w:bCs/>
    </w:rPr>
  </w:style>
  <w:style w:type="character" w:customStyle="1" w:styleId="ListParagraphChar">
    <w:name w:val="List Paragraph Char"/>
    <w:link w:val="ListParagraph"/>
    <w:uiPriority w:val="34"/>
    <w:rsid w:val="005E6C97"/>
    <w:rPr>
      <w:rFonts w:ascii="Times New Roman" w:eastAsia="Times New Roman" w:hAnsi="Times New Roman"/>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12552">
      <w:bodyDiv w:val="1"/>
      <w:marLeft w:val="0"/>
      <w:marRight w:val="0"/>
      <w:marTop w:val="0"/>
      <w:marBottom w:val="0"/>
      <w:divBdr>
        <w:top w:val="none" w:sz="0" w:space="0" w:color="auto"/>
        <w:left w:val="none" w:sz="0" w:space="0" w:color="auto"/>
        <w:bottom w:val="none" w:sz="0" w:space="0" w:color="auto"/>
        <w:right w:val="none" w:sz="0" w:space="0" w:color="auto"/>
      </w:divBdr>
      <w:divsChild>
        <w:div w:id="263346367">
          <w:marLeft w:val="0"/>
          <w:marRight w:val="0"/>
          <w:marTop w:val="0"/>
          <w:marBottom w:val="0"/>
          <w:divBdr>
            <w:top w:val="none" w:sz="0" w:space="0" w:color="auto"/>
            <w:left w:val="none" w:sz="0" w:space="0" w:color="auto"/>
            <w:bottom w:val="none" w:sz="0" w:space="0" w:color="auto"/>
            <w:right w:val="none" w:sz="0" w:space="0" w:color="auto"/>
          </w:divBdr>
        </w:div>
        <w:div w:id="281957493">
          <w:marLeft w:val="0"/>
          <w:marRight w:val="0"/>
          <w:marTop w:val="0"/>
          <w:marBottom w:val="0"/>
          <w:divBdr>
            <w:top w:val="none" w:sz="0" w:space="0" w:color="auto"/>
            <w:left w:val="none" w:sz="0" w:space="0" w:color="auto"/>
            <w:bottom w:val="none" w:sz="0" w:space="0" w:color="auto"/>
            <w:right w:val="none" w:sz="0" w:space="0" w:color="auto"/>
          </w:divBdr>
        </w:div>
        <w:div w:id="374041202">
          <w:marLeft w:val="0"/>
          <w:marRight w:val="0"/>
          <w:marTop w:val="0"/>
          <w:marBottom w:val="0"/>
          <w:divBdr>
            <w:top w:val="none" w:sz="0" w:space="0" w:color="auto"/>
            <w:left w:val="none" w:sz="0" w:space="0" w:color="auto"/>
            <w:bottom w:val="none" w:sz="0" w:space="0" w:color="auto"/>
            <w:right w:val="none" w:sz="0" w:space="0" w:color="auto"/>
          </w:divBdr>
        </w:div>
        <w:div w:id="390271191">
          <w:marLeft w:val="0"/>
          <w:marRight w:val="0"/>
          <w:marTop w:val="0"/>
          <w:marBottom w:val="0"/>
          <w:divBdr>
            <w:top w:val="none" w:sz="0" w:space="0" w:color="auto"/>
            <w:left w:val="none" w:sz="0" w:space="0" w:color="auto"/>
            <w:bottom w:val="none" w:sz="0" w:space="0" w:color="auto"/>
            <w:right w:val="none" w:sz="0" w:space="0" w:color="auto"/>
          </w:divBdr>
        </w:div>
        <w:div w:id="478115739">
          <w:marLeft w:val="0"/>
          <w:marRight w:val="0"/>
          <w:marTop w:val="0"/>
          <w:marBottom w:val="0"/>
          <w:divBdr>
            <w:top w:val="none" w:sz="0" w:space="0" w:color="auto"/>
            <w:left w:val="none" w:sz="0" w:space="0" w:color="auto"/>
            <w:bottom w:val="none" w:sz="0" w:space="0" w:color="auto"/>
            <w:right w:val="none" w:sz="0" w:space="0" w:color="auto"/>
          </w:divBdr>
        </w:div>
        <w:div w:id="570502673">
          <w:marLeft w:val="0"/>
          <w:marRight w:val="0"/>
          <w:marTop w:val="0"/>
          <w:marBottom w:val="0"/>
          <w:divBdr>
            <w:top w:val="none" w:sz="0" w:space="0" w:color="auto"/>
            <w:left w:val="none" w:sz="0" w:space="0" w:color="auto"/>
            <w:bottom w:val="none" w:sz="0" w:space="0" w:color="auto"/>
            <w:right w:val="none" w:sz="0" w:space="0" w:color="auto"/>
          </w:divBdr>
        </w:div>
        <w:div w:id="605239255">
          <w:marLeft w:val="0"/>
          <w:marRight w:val="0"/>
          <w:marTop w:val="0"/>
          <w:marBottom w:val="0"/>
          <w:divBdr>
            <w:top w:val="none" w:sz="0" w:space="0" w:color="auto"/>
            <w:left w:val="none" w:sz="0" w:space="0" w:color="auto"/>
            <w:bottom w:val="none" w:sz="0" w:space="0" w:color="auto"/>
            <w:right w:val="none" w:sz="0" w:space="0" w:color="auto"/>
          </w:divBdr>
        </w:div>
        <w:div w:id="721907399">
          <w:marLeft w:val="0"/>
          <w:marRight w:val="0"/>
          <w:marTop w:val="0"/>
          <w:marBottom w:val="0"/>
          <w:divBdr>
            <w:top w:val="none" w:sz="0" w:space="0" w:color="auto"/>
            <w:left w:val="none" w:sz="0" w:space="0" w:color="auto"/>
            <w:bottom w:val="none" w:sz="0" w:space="0" w:color="auto"/>
            <w:right w:val="none" w:sz="0" w:space="0" w:color="auto"/>
          </w:divBdr>
        </w:div>
        <w:div w:id="828711434">
          <w:marLeft w:val="0"/>
          <w:marRight w:val="0"/>
          <w:marTop w:val="0"/>
          <w:marBottom w:val="0"/>
          <w:divBdr>
            <w:top w:val="none" w:sz="0" w:space="0" w:color="auto"/>
            <w:left w:val="none" w:sz="0" w:space="0" w:color="auto"/>
            <w:bottom w:val="none" w:sz="0" w:space="0" w:color="auto"/>
            <w:right w:val="none" w:sz="0" w:space="0" w:color="auto"/>
          </w:divBdr>
        </w:div>
        <w:div w:id="1000041804">
          <w:marLeft w:val="0"/>
          <w:marRight w:val="0"/>
          <w:marTop w:val="0"/>
          <w:marBottom w:val="0"/>
          <w:divBdr>
            <w:top w:val="none" w:sz="0" w:space="0" w:color="auto"/>
            <w:left w:val="none" w:sz="0" w:space="0" w:color="auto"/>
            <w:bottom w:val="none" w:sz="0" w:space="0" w:color="auto"/>
            <w:right w:val="none" w:sz="0" w:space="0" w:color="auto"/>
          </w:divBdr>
        </w:div>
        <w:div w:id="1054046124">
          <w:marLeft w:val="0"/>
          <w:marRight w:val="0"/>
          <w:marTop w:val="0"/>
          <w:marBottom w:val="0"/>
          <w:divBdr>
            <w:top w:val="none" w:sz="0" w:space="0" w:color="auto"/>
            <w:left w:val="none" w:sz="0" w:space="0" w:color="auto"/>
            <w:bottom w:val="none" w:sz="0" w:space="0" w:color="auto"/>
            <w:right w:val="none" w:sz="0" w:space="0" w:color="auto"/>
          </w:divBdr>
        </w:div>
        <w:div w:id="1069156374">
          <w:marLeft w:val="0"/>
          <w:marRight w:val="0"/>
          <w:marTop w:val="0"/>
          <w:marBottom w:val="0"/>
          <w:divBdr>
            <w:top w:val="none" w:sz="0" w:space="0" w:color="auto"/>
            <w:left w:val="none" w:sz="0" w:space="0" w:color="auto"/>
            <w:bottom w:val="none" w:sz="0" w:space="0" w:color="auto"/>
            <w:right w:val="none" w:sz="0" w:space="0" w:color="auto"/>
          </w:divBdr>
        </w:div>
        <w:div w:id="1157529341">
          <w:marLeft w:val="0"/>
          <w:marRight w:val="0"/>
          <w:marTop w:val="0"/>
          <w:marBottom w:val="0"/>
          <w:divBdr>
            <w:top w:val="none" w:sz="0" w:space="0" w:color="auto"/>
            <w:left w:val="none" w:sz="0" w:space="0" w:color="auto"/>
            <w:bottom w:val="none" w:sz="0" w:space="0" w:color="auto"/>
            <w:right w:val="none" w:sz="0" w:space="0" w:color="auto"/>
          </w:divBdr>
        </w:div>
        <w:div w:id="1174757884">
          <w:marLeft w:val="0"/>
          <w:marRight w:val="0"/>
          <w:marTop w:val="0"/>
          <w:marBottom w:val="0"/>
          <w:divBdr>
            <w:top w:val="none" w:sz="0" w:space="0" w:color="auto"/>
            <w:left w:val="none" w:sz="0" w:space="0" w:color="auto"/>
            <w:bottom w:val="none" w:sz="0" w:space="0" w:color="auto"/>
            <w:right w:val="none" w:sz="0" w:space="0" w:color="auto"/>
          </w:divBdr>
        </w:div>
        <w:div w:id="1190221528">
          <w:marLeft w:val="0"/>
          <w:marRight w:val="0"/>
          <w:marTop w:val="0"/>
          <w:marBottom w:val="0"/>
          <w:divBdr>
            <w:top w:val="none" w:sz="0" w:space="0" w:color="auto"/>
            <w:left w:val="none" w:sz="0" w:space="0" w:color="auto"/>
            <w:bottom w:val="none" w:sz="0" w:space="0" w:color="auto"/>
            <w:right w:val="none" w:sz="0" w:space="0" w:color="auto"/>
          </w:divBdr>
        </w:div>
        <w:div w:id="1308391907">
          <w:marLeft w:val="0"/>
          <w:marRight w:val="0"/>
          <w:marTop w:val="0"/>
          <w:marBottom w:val="0"/>
          <w:divBdr>
            <w:top w:val="none" w:sz="0" w:space="0" w:color="auto"/>
            <w:left w:val="none" w:sz="0" w:space="0" w:color="auto"/>
            <w:bottom w:val="none" w:sz="0" w:space="0" w:color="auto"/>
            <w:right w:val="none" w:sz="0" w:space="0" w:color="auto"/>
          </w:divBdr>
        </w:div>
        <w:div w:id="1349679118">
          <w:marLeft w:val="0"/>
          <w:marRight w:val="0"/>
          <w:marTop w:val="0"/>
          <w:marBottom w:val="0"/>
          <w:divBdr>
            <w:top w:val="none" w:sz="0" w:space="0" w:color="auto"/>
            <w:left w:val="none" w:sz="0" w:space="0" w:color="auto"/>
            <w:bottom w:val="none" w:sz="0" w:space="0" w:color="auto"/>
            <w:right w:val="none" w:sz="0" w:space="0" w:color="auto"/>
          </w:divBdr>
        </w:div>
        <w:div w:id="1380712484">
          <w:marLeft w:val="0"/>
          <w:marRight w:val="0"/>
          <w:marTop w:val="0"/>
          <w:marBottom w:val="0"/>
          <w:divBdr>
            <w:top w:val="none" w:sz="0" w:space="0" w:color="auto"/>
            <w:left w:val="none" w:sz="0" w:space="0" w:color="auto"/>
            <w:bottom w:val="none" w:sz="0" w:space="0" w:color="auto"/>
            <w:right w:val="none" w:sz="0" w:space="0" w:color="auto"/>
          </w:divBdr>
        </w:div>
        <w:div w:id="1584030815">
          <w:marLeft w:val="0"/>
          <w:marRight w:val="0"/>
          <w:marTop w:val="0"/>
          <w:marBottom w:val="0"/>
          <w:divBdr>
            <w:top w:val="none" w:sz="0" w:space="0" w:color="auto"/>
            <w:left w:val="none" w:sz="0" w:space="0" w:color="auto"/>
            <w:bottom w:val="none" w:sz="0" w:space="0" w:color="auto"/>
            <w:right w:val="none" w:sz="0" w:space="0" w:color="auto"/>
          </w:divBdr>
        </w:div>
        <w:div w:id="1592160258">
          <w:marLeft w:val="0"/>
          <w:marRight w:val="0"/>
          <w:marTop w:val="0"/>
          <w:marBottom w:val="0"/>
          <w:divBdr>
            <w:top w:val="none" w:sz="0" w:space="0" w:color="auto"/>
            <w:left w:val="none" w:sz="0" w:space="0" w:color="auto"/>
            <w:bottom w:val="none" w:sz="0" w:space="0" w:color="auto"/>
            <w:right w:val="none" w:sz="0" w:space="0" w:color="auto"/>
          </w:divBdr>
        </w:div>
        <w:div w:id="1668285616">
          <w:marLeft w:val="0"/>
          <w:marRight w:val="0"/>
          <w:marTop w:val="0"/>
          <w:marBottom w:val="0"/>
          <w:divBdr>
            <w:top w:val="none" w:sz="0" w:space="0" w:color="auto"/>
            <w:left w:val="none" w:sz="0" w:space="0" w:color="auto"/>
            <w:bottom w:val="none" w:sz="0" w:space="0" w:color="auto"/>
            <w:right w:val="none" w:sz="0" w:space="0" w:color="auto"/>
          </w:divBdr>
        </w:div>
        <w:div w:id="1680889211">
          <w:marLeft w:val="0"/>
          <w:marRight w:val="0"/>
          <w:marTop w:val="0"/>
          <w:marBottom w:val="0"/>
          <w:divBdr>
            <w:top w:val="none" w:sz="0" w:space="0" w:color="auto"/>
            <w:left w:val="none" w:sz="0" w:space="0" w:color="auto"/>
            <w:bottom w:val="none" w:sz="0" w:space="0" w:color="auto"/>
            <w:right w:val="none" w:sz="0" w:space="0" w:color="auto"/>
          </w:divBdr>
        </w:div>
        <w:div w:id="1689670699">
          <w:marLeft w:val="0"/>
          <w:marRight w:val="0"/>
          <w:marTop w:val="0"/>
          <w:marBottom w:val="0"/>
          <w:divBdr>
            <w:top w:val="none" w:sz="0" w:space="0" w:color="auto"/>
            <w:left w:val="none" w:sz="0" w:space="0" w:color="auto"/>
            <w:bottom w:val="none" w:sz="0" w:space="0" w:color="auto"/>
            <w:right w:val="none" w:sz="0" w:space="0" w:color="auto"/>
          </w:divBdr>
        </w:div>
        <w:div w:id="1710453249">
          <w:marLeft w:val="0"/>
          <w:marRight w:val="0"/>
          <w:marTop w:val="0"/>
          <w:marBottom w:val="0"/>
          <w:divBdr>
            <w:top w:val="none" w:sz="0" w:space="0" w:color="auto"/>
            <w:left w:val="none" w:sz="0" w:space="0" w:color="auto"/>
            <w:bottom w:val="none" w:sz="0" w:space="0" w:color="auto"/>
            <w:right w:val="none" w:sz="0" w:space="0" w:color="auto"/>
          </w:divBdr>
        </w:div>
        <w:div w:id="1776747820">
          <w:marLeft w:val="0"/>
          <w:marRight w:val="0"/>
          <w:marTop w:val="0"/>
          <w:marBottom w:val="0"/>
          <w:divBdr>
            <w:top w:val="none" w:sz="0" w:space="0" w:color="auto"/>
            <w:left w:val="none" w:sz="0" w:space="0" w:color="auto"/>
            <w:bottom w:val="none" w:sz="0" w:space="0" w:color="auto"/>
            <w:right w:val="none" w:sz="0" w:space="0" w:color="auto"/>
          </w:divBdr>
        </w:div>
        <w:div w:id="1803689501">
          <w:marLeft w:val="0"/>
          <w:marRight w:val="0"/>
          <w:marTop w:val="0"/>
          <w:marBottom w:val="0"/>
          <w:divBdr>
            <w:top w:val="none" w:sz="0" w:space="0" w:color="auto"/>
            <w:left w:val="none" w:sz="0" w:space="0" w:color="auto"/>
            <w:bottom w:val="none" w:sz="0" w:space="0" w:color="auto"/>
            <w:right w:val="none" w:sz="0" w:space="0" w:color="auto"/>
          </w:divBdr>
        </w:div>
        <w:div w:id="1890339571">
          <w:marLeft w:val="0"/>
          <w:marRight w:val="0"/>
          <w:marTop w:val="0"/>
          <w:marBottom w:val="0"/>
          <w:divBdr>
            <w:top w:val="none" w:sz="0" w:space="0" w:color="auto"/>
            <w:left w:val="none" w:sz="0" w:space="0" w:color="auto"/>
            <w:bottom w:val="none" w:sz="0" w:space="0" w:color="auto"/>
            <w:right w:val="none" w:sz="0" w:space="0" w:color="auto"/>
          </w:divBdr>
        </w:div>
        <w:div w:id="1998918327">
          <w:marLeft w:val="0"/>
          <w:marRight w:val="0"/>
          <w:marTop w:val="0"/>
          <w:marBottom w:val="0"/>
          <w:divBdr>
            <w:top w:val="none" w:sz="0" w:space="0" w:color="auto"/>
            <w:left w:val="none" w:sz="0" w:space="0" w:color="auto"/>
            <w:bottom w:val="none" w:sz="0" w:space="0" w:color="auto"/>
            <w:right w:val="none" w:sz="0" w:space="0" w:color="auto"/>
          </w:divBdr>
        </w:div>
        <w:div w:id="2009357265">
          <w:marLeft w:val="0"/>
          <w:marRight w:val="0"/>
          <w:marTop w:val="0"/>
          <w:marBottom w:val="0"/>
          <w:divBdr>
            <w:top w:val="none" w:sz="0" w:space="0" w:color="auto"/>
            <w:left w:val="none" w:sz="0" w:space="0" w:color="auto"/>
            <w:bottom w:val="none" w:sz="0" w:space="0" w:color="auto"/>
            <w:right w:val="none" w:sz="0" w:space="0" w:color="auto"/>
          </w:divBdr>
        </w:div>
      </w:divsChild>
    </w:div>
    <w:div w:id="144522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inyulianto@yahoo.com2" TargetMode="Externa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Fru05</b:Tag>
    <b:SourceType>ConferenceProceedings</b:SourceType>
    <b:Guid>{0B39F42D-B327-48EE-97B1-BA76BE8E3D43}</b:Guid>
    <b:Title>Assessing the Reliability, Validity and Adaptability of PSSUQ</b:Title>
    <b:Year>2005</b:Year>
    <b:City>Omaha, Nebraska</b:City>
    <b:ConferenceName>9th Americas Conference on Information Systems</b:ConferenceName>
    <b:Author>
      <b:Author>
        <b:NameList>
          <b:Person>
            <b:Last>Fruhling</b:Last>
            <b:First>A</b:First>
          </b:Person>
          <b:Person>
            <b:Last>Lee</b:Last>
            <b:First>S</b:First>
          </b:Person>
        </b:NameList>
      </b:Author>
    </b:Author>
    <b:RefOrder>2</b:RefOrder>
  </b:Source>
  <b:Source>
    <b:Tag>Lew14</b:Tag>
    <b:SourceType>InternetSite</b:SourceType>
    <b:Guid>{B6607254-F2B6-4F34-892D-78DE0E90494C}</b:Guid>
    <b:Title>T12: Standardized Usability Questionarry</b:Title>
    <b:YearAccessed>2014</b:YearAccessed>
    <b:MonthAccessed>December</b:MonthAccessed>
    <b:DayAccessed>10</b:DayAccessed>
    <b:URL>http://michaelyeap.blogspot.com/2009/10/oct-9-post-study-system-usability.html</b:URL>
    <b:Author>
      <b:Author>
        <b:NameList>
          <b:Person>
            <b:Last>Lewis</b:Last>
            <b:First>R James</b:First>
          </b:Person>
        </b:NameList>
      </b:Author>
    </b:Author>
    <b:RefOrder>3</b:RefOrder>
  </b:Source>
  <b:Source>
    <b:Tag>Sau14</b:Tag>
    <b:SourceType>InternetSite</b:SourceType>
    <b:Guid>{512EC9B4-EB3A-4A3F-B98F-CF6141E82764}</b:Guid>
    <b:Title>8 Advantages of Standardized Usability Questionnairres</b:Title>
    <b:YearAccessed>2014</b:YearAccessed>
    <b:MonthAccessed>December</b:MonthAccessed>
    <b:DayAccessed>2013</b:DayAccessed>
    <b:URL>http//www.measuringusability.com/blog/standardized-usability.php</b:URL>
    <b:Author>
      <b:Author>
        <b:NameList>
          <b:Person>
            <b:Last>Sauro</b:Last>
            <b:First>Jeff</b:First>
          </b:Person>
        </b:NameList>
      </b:Author>
    </b:Author>
    <b:RefOrder>1</b:RefOrder>
  </b:Source>
</b:Sources>
</file>

<file path=customXml/itemProps1.xml><?xml version="1.0" encoding="utf-8"?>
<ds:datastoreItem xmlns:ds="http://schemas.openxmlformats.org/officeDocument/2006/customXml" ds:itemID="{CEFE4F85-5155-49E9-ABEA-B5E8BC43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5861</Words>
  <Characters>33413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39196</CharactersWithSpaces>
  <SharedDoc>false</SharedDoc>
  <HLinks>
    <vt:vector size="6" baseType="variant">
      <vt:variant>
        <vt:i4>4456510</vt:i4>
      </vt:variant>
      <vt:variant>
        <vt:i4>0</vt:i4>
      </vt:variant>
      <vt:variant>
        <vt:i4>0</vt:i4>
      </vt:variant>
      <vt:variant>
        <vt:i4>5</vt:i4>
      </vt:variant>
      <vt:variant>
        <vt:lpwstr>mailto:rwinyulianto@yahoo.com2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bjb</dc:creator>
  <cp:keywords/>
  <cp:lastModifiedBy>Yana Setiawan</cp:lastModifiedBy>
  <cp:revision>2</cp:revision>
  <cp:lastPrinted>2018-08-30T01:54:00Z</cp:lastPrinted>
  <dcterms:created xsi:type="dcterms:W3CDTF">2019-01-10T12:29:00Z</dcterms:created>
  <dcterms:modified xsi:type="dcterms:W3CDTF">2019-01-10T12:29:00Z</dcterms:modified>
</cp:coreProperties>
</file>