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76F" w:rsidRDefault="00BF776F" w:rsidP="00585CF6">
      <w:pPr>
        <w:jc w:val="both"/>
        <w:rPr>
          <w:b/>
        </w:rPr>
      </w:pPr>
    </w:p>
    <w:p w:rsidR="00BF776F" w:rsidRDefault="00BF776F" w:rsidP="00BF776F">
      <w:pPr>
        <w:pStyle w:val="ListParagraph"/>
        <w:ind w:left="1080"/>
        <w:jc w:val="both"/>
        <w:rPr>
          <w:b/>
        </w:rPr>
      </w:pPr>
    </w:p>
    <w:p w:rsidR="00BF776F" w:rsidRDefault="00BF776F" w:rsidP="00BF776F">
      <w:pPr>
        <w:pStyle w:val="ListParagraph"/>
        <w:ind w:left="1080"/>
        <w:jc w:val="both"/>
        <w:rPr>
          <w:b/>
        </w:rPr>
      </w:pPr>
    </w:p>
    <w:p w:rsidR="00BF776F" w:rsidRPr="00D4017B" w:rsidRDefault="00BF776F" w:rsidP="00BF776F">
      <w:pPr>
        <w:jc w:val="center"/>
        <w:rPr>
          <w:b/>
          <w:sz w:val="28"/>
          <w:szCs w:val="28"/>
        </w:rPr>
      </w:pPr>
      <w:r w:rsidRPr="00D4017B">
        <w:rPr>
          <w:b/>
          <w:sz w:val="28"/>
          <w:szCs w:val="28"/>
        </w:rPr>
        <w:t>Analisis Fonetik Segmentasi terhadap Inteligibilitas Pengucapan Bahasa Inggr</w:t>
      </w:r>
      <w:r>
        <w:rPr>
          <w:b/>
          <w:sz w:val="28"/>
          <w:szCs w:val="28"/>
        </w:rPr>
        <w:t>is Guru Bahasa I</w:t>
      </w:r>
      <w:r w:rsidRPr="00D4017B">
        <w:rPr>
          <w:b/>
          <w:sz w:val="28"/>
          <w:szCs w:val="28"/>
        </w:rPr>
        <w:t>nggris</w:t>
      </w:r>
      <w:r>
        <w:rPr>
          <w:b/>
          <w:sz w:val="28"/>
          <w:szCs w:val="28"/>
        </w:rPr>
        <w:t xml:space="preserve"> Non-Penutur A</w:t>
      </w:r>
      <w:r w:rsidRPr="00D4017B">
        <w:rPr>
          <w:b/>
          <w:sz w:val="28"/>
          <w:szCs w:val="28"/>
        </w:rPr>
        <w:t>sing</w:t>
      </w:r>
    </w:p>
    <w:p w:rsidR="00BF776F" w:rsidRDefault="00BF776F" w:rsidP="00BF776F">
      <w:pPr>
        <w:jc w:val="center"/>
        <w:rPr>
          <w:b/>
          <w:i/>
          <w:sz w:val="28"/>
          <w:szCs w:val="28"/>
        </w:rPr>
      </w:pPr>
      <w:r w:rsidRPr="00D4017B">
        <w:rPr>
          <w:b/>
          <w:i/>
          <w:sz w:val="28"/>
          <w:szCs w:val="28"/>
        </w:rPr>
        <w:t xml:space="preserve">A Segmental-phonetic Analysis into </w:t>
      </w:r>
      <w:r>
        <w:rPr>
          <w:b/>
          <w:i/>
          <w:sz w:val="28"/>
          <w:szCs w:val="28"/>
        </w:rPr>
        <w:t xml:space="preserve">Non-native </w:t>
      </w:r>
      <w:r w:rsidRPr="00D4017B">
        <w:rPr>
          <w:b/>
          <w:i/>
          <w:sz w:val="28"/>
          <w:szCs w:val="28"/>
        </w:rPr>
        <w:t>English Teachers’ Intelligibility of English Pronunciation</w:t>
      </w:r>
    </w:p>
    <w:p w:rsidR="00BF776F" w:rsidRPr="00D4017B" w:rsidRDefault="00BF776F" w:rsidP="00BF776F">
      <w:pPr>
        <w:jc w:val="center"/>
        <w:rPr>
          <w:b/>
          <w:i/>
          <w:sz w:val="28"/>
          <w:szCs w:val="28"/>
        </w:rPr>
      </w:pPr>
    </w:p>
    <w:p w:rsidR="00BF776F" w:rsidRPr="006A3A99" w:rsidRDefault="00BF776F" w:rsidP="00BF776F">
      <w:pPr>
        <w:spacing w:line="240" w:lineRule="auto"/>
        <w:jc w:val="center"/>
        <w:rPr>
          <w:rFonts w:cs="Times New Roman"/>
          <w:b/>
          <w:szCs w:val="24"/>
        </w:rPr>
      </w:pPr>
      <w:r w:rsidRPr="006A3A99">
        <w:rPr>
          <w:rFonts w:cs="Times New Roman"/>
          <w:b/>
          <w:szCs w:val="24"/>
        </w:rPr>
        <w:t xml:space="preserve">Andre Anugrah, </w:t>
      </w:r>
      <w:r w:rsidRPr="006A3A99">
        <w:rPr>
          <w:rFonts w:cs="Times New Roman"/>
          <w:b/>
          <w:color w:val="000000" w:themeColor="text1"/>
          <w:szCs w:val="24"/>
          <w:lang w:val="nl-NL"/>
        </w:rPr>
        <w:t xml:space="preserve">Dadang Sudana, &amp; </w:t>
      </w:r>
      <w:r w:rsidRPr="006A3A99">
        <w:rPr>
          <w:rFonts w:cs="Times New Roman"/>
          <w:b/>
          <w:color w:val="000000" w:themeColor="text1"/>
          <w:szCs w:val="24"/>
        </w:rPr>
        <w:t>Yanty Wirza</w:t>
      </w:r>
    </w:p>
    <w:p w:rsidR="00BF776F" w:rsidRPr="006E30F0" w:rsidRDefault="00BF776F" w:rsidP="00BF776F">
      <w:pPr>
        <w:spacing w:line="240" w:lineRule="auto"/>
        <w:jc w:val="center"/>
        <w:rPr>
          <w:rFonts w:cs="Times New Roman"/>
          <w:szCs w:val="24"/>
        </w:rPr>
      </w:pPr>
      <w:r w:rsidRPr="006E30F0">
        <w:rPr>
          <w:rFonts w:cs="Times New Roman"/>
          <w:szCs w:val="24"/>
        </w:rPr>
        <w:t>Universitas Pendidikan Indonesia, Bandung, Jawa Barat, Indonesia</w:t>
      </w:r>
    </w:p>
    <w:p w:rsidR="00BF776F" w:rsidRDefault="00BF776F" w:rsidP="00BF776F">
      <w:pPr>
        <w:spacing w:line="240" w:lineRule="auto"/>
        <w:jc w:val="center"/>
        <w:rPr>
          <w:rStyle w:val="Hyperlink"/>
          <w:rFonts w:cs="Times New Roman"/>
          <w:color w:val="000000" w:themeColor="text1"/>
          <w:szCs w:val="24"/>
          <w:u w:val="none"/>
        </w:rPr>
      </w:pPr>
      <w:r w:rsidRPr="006A3A99">
        <w:rPr>
          <w:rFonts w:cs="Times New Roman"/>
          <w:color w:val="000000" w:themeColor="text1"/>
          <w:szCs w:val="24"/>
        </w:rPr>
        <w:t>andreanugrah0103@gmail.com, dsudana2013@yahoo.com</w:t>
      </w:r>
      <w:hyperlink r:id="rId5" w:history="1"/>
      <w:r w:rsidRPr="006A3A99">
        <w:rPr>
          <w:rFonts w:cs="Times New Roman"/>
          <w:color w:val="000000" w:themeColor="text1"/>
          <w:szCs w:val="24"/>
        </w:rPr>
        <w:t xml:space="preserve">, </w:t>
      </w:r>
      <w:hyperlink r:id="rId6" w:history="1">
        <w:r w:rsidRPr="006A3A99">
          <w:rPr>
            <w:rStyle w:val="Hyperlink"/>
            <w:rFonts w:cs="Times New Roman"/>
            <w:color w:val="000000" w:themeColor="text1"/>
            <w:szCs w:val="24"/>
            <w:u w:val="none"/>
          </w:rPr>
          <w:t>yantywirza@upi.edu</w:t>
        </w:r>
      </w:hyperlink>
    </w:p>
    <w:p w:rsidR="00BF776F" w:rsidRDefault="00BF776F" w:rsidP="00BF776F">
      <w:pPr>
        <w:spacing w:line="240" w:lineRule="auto"/>
        <w:rPr>
          <w:rStyle w:val="Hyperlink"/>
          <w:rFonts w:cs="Times New Roman"/>
          <w:color w:val="000000" w:themeColor="text1"/>
          <w:szCs w:val="24"/>
          <w:u w:val="none"/>
        </w:rPr>
      </w:pPr>
    </w:p>
    <w:p w:rsidR="00BF776F" w:rsidRPr="006A3A99" w:rsidRDefault="00BF776F" w:rsidP="00BF776F">
      <w:pPr>
        <w:spacing w:line="240" w:lineRule="auto"/>
        <w:rPr>
          <w:rFonts w:cs="Times New Roman"/>
          <w:color w:val="000000" w:themeColor="text1"/>
          <w:szCs w:val="24"/>
        </w:rPr>
      </w:pPr>
    </w:p>
    <w:p w:rsidR="00BF776F" w:rsidRPr="00B34D12" w:rsidRDefault="00BF776F" w:rsidP="00BF776F">
      <w:pPr>
        <w:spacing w:line="240" w:lineRule="auto"/>
        <w:jc w:val="center"/>
        <w:rPr>
          <w:b/>
        </w:rPr>
      </w:pPr>
      <w:r w:rsidRPr="00B34D12">
        <w:rPr>
          <w:b/>
        </w:rPr>
        <w:t>Abstract</w:t>
      </w:r>
    </w:p>
    <w:p w:rsidR="00BF776F" w:rsidRPr="00B34D12" w:rsidRDefault="00BF776F" w:rsidP="00BF776F">
      <w:pPr>
        <w:spacing w:line="240" w:lineRule="auto"/>
        <w:jc w:val="both"/>
      </w:pPr>
      <w:r w:rsidRPr="00B34D12">
        <w:t>Analisis fonetik segmentasi ini bertujuan untuk mengetahui seberapa jelas pelafalan bahasa inggris guru bahasa inggris non-pentur asli dalam mengartikulasi bunyi-bunyi fonemik terkait fonetik segmentasi. Penelitian ini merupakan penelitian deskriptif kualitatif dengan 3 partisipan yang dipilih secara sengaja berdasarkan beberapa kriteria yang telah ditetapkan. Pengumpulan data dilakukan dengan dua jenis instrumen yaitu PIT (Tes kejelasan pengucapan) dan tes sejenis IELTS. Analisis data dilakukan dengan menggunakan penjelasan fonetik berbasis kesalahan. Temuan mengungkapkan bahwa dalam hal performa segmental, semua peserta memiliki inteligibilitas pengucapan yang tidak memadai dikarenakan banyaknya ditemukan distorsi beberapa konsonan seperti frikatif (dental, labio-dental, alveolar, dan palato-alveolar), dan juga fonemik vokal seperti vokal terbuka dan vokal dekat.</w:t>
      </w:r>
    </w:p>
    <w:p w:rsidR="00BF776F" w:rsidRPr="00B34D12" w:rsidRDefault="00BF776F" w:rsidP="00BF776F">
      <w:pPr>
        <w:spacing w:line="240" w:lineRule="auto"/>
        <w:jc w:val="both"/>
      </w:pPr>
      <w:r w:rsidRPr="00B34D12">
        <w:rPr>
          <w:b/>
        </w:rPr>
        <w:t>Kata kunci:</w:t>
      </w:r>
      <w:r>
        <w:t xml:space="preserve"> inteligibilitas, fonetik, pengucapan, segmentasi.</w:t>
      </w:r>
    </w:p>
    <w:p w:rsidR="00BF776F" w:rsidRDefault="00BF776F" w:rsidP="00BF776F">
      <w:pPr>
        <w:jc w:val="both"/>
        <w:rPr>
          <w:rFonts w:cs="Times New Roman"/>
          <w:color w:val="000000" w:themeColor="text1"/>
          <w:szCs w:val="24"/>
        </w:rPr>
      </w:pPr>
    </w:p>
    <w:p w:rsidR="00BF776F" w:rsidRDefault="00BF776F" w:rsidP="00BF776F">
      <w:pPr>
        <w:jc w:val="both"/>
        <w:rPr>
          <w:rFonts w:cs="Times New Roman"/>
          <w:color w:val="000000" w:themeColor="text1"/>
          <w:szCs w:val="24"/>
        </w:rPr>
      </w:pPr>
    </w:p>
    <w:p w:rsidR="00BF776F" w:rsidRPr="00C333E9" w:rsidRDefault="00BF776F" w:rsidP="00BF776F">
      <w:pPr>
        <w:jc w:val="center"/>
        <w:rPr>
          <w:rFonts w:cs="Times New Roman"/>
          <w:b/>
          <w:i/>
          <w:color w:val="000000" w:themeColor="text1"/>
          <w:szCs w:val="24"/>
        </w:rPr>
      </w:pPr>
      <w:r w:rsidRPr="00C333E9">
        <w:rPr>
          <w:rFonts w:cs="Times New Roman"/>
          <w:b/>
          <w:i/>
          <w:color w:val="000000" w:themeColor="text1"/>
          <w:szCs w:val="24"/>
        </w:rPr>
        <w:t>Abstract</w:t>
      </w:r>
    </w:p>
    <w:p w:rsidR="00BF776F" w:rsidRPr="00C333E9" w:rsidRDefault="00BF776F" w:rsidP="00BF776F">
      <w:pPr>
        <w:spacing w:line="240" w:lineRule="auto"/>
        <w:jc w:val="both"/>
        <w:rPr>
          <w:i/>
        </w:rPr>
      </w:pPr>
      <w:r w:rsidRPr="00C333E9">
        <w:rPr>
          <w:i/>
        </w:rPr>
        <w:t>This segmental-phonetic inquiry was conducted to find out how intelligible select-nonnative English speakers speak English in regard to phonetic segmentals. This research was a qualitative-descriptive study with 3 participants selected purposefully based upon some established criteria. The data were collected by a means of two kinds of instruments namely PIT (Pronunciation intelligibility test) and an IELTS-like test. The data analysis was undertaken by making use of an error-based phonetic explication. The findings revealed that in terms of segmental performance, all of the participants had performed less intelligible pronunciation for distorting some consonants such as fricatives (dental, labio-dental, alveolar, and palato-alveolar), and vowels such as open vowels and close vowels.</w:t>
      </w:r>
    </w:p>
    <w:p w:rsidR="00BF776F" w:rsidRPr="00C333E9" w:rsidRDefault="00BF776F" w:rsidP="00BF776F">
      <w:pPr>
        <w:rPr>
          <w:i/>
          <w:sz w:val="28"/>
          <w:szCs w:val="28"/>
        </w:rPr>
      </w:pPr>
      <w:r w:rsidRPr="00C333E9">
        <w:rPr>
          <w:b/>
          <w:i/>
        </w:rPr>
        <w:t>Key words:</w:t>
      </w:r>
      <w:r>
        <w:rPr>
          <w:i/>
        </w:rPr>
        <w:t xml:space="preserve"> intelligibility, pronunciation, phonetics, segmentals.</w:t>
      </w:r>
    </w:p>
    <w:p w:rsidR="00BF776F" w:rsidRPr="006A3A99" w:rsidRDefault="00BF776F" w:rsidP="00BF776F">
      <w:pPr>
        <w:rPr>
          <w:sz w:val="28"/>
          <w:szCs w:val="28"/>
        </w:rPr>
      </w:pPr>
    </w:p>
    <w:p w:rsidR="00BF776F" w:rsidRDefault="00BF776F" w:rsidP="00BF776F">
      <w:pPr>
        <w:pStyle w:val="ListParagraph"/>
        <w:ind w:left="1080"/>
        <w:jc w:val="both"/>
        <w:rPr>
          <w:b/>
        </w:rPr>
      </w:pPr>
    </w:p>
    <w:p w:rsidR="00BF776F" w:rsidRDefault="00BF776F" w:rsidP="00BF776F">
      <w:pPr>
        <w:pStyle w:val="ListParagraph"/>
        <w:ind w:left="1080"/>
        <w:jc w:val="both"/>
        <w:rPr>
          <w:b/>
        </w:rPr>
      </w:pPr>
    </w:p>
    <w:p w:rsidR="00BF776F" w:rsidRDefault="00BF776F" w:rsidP="00BF776F">
      <w:pPr>
        <w:pStyle w:val="ListParagraph"/>
        <w:ind w:left="1080"/>
        <w:jc w:val="both"/>
        <w:rPr>
          <w:b/>
        </w:rPr>
      </w:pPr>
    </w:p>
    <w:p w:rsidR="00BF776F" w:rsidRDefault="00BF776F" w:rsidP="00BF776F">
      <w:pPr>
        <w:pStyle w:val="ListParagraph"/>
        <w:ind w:left="1080"/>
        <w:jc w:val="both"/>
        <w:rPr>
          <w:b/>
        </w:rPr>
      </w:pPr>
    </w:p>
    <w:p w:rsidR="000060BA" w:rsidRPr="00BF776F" w:rsidRDefault="008D0E28" w:rsidP="00BF776F">
      <w:pPr>
        <w:pStyle w:val="ListParagraph"/>
        <w:numPr>
          <w:ilvl w:val="0"/>
          <w:numId w:val="5"/>
        </w:numPr>
        <w:jc w:val="both"/>
        <w:rPr>
          <w:b/>
        </w:rPr>
      </w:pPr>
      <w:r w:rsidRPr="00BF776F">
        <w:rPr>
          <w:b/>
        </w:rPr>
        <w:lastRenderedPageBreak/>
        <w:t>PENDAHULUAN</w:t>
      </w:r>
    </w:p>
    <w:p w:rsidR="00531AEA" w:rsidRDefault="00CA1D9C" w:rsidP="008D0E28">
      <w:pPr>
        <w:ind w:firstLine="720"/>
        <w:jc w:val="both"/>
      </w:pPr>
      <w:r>
        <w:t>T</w:t>
      </w:r>
      <w:r w:rsidR="00585CF6">
        <w:t>idak</w:t>
      </w:r>
      <w:r w:rsidRPr="00CA1D9C">
        <w:t xml:space="preserve"> dapat disangkal bahwa pengucapan</w:t>
      </w:r>
      <w:r w:rsidR="00190CDA">
        <w:t xml:space="preserve"> </w:t>
      </w:r>
      <w:r w:rsidR="00190CDA" w:rsidRPr="00190CDA">
        <w:rPr>
          <w:i/>
        </w:rPr>
        <w:t>(Pronunciation</w:t>
      </w:r>
      <w:r w:rsidR="00190CDA">
        <w:t>)</w:t>
      </w:r>
      <w:r>
        <w:t xml:space="preserve"> </w:t>
      </w:r>
      <w:r w:rsidRPr="00CA1D9C">
        <w:t>yang sangat terkait de</w:t>
      </w:r>
      <w:r w:rsidR="0044241A">
        <w:t xml:space="preserve">ngan fonetik dan fonologi, </w:t>
      </w:r>
      <w:r w:rsidRPr="00CA1D9C">
        <w:t>secara singkat</w:t>
      </w:r>
      <w:r w:rsidR="000060BA">
        <w:t xml:space="preserve"> dapat </w:t>
      </w:r>
      <w:r w:rsidRPr="00CA1D9C">
        <w:t>didefinisikan sebagai studi tentang sistem suara, adalah salah satu ketera</w:t>
      </w:r>
      <w:r w:rsidR="0044241A">
        <w:t>mpilan yang paling sulit dalam p</w:t>
      </w:r>
      <w:r w:rsidRPr="00CA1D9C">
        <w:t>e</w:t>
      </w:r>
      <w:r w:rsidR="0044241A">
        <w:t>mbe</w:t>
      </w:r>
      <w:r w:rsidRPr="00CA1D9C">
        <w:t>lajar</w:t>
      </w:r>
      <w:r w:rsidR="0044241A">
        <w:t>an serta penguasaan</w:t>
      </w:r>
      <w:r w:rsidRPr="00CA1D9C">
        <w:t xml:space="preserve"> bahasa Inggris (Aliaga Ga</w:t>
      </w:r>
      <w:r w:rsidR="0044241A">
        <w:t xml:space="preserve">rcía, 2007 ; Martínez-Flor, </w:t>
      </w:r>
      <w:r w:rsidRPr="00CA1D9C">
        <w:t xml:space="preserve">2006; Pourhosein Gilakjani, 2016). Apa yang disebut </w:t>
      </w:r>
      <w:r w:rsidR="000060BA">
        <w:t xml:space="preserve">dengan </w:t>
      </w:r>
      <w:r w:rsidRPr="00CA1D9C">
        <w:t>"</w:t>
      </w:r>
      <w:r>
        <w:t>inteligibilitas</w:t>
      </w:r>
      <w:r w:rsidRPr="00CA1D9C">
        <w:t xml:space="preserve">" telah berubah menjadi tujuan pengajaran pengucapan yang disepakati secara umum (Morley, 1991; Jenkins, 2000; Celce-Murcia et al., 2010; Brinton, 2012) sejumlah studi (misalnya, Timmis , 2002; Simon dan Taverniers, 2011; Tergujeff, 2013) menjelaskan bahwa banyak siswa bahasa Inggris masih menganggap pengucapan seperti penutur asli sebagai salah satu tujuan yang ideal. </w:t>
      </w:r>
    </w:p>
    <w:p w:rsidR="00531AEA" w:rsidRDefault="00CA1D9C" w:rsidP="008D0E28">
      <w:pPr>
        <w:ind w:firstLine="720"/>
        <w:jc w:val="both"/>
      </w:pPr>
      <w:r w:rsidRPr="00CA1D9C">
        <w:t xml:space="preserve">Namun, ini juga menunjukkan bahwa model alternatif sering diadopsi sebagai alternatif yang lebih praktis dan dapat dicapai (Subtirelu, 2013). Dalam studi ini, penulis menunjukkan bahwa kejelasan adalah tujuan pengajaran pengucapan. Tergujeff (2013) mencatat bahwa mayoritas pelajar bahasa kedua dalam studinya “melaporkan kefasihan dan </w:t>
      </w:r>
      <w:r w:rsidR="000060BA">
        <w:t xml:space="preserve">inteligibilitas atau </w:t>
      </w:r>
      <w:r w:rsidRPr="00CA1D9C">
        <w:t xml:space="preserve">kejelasan sebagai tujuan utama mereka dalam pengucapan bahasa Inggris”. Namun, dia kemudian berkomentar bahwa setiap referensi yang dibuat peserta untuk pengucapan seperti penutur asli tampaknya merupakan "angan-angan". </w:t>
      </w:r>
    </w:p>
    <w:p w:rsidR="000060BA" w:rsidRDefault="00CA1D9C" w:rsidP="008D0E28">
      <w:pPr>
        <w:ind w:firstLine="720"/>
        <w:jc w:val="both"/>
      </w:pPr>
      <w:r w:rsidRPr="00CA1D9C">
        <w:t xml:space="preserve">Demikian pula, Subtirelu (2013) menunjukkan bahwa dalam perjalanan penelitiannya, tujuan pelajar berubah dari waktu ke waktu dan dengan lebih banyak eksposur ke bahasa target, awalnya </w:t>
      </w:r>
      <w:proofErr w:type="gramStart"/>
      <w:r w:rsidRPr="00CA1D9C">
        <w:t>memilih</w:t>
      </w:r>
      <w:proofErr w:type="gramEnd"/>
      <w:r w:rsidRPr="00CA1D9C">
        <w:t xml:space="preserve"> untuk pengucapan seperti penutur asli dan kemudian untuk model alternatif. Namun, wawancara dalam penelitiannya menyoroti bahwa perubahan ini dihasilkan dari pesimisme tentang pencapaian tujuan mereka yang sebenarnya, daripada perubahan yang menentukan dari tujuan yang diinginkan.</w:t>
      </w:r>
    </w:p>
    <w:p w:rsidR="00531AEA" w:rsidRDefault="00CA1D9C" w:rsidP="008D0E28">
      <w:pPr>
        <w:ind w:firstLine="720"/>
        <w:jc w:val="both"/>
      </w:pPr>
      <w:r w:rsidRPr="00CA1D9C">
        <w:t>Terlepas dari berbagai hasil pembelajaran yang diharapkan dan tujuan penguasaan pengucapan yang diminta oleh pelajar bahasa Inggris, guru me</w:t>
      </w:r>
      <w:r w:rsidR="0044241A">
        <w:t>reka tetap menjadi tumpuan ekspektasi untuk</w:t>
      </w:r>
      <w:r w:rsidRPr="00CA1D9C">
        <w:t xml:space="preserve"> </w:t>
      </w:r>
      <w:r w:rsidR="0044241A">
        <w:t>merealisasikan tujuan tersebut</w:t>
      </w:r>
      <w:r w:rsidRPr="00CA1D9C">
        <w:t xml:space="preserve">. </w:t>
      </w:r>
      <w:r w:rsidR="000060BA">
        <w:t>Guru</w:t>
      </w:r>
      <w:r w:rsidRPr="00CA1D9C">
        <w:t xml:space="preserve"> </w:t>
      </w:r>
      <w:proofErr w:type="gramStart"/>
      <w:r w:rsidRPr="00CA1D9C">
        <w:t>adalah</w:t>
      </w:r>
      <w:proofErr w:type="gramEnd"/>
      <w:r w:rsidRPr="00CA1D9C">
        <w:t xml:space="preserve"> sumber kehidupan </w:t>
      </w:r>
      <w:r w:rsidR="0044241A">
        <w:t xml:space="preserve">dan </w:t>
      </w:r>
      <w:r w:rsidRPr="00CA1D9C">
        <w:t xml:space="preserve">keberhasilan sekolah serta siswa (Robinson, 2018). Mereka pasti memiliki sejumlah peran penting di dalam kelas seperti, sebagai pengontrol, pembisik, sumber daya, penilai, penyelenggara, peserta, dan pengajar (Harmer, 2007). Oleh karena itu, hanya memiliki persepsi dan keyakinan positif tentang pentingnya pelafalan bahasa Inggris tidak </w:t>
      </w:r>
      <w:proofErr w:type="gramStart"/>
      <w:r w:rsidRPr="00CA1D9C">
        <w:t>akan</w:t>
      </w:r>
      <w:proofErr w:type="gramEnd"/>
      <w:r w:rsidRPr="00CA1D9C">
        <w:t xml:space="preserve"> cukup tanpa dukungan dari keterampilan dan penampilan pengucapan yang memadai.</w:t>
      </w:r>
    </w:p>
    <w:p w:rsidR="00CA1D9C" w:rsidRDefault="00CA1D9C" w:rsidP="008D0E28">
      <w:pPr>
        <w:ind w:firstLine="720"/>
        <w:jc w:val="both"/>
      </w:pPr>
      <w:r w:rsidRPr="00CA1D9C">
        <w:t xml:space="preserve"> Selain itu, peran guru sebagai narasumber, penilai, dan pembisik selalu menuntut seorang guru bahasa Inggris untuk berbicara bahasa Inggris yang dapat dimengerti yang diharapkan dapat sebebas mungkin dari kesalahan fonemik dan ketidaktepatan prosodi. Dengan kata lain, sebelum mengaktualisasikan tujuan siswa untuk mencapai pelafalan seperti penutur asli atau pelafalan yang dapat dimengerti, guru bahasa Inggris, dengan sendirinya, harus memiliki semua kriteria untuk </w:t>
      </w:r>
      <w:r w:rsidRPr="00CA1D9C">
        <w:lastRenderedPageBreak/>
        <w:t xml:space="preserve">diklaim sebagai penutur bahasa Inggris yang dapat dimengerti. Jika tidak, bukan tidak mungkin mereka </w:t>
      </w:r>
      <w:proofErr w:type="gramStart"/>
      <w:r w:rsidRPr="00CA1D9C">
        <w:t>akan</w:t>
      </w:r>
      <w:proofErr w:type="gramEnd"/>
      <w:r w:rsidRPr="00CA1D9C">
        <w:t xml:space="preserve"> berkontribusi pada kegagalan pembelajaran dan pemerolehan bahasa Inggris siswanya.</w:t>
      </w:r>
    </w:p>
    <w:p w:rsidR="000060BA" w:rsidRDefault="000060BA" w:rsidP="00531AEA">
      <w:pPr>
        <w:ind w:firstLine="720"/>
        <w:jc w:val="both"/>
      </w:pPr>
      <w:r>
        <w:t>I</w:t>
      </w:r>
      <w:r w:rsidRPr="000060BA">
        <w:t xml:space="preserve">stilah </w:t>
      </w:r>
      <w:r>
        <w:t>inteligibilitas</w:t>
      </w:r>
      <w:r w:rsidRPr="000060BA">
        <w:t xml:space="preserve"> yang digunakan dalam penelitian ini tidak hanya, seperti yang umumnya dikenal, sebagai sejauh mana kata-kata seseorang dapat dipahami atau dipahami oleh orang lain, di mana bias subjektif mungkin dapat terjadi. Sejalan dengan itu, kejelasan dilihat, dinilai dan dianalisis dari kinerja fonologis seperti</w:t>
      </w:r>
      <w:r>
        <w:t xml:space="preserve"> performa segmental</w:t>
      </w:r>
      <w:r w:rsidRPr="000060BA">
        <w:t>. Inilah yang membuat studi saat ini berbeda dari yang lain. Studi ini menggunakan PIT yang dirancang untuk tes kejelasan</w:t>
      </w:r>
      <w:r>
        <w:t xml:space="preserve"> atau inteligibilitas</w:t>
      </w:r>
      <w:r w:rsidRPr="000060BA">
        <w:t xml:space="preserve"> pengucapan untuk mengukur dan mengeksplorasi kinerja dan penampilan pelafalan segmental dan suprasegmental guru bahasa Inggris non-native. Jadi, kejelasan pengucapan itu sendiri lebih ditentukan dengan melihat fitur pengucapan segmental </w:t>
      </w:r>
      <w:r>
        <w:t>yang umumnya terkait dengan kemampuan dalam artikulasi bunyi-bunyi konsonan maupun vocal (vowel).</w:t>
      </w:r>
    </w:p>
    <w:p w:rsidR="00531AEA" w:rsidRDefault="00531AEA" w:rsidP="00531AEA">
      <w:pPr>
        <w:ind w:firstLine="720"/>
        <w:jc w:val="both"/>
      </w:pPr>
    </w:p>
    <w:p w:rsidR="000060BA" w:rsidRPr="00585CF6" w:rsidRDefault="008D0E28" w:rsidP="00BF776F">
      <w:pPr>
        <w:pStyle w:val="ListParagraph"/>
        <w:numPr>
          <w:ilvl w:val="0"/>
          <w:numId w:val="5"/>
        </w:numPr>
        <w:jc w:val="both"/>
        <w:rPr>
          <w:b/>
        </w:rPr>
      </w:pPr>
      <w:r w:rsidRPr="00585CF6">
        <w:rPr>
          <w:b/>
        </w:rPr>
        <w:t>METODE PENELITIAN</w:t>
      </w:r>
    </w:p>
    <w:p w:rsidR="000060BA" w:rsidRDefault="00396956" w:rsidP="008D0E28">
      <w:pPr>
        <w:ind w:firstLine="720"/>
        <w:jc w:val="both"/>
      </w:pPr>
      <w:r w:rsidRPr="00396956">
        <w:t>Penelitian ini dilakukan dengan desain deskriptif kualitatif. Prinsip umum penelitian kualitatif dikembangkan secara induktif dari observasi</w:t>
      </w:r>
      <w:r>
        <w:t xml:space="preserve"> spesifik ke generalisasi lebih luas</w:t>
      </w:r>
      <w:r w:rsidRPr="00396956">
        <w:t xml:space="preserve"> atau yang disebut pendekatan </w:t>
      </w:r>
      <w:r w:rsidRPr="00396956">
        <w:rPr>
          <w:i/>
        </w:rPr>
        <w:t>bottom-up</w:t>
      </w:r>
      <w:r w:rsidRPr="00396956">
        <w:t xml:space="preserve"> (Hamied, 2017). Kajian kualitatif biasanya dilakukan oleh seorang peneliti pada awalnya dengan melakukan beberapa langkah khusus, kemudian mendeteksi keteraturan dan pola, dan akhirnya berakhir dengan beberapa kesimpulan dan teori (Mason, 1996, Hennik et al, 2013). Tujuan utama dari penelitian deskriptif-kualitatif adalah peringkasan yang komprehensif (Merriam, 2009). Oleh karena itu, desain deskriptif-kualitatif ini sangat cocok untuk penelitian saat ini karena penelitian saya berkaitan dengan penyelidikan fonetik yang berarti bahwa ada sejumlah pengukuran dan analisis khusus yang dilakukan untuk mengeksplorasi kinerja fonetik guru secara menyeluruh yang akhirnya berakhir pada beberapa kesimpulan. </w:t>
      </w:r>
      <w:proofErr w:type="gramStart"/>
      <w:r w:rsidRPr="00396956">
        <w:t>kejelasan</w:t>
      </w:r>
      <w:proofErr w:type="gramEnd"/>
      <w:r w:rsidRPr="00396956">
        <w:t xml:space="preserve"> pengucapan mereka.</w:t>
      </w:r>
    </w:p>
    <w:p w:rsidR="00396956" w:rsidRDefault="00396956" w:rsidP="008D0E28">
      <w:pPr>
        <w:ind w:firstLine="720"/>
        <w:jc w:val="both"/>
      </w:pPr>
      <w:r w:rsidRPr="00396956">
        <w:t xml:space="preserve">Partisipan yang terlibat dalam penelitian ini adalah tiga orang staf pengajar yang bekerja </w:t>
      </w:r>
      <w:r w:rsidR="006F17FC">
        <w:t>di suatu lembaga</w:t>
      </w:r>
      <w:r w:rsidRPr="00396956">
        <w:t xml:space="preserve"> bahasa dan ditugaskan untuk menangani kelas EPC</w:t>
      </w:r>
      <w:r>
        <w:t xml:space="preserve"> (</w:t>
      </w:r>
      <w:r w:rsidRPr="006F17FC">
        <w:rPr>
          <w:i/>
        </w:rPr>
        <w:t>English Proficiency Class</w:t>
      </w:r>
      <w:r>
        <w:t>) setara dengan kelas bahasa inggris umum</w:t>
      </w:r>
      <w:r w:rsidRPr="00396956">
        <w:t xml:space="preserve">. Dalam mengumpulkan data, teknik pertama </w:t>
      </w:r>
      <w:r>
        <w:t>yang digunakan adalah</w:t>
      </w:r>
      <w:r w:rsidRPr="00396956">
        <w:t xml:space="preserve"> </w:t>
      </w:r>
      <w:proofErr w:type="gramStart"/>
      <w:r w:rsidRPr="00396956">
        <w:t>apa</w:t>
      </w:r>
      <w:proofErr w:type="gramEnd"/>
      <w:r w:rsidRPr="00396956">
        <w:t xml:space="preserve"> yang disebut</w:t>
      </w:r>
      <w:r>
        <w:t>m PIT (</w:t>
      </w:r>
      <w:r w:rsidRPr="006F17FC">
        <w:rPr>
          <w:i/>
        </w:rPr>
        <w:t>Pronunciation Intelligibility Test</w:t>
      </w:r>
      <w:r>
        <w:t>) berfokus pada</w:t>
      </w:r>
      <w:r w:rsidRPr="00396956">
        <w:t xml:space="preserve"> analisis kesalahan fonetik yang dilakukan</w:t>
      </w:r>
      <w:r w:rsidR="00190CDA">
        <w:t xml:space="preserve"> si penutur</w:t>
      </w:r>
      <w:r w:rsidRPr="00396956">
        <w:t xml:space="preserve"> untuk mengetahui seberapa jelas guru bahasa Inggris berbicara bah</w:t>
      </w:r>
      <w:r w:rsidR="006F17FC">
        <w:t>asa Inggris pada fitur segmentasi</w:t>
      </w:r>
      <w:r>
        <w:t xml:space="preserve"> (</w:t>
      </w:r>
      <w:r w:rsidRPr="00396956">
        <w:rPr>
          <w:i/>
        </w:rPr>
        <w:t>consonants and vowels</w:t>
      </w:r>
      <w:r>
        <w:t>)</w:t>
      </w:r>
      <w:r w:rsidRPr="00396956">
        <w:t>. Teknik pengumpulan data yang kedua adalah melalui tes IELTS</w:t>
      </w:r>
      <w:r>
        <w:t>.</w:t>
      </w:r>
    </w:p>
    <w:p w:rsidR="008D0E28" w:rsidRDefault="008D0E28" w:rsidP="008D0E28">
      <w:pPr>
        <w:ind w:firstLine="720"/>
        <w:jc w:val="both"/>
      </w:pPr>
      <w:r w:rsidRPr="008D0E28">
        <w:t xml:space="preserve">Dalam menganalisis PIT dan IELTS, semua jawaban yang diucapkan oleh masing-masing peserta </w:t>
      </w:r>
      <w:r>
        <w:t>rekam</w:t>
      </w:r>
      <w:r w:rsidRPr="008D0E28">
        <w:t xml:space="preserve">. Rekaman </w:t>
      </w:r>
      <w:r>
        <w:t xml:space="preserve">kemudian </w:t>
      </w:r>
      <w:r w:rsidRPr="008D0E28">
        <w:t xml:space="preserve">ditranskripsikan secara leksikal dan fonemik. Baik penutur asli </w:t>
      </w:r>
      <w:r>
        <w:t>(</w:t>
      </w:r>
      <w:r w:rsidRPr="008D0E28">
        <w:rPr>
          <w:i/>
        </w:rPr>
        <w:t>native-speaker Examiner)</w:t>
      </w:r>
      <w:r>
        <w:t xml:space="preserve"> </w:t>
      </w:r>
      <w:r w:rsidRPr="008D0E28">
        <w:t>bahasa Inggris dan saya mendengarkan dengan seksama setiap suara yang dihasilkan d</w:t>
      </w:r>
      <w:r>
        <w:t xml:space="preserve">i bagian ini dan menganalisis berbasis metode dan kaidah-kaidah yang dipakai dalam </w:t>
      </w:r>
      <w:r>
        <w:lastRenderedPageBreak/>
        <w:t>analisis fonemik segmental</w:t>
      </w:r>
      <w:r w:rsidRPr="008D0E28">
        <w:t>. Kemudian, keputusan dibuat bersama apakah sebagian besar suara yang dihasilkan oleh peserta dapat dipahami, kurang dapat dipahami, atau</w:t>
      </w:r>
      <w:r>
        <w:t xml:space="preserve"> tidak dapat dipahami</w:t>
      </w:r>
      <w:r w:rsidRPr="008D0E28">
        <w:t>.</w:t>
      </w:r>
    </w:p>
    <w:p w:rsidR="008D0E28" w:rsidRDefault="008D0E28" w:rsidP="008D0E28">
      <w:pPr>
        <w:ind w:firstLine="720"/>
        <w:jc w:val="both"/>
      </w:pPr>
    </w:p>
    <w:p w:rsidR="008D0E28" w:rsidRDefault="008D0E28" w:rsidP="00BF776F">
      <w:pPr>
        <w:pStyle w:val="ListParagraph"/>
        <w:numPr>
          <w:ilvl w:val="0"/>
          <w:numId w:val="5"/>
        </w:numPr>
        <w:jc w:val="both"/>
        <w:rPr>
          <w:b/>
        </w:rPr>
      </w:pPr>
      <w:r w:rsidRPr="00585CF6">
        <w:rPr>
          <w:b/>
        </w:rPr>
        <w:t>HASIL DAN PEMBAHASAN</w:t>
      </w:r>
    </w:p>
    <w:p w:rsidR="00585CF6" w:rsidRPr="00BF776F" w:rsidRDefault="00BF776F" w:rsidP="00BF776F">
      <w:pPr>
        <w:pStyle w:val="ListParagraph"/>
        <w:numPr>
          <w:ilvl w:val="1"/>
          <w:numId w:val="6"/>
        </w:numPr>
        <w:jc w:val="both"/>
        <w:rPr>
          <w:b/>
        </w:rPr>
      </w:pPr>
      <w:r>
        <w:rPr>
          <w:b/>
        </w:rPr>
        <w:t xml:space="preserve"> </w:t>
      </w:r>
      <w:r w:rsidR="00585CF6" w:rsidRPr="00BF776F">
        <w:rPr>
          <w:b/>
        </w:rPr>
        <w:t xml:space="preserve"> Hasil</w:t>
      </w:r>
    </w:p>
    <w:p w:rsidR="00585CF6" w:rsidRDefault="00585CF6" w:rsidP="00BF776F">
      <w:pPr>
        <w:ind w:firstLine="360"/>
        <w:jc w:val="both"/>
        <w:rPr>
          <w:b/>
        </w:rPr>
      </w:pPr>
      <w:r w:rsidRPr="00585CF6">
        <w:t>Tiga dari peserta diinstruksikan untuk membaca sejumlah kalimat dengan suara keras. Daftar kalimat dirancang oleh Szpyra-Kozlowska (2010) berdasarkan kata-kata yang paling sering salah diucapkan yang diucapkan oleh penutur bahasa Inggris non-penutur asli menengah atas hingga mahir, terlepas dari profesi mereka sebagai guru atau siswa. Saya telah mentranskripsikan setiap kalimat secara fonemik menjadi simbol fonemik sehubungan dengan pengucapan yang Diterima (RP) dan Pengucapan Umum Amerika (GR) untuk memfasilitasi saya dalam membandingkan pengucapan standar dengan data pengucapan yang diperoleh dari tiga guru pilihan tersebut</w:t>
      </w:r>
      <w:r w:rsidRPr="00585CF6">
        <w:rPr>
          <w:b/>
        </w:rPr>
        <w:t>.</w:t>
      </w:r>
    </w:p>
    <w:p w:rsidR="006F17FC" w:rsidRDefault="006F17FC" w:rsidP="00BF776F">
      <w:pPr>
        <w:ind w:firstLine="360"/>
        <w:jc w:val="both"/>
        <w:rPr>
          <w:b/>
        </w:rPr>
      </w:pPr>
    </w:p>
    <w:p w:rsidR="00C40F3C" w:rsidRPr="006F17FC" w:rsidRDefault="00531AEA" w:rsidP="006F17FC">
      <w:pPr>
        <w:ind w:left="360" w:firstLine="360"/>
        <w:jc w:val="center"/>
      </w:pPr>
      <w:r>
        <w:t>Tabel</w:t>
      </w:r>
      <w:r w:rsidR="007017E7">
        <w:t xml:space="preserve"> 1.</w:t>
      </w:r>
      <w:r>
        <w:t xml:space="preserve"> </w:t>
      </w:r>
      <w:r w:rsidR="006F17FC" w:rsidRPr="006F17FC">
        <w:t xml:space="preserve"> Hasil fonemik seg</w:t>
      </w:r>
      <w:r w:rsidR="006F17FC">
        <w:t>mental dalam 10 kalimat terpilih</w:t>
      </w:r>
    </w:p>
    <w:tbl>
      <w:tblPr>
        <w:tblW w:w="0" w:type="auto"/>
        <w:tblInd w:w="-5" w:type="dxa"/>
        <w:tblLayout w:type="fixed"/>
        <w:tblLook w:val="04A0" w:firstRow="1" w:lastRow="0" w:firstColumn="1" w:lastColumn="0" w:noHBand="0" w:noVBand="1"/>
      </w:tblPr>
      <w:tblGrid>
        <w:gridCol w:w="1786"/>
        <w:gridCol w:w="2750"/>
        <w:gridCol w:w="1985"/>
        <w:gridCol w:w="86"/>
        <w:gridCol w:w="1473"/>
        <w:gridCol w:w="284"/>
        <w:gridCol w:w="1280"/>
      </w:tblGrid>
      <w:tr w:rsidR="00585CF6" w:rsidRPr="006C57F6" w:rsidTr="007017E7">
        <w:tc>
          <w:tcPr>
            <w:tcW w:w="4536" w:type="dxa"/>
            <w:gridSpan w:val="2"/>
            <w:tcBorders>
              <w:left w:val="nil"/>
              <w:bottom w:val="single" w:sz="4" w:space="0" w:color="auto"/>
              <w:right w:val="nil"/>
            </w:tcBorders>
          </w:tcPr>
          <w:p w:rsidR="00585CF6" w:rsidRPr="006F17FC" w:rsidRDefault="007017E7" w:rsidP="00585CF6">
            <w:pPr>
              <w:ind w:hanging="250"/>
              <w:jc w:val="center"/>
              <w:rPr>
                <w:b/>
                <w:szCs w:val="24"/>
              </w:rPr>
            </w:pPr>
            <w:r>
              <w:rPr>
                <w:b/>
                <w:szCs w:val="24"/>
              </w:rPr>
              <w:t>Kalimat</w:t>
            </w:r>
          </w:p>
        </w:tc>
        <w:tc>
          <w:tcPr>
            <w:tcW w:w="1985" w:type="dxa"/>
            <w:tcBorders>
              <w:left w:val="nil"/>
              <w:bottom w:val="single" w:sz="4" w:space="0" w:color="auto"/>
              <w:right w:val="nil"/>
            </w:tcBorders>
          </w:tcPr>
          <w:p w:rsidR="00585CF6" w:rsidRPr="006F17FC" w:rsidRDefault="007017E7" w:rsidP="00077604">
            <w:pPr>
              <w:jc w:val="center"/>
              <w:rPr>
                <w:b/>
                <w:szCs w:val="24"/>
              </w:rPr>
            </w:pPr>
            <w:r>
              <w:rPr>
                <w:b/>
                <w:szCs w:val="24"/>
              </w:rPr>
              <w:t>Peserta 1</w:t>
            </w:r>
          </w:p>
        </w:tc>
        <w:tc>
          <w:tcPr>
            <w:tcW w:w="1843" w:type="dxa"/>
            <w:gridSpan w:val="3"/>
            <w:tcBorders>
              <w:left w:val="nil"/>
              <w:bottom w:val="single" w:sz="4" w:space="0" w:color="auto"/>
              <w:right w:val="nil"/>
            </w:tcBorders>
          </w:tcPr>
          <w:p w:rsidR="00585CF6" w:rsidRPr="006F17FC" w:rsidRDefault="007017E7" w:rsidP="00077604">
            <w:pPr>
              <w:jc w:val="center"/>
              <w:rPr>
                <w:b/>
                <w:szCs w:val="24"/>
              </w:rPr>
            </w:pPr>
            <w:r>
              <w:rPr>
                <w:b/>
                <w:szCs w:val="24"/>
              </w:rPr>
              <w:t>Peserta</w:t>
            </w:r>
            <w:r w:rsidR="00585CF6" w:rsidRPr="006F17FC">
              <w:rPr>
                <w:b/>
                <w:szCs w:val="24"/>
              </w:rPr>
              <w:t xml:space="preserve"> </w:t>
            </w:r>
            <w:r>
              <w:rPr>
                <w:b/>
                <w:szCs w:val="24"/>
              </w:rPr>
              <w:t xml:space="preserve">  </w:t>
            </w:r>
            <w:r w:rsidR="00585CF6" w:rsidRPr="006F17FC">
              <w:rPr>
                <w:b/>
                <w:szCs w:val="24"/>
              </w:rPr>
              <w:t>2</w:t>
            </w:r>
          </w:p>
        </w:tc>
        <w:tc>
          <w:tcPr>
            <w:tcW w:w="1275" w:type="dxa"/>
            <w:tcBorders>
              <w:left w:val="nil"/>
              <w:bottom w:val="single" w:sz="4" w:space="0" w:color="auto"/>
              <w:right w:val="nil"/>
            </w:tcBorders>
          </w:tcPr>
          <w:p w:rsidR="00585CF6" w:rsidRPr="006F17FC" w:rsidRDefault="007017E7" w:rsidP="00077604">
            <w:pPr>
              <w:jc w:val="center"/>
              <w:rPr>
                <w:b/>
                <w:szCs w:val="24"/>
              </w:rPr>
            </w:pPr>
            <w:r>
              <w:rPr>
                <w:b/>
                <w:szCs w:val="24"/>
              </w:rPr>
              <w:t>Peserta  3</w:t>
            </w:r>
          </w:p>
        </w:tc>
      </w:tr>
      <w:tr w:rsidR="00585CF6" w:rsidRPr="00585CF6" w:rsidTr="007017E7">
        <w:tc>
          <w:tcPr>
            <w:tcW w:w="4536" w:type="dxa"/>
            <w:gridSpan w:val="2"/>
            <w:tcBorders>
              <w:left w:val="nil"/>
              <w:right w:val="nil"/>
            </w:tcBorders>
          </w:tcPr>
          <w:p w:rsidR="00585CF6" w:rsidRPr="006F17FC" w:rsidRDefault="00585CF6" w:rsidP="00077604">
            <w:pPr>
              <w:rPr>
                <w:rFonts w:cs="Times New Roman"/>
                <w:sz w:val="20"/>
                <w:szCs w:val="20"/>
              </w:rPr>
            </w:pPr>
            <w:r w:rsidRPr="006F17FC">
              <w:rPr>
                <w:rFonts w:cs="Times New Roman"/>
                <w:sz w:val="20"/>
                <w:szCs w:val="20"/>
              </w:rPr>
              <w:t>They had soup, then steak with lettuce and other vegetables for dinner.</w:t>
            </w:r>
          </w:p>
          <w:p w:rsidR="00585CF6" w:rsidRPr="006F17FC" w:rsidRDefault="00585CF6" w:rsidP="00077604">
            <w:pPr>
              <w:rPr>
                <w:rFonts w:cs="Times New Roman"/>
                <w:sz w:val="20"/>
                <w:szCs w:val="20"/>
              </w:rPr>
            </w:pPr>
          </w:p>
        </w:tc>
        <w:tc>
          <w:tcPr>
            <w:tcW w:w="1985" w:type="dxa"/>
            <w:tcBorders>
              <w:left w:val="nil"/>
              <w:right w:val="nil"/>
            </w:tcBorders>
          </w:tcPr>
          <w:p w:rsidR="00585CF6" w:rsidRPr="006F17FC" w:rsidRDefault="00585CF6" w:rsidP="00077604">
            <w:pPr>
              <w:rPr>
                <w:rFonts w:cs="Times New Roman"/>
                <w:sz w:val="20"/>
                <w:szCs w:val="20"/>
              </w:rPr>
            </w:pPr>
            <w:proofErr w:type="gramStart"/>
            <w:r w:rsidRPr="006F17FC">
              <w:rPr>
                <w:rFonts w:cs="Times New Roman"/>
                <w:sz w:val="20"/>
                <w:szCs w:val="20"/>
              </w:rPr>
              <w:t>deɪ</w:t>
            </w:r>
            <w:proofErr w:type="gramEnd"/>
            <w:r w:rsidRPr="006F17FC">
              <w:rPr>
                <w:rFonts w:cs="Times New Roman"/>
                <w:sz w:val="20"/>
                <w:szCs w:val="20"/>
              </w:rPr>
              <w:t xml:space="preserve"> hed soap, dein steɪk wɪt </w:t>
            </w:r>
            <w:r w:rsidRPr="006F17FC">
              <w:rPr>
                <w:rFonts w:cs="Times New Roman"/>
                <w:color w:val="373737"/>
                <w:sz w:val="20"/>
                <w:szCs w:val="20"/>
                <w:shd w:val="clear" w:color="auto" w:fill="FFFFFF"/>
              </w:rPr>
              <w:t>letju:s</w:t>
            </w:r>
            <w:r w:rsidRPr="006F17FC">
              <w:rPr>
                <w:rFonts w:cs="Times New Roman"/>
                <w:sz w:val="20"/>
                <w:szCs w:val="20"/>
              </w:rPr>
              <w:t>en ˈʌdə</w:t>
            </w:r>
            <w:r w:rsidRPr="006F17FC">
              <w:rPr>
                <w:rFonts w:cs="Times New Roman"/>
                <w:color w:val="373737"/>
                <w:sz w:val="20"/>
                <w:szCs w:val="20"/>
                <w:shd w:val="clear" w:color="auto" w:fill="FFFFFF"/>
              </w:rPr>
              <w:t>vɛʤetəbəlz.</w:t>
            </w:r>
            <w:r w:rsidRPr="006F17FC">
              <w:rPr>
                <w:rFonts w:cs="Times New Roman"/>
                <w:sz w:val="20"/>
                <w:szCs w:val="20"/>
              </w:rPr>
              <w:t xml:space="preserve"> fɔː ˈdɪnə.</w:t>
            </w:r>
          </w:p>
        </w:tc>
        <w:tc>
          <w:tcPr>
            <w:tcW w:w="1843" w:type="dxa"/>
            <w:gridSpan w:val="3"/>
            <w:tcBorders>
              <w:left w:val="nil"/>
              <w:right w:val="nil"/>
            </w:tcBorders>
          </w:tcPr>
          <w:p w:rsidR="00585CF6" w:rsidRPr="006F17FC" w:rsidRDefault="00585CF6" w:rsidP="00077604">
            <w:pPr>
              <w:rPr>
                <w:rFonts w:cs="Times New Roman"/>
                <w:sz w:val="20"/>
                <w:szCs w:val="20"/>
              </w:rPr>
            </w:pPr>
            <w:proofErr w:type="gramStart"/>
            <w:r w:rsidRPr="006F17FC">
              <w:rPr>
                <w:rFonts w:cs="Times New Roman"/>
                <w:sz w:val="20"/>
                <w:szCs w:val="20"/>
              </w:rPr>
              <w:t>deɪ</w:t>
            </w:r>
            <w:proofErr w:type="gramEnd"/>
            <w:r w:rsidRPr="006F17FC">
              <w:rPr>
                <w:rFonts w:cs="Times New Roman"/>
                <w:sz w:val="20"/>
                <w:szCs w:val="20"/>
              </w:rPr>
              <w:t xml:space="preserve"> həd sup, dɛn steɪk wɪt ˈlɛtəs ənd ˈʌdər ˈvɛʤtəbəlzfestebel fər ˈdɪnər.</w:t>
            </w:r>
          </w:p>
        </w:tc>
        <w:tc>
          <w:tcPr>
            <w:tcW w:w="1275" w:type="dxa"/>
            <w:tcBorders>
              <w:left w:val="nil"/>
              <w:right w:val="nil"/>
            </w:tcBorders>
          </w:tcPr>
          <w:p w:rsidR="00585CF6" w:rsidRPr="006F17FC" w:rsidRDefault="00585CF6" w:rsidP="00077604">
            <w:pPr>
              <w:rPr>
                <w:rFonts w:cs="Times New Roman"/>
                <w:sz w:val="20"/>
                <w:szCs w:val="20"/>
              </w:rPr>
            </w:pPr>
            <w:proofErr w:type="gramStart"/>
            <w:r w:rsidRPr="006F17FC">
              <w:rPr>
                <w:rFonts w:cs="Times New Roman"/>
                <w:sz w:val="20"/>
                <w:szCs w:val="20"/>
              </w:rPr>
              <w:t>deɪ</w:t>
            </w:r>
            <w:proofErr w:type="gramEnd"/>
            <w:r w:rsidRPr="006F17FC">
              <w:rPr>
                <w:rFonts w:cs="Times New Roman"/>
                <w:sz w:val="20"/>
                <w:szCs w:val="20"/>
              </w:rPr>
              <w:t xml:space="preserve"> həd sup, dɛn steɪk wɪt ˈlɛtəs ənd ˈʌdərfestebel fər ˈdɪnər.</w:t>
            </w:r>
          </w:p>
        </w:tc>
      </w:tr>
      <w:tr w:rsidR="00585CF6" w:rsidRPr="00585CF6" w:rsidTr="007017E7">
        <w:tc>
          <w:tcPr>
            <w:tcW w:w="4536" w:type="dxa"/>
            <w:gridSpan w:val="2"/>
            <w:tcBorders>
              <w:left w:val="nil"/>
              <w:right w:val="nil"/>
            </w:tcBorders>
          </w:tcPr>
          <w:p w:rsidR="00585CF6" w:rsidRPr="006F17FC" w:rsidRDefault="00585CF6" w:rsidP="00077604">
            <w:pPr>
              <w:rPr>
                <w:rFonts w:cs="Times New Roman"/>
                <w:sz w:val="20"/>
                <w:szCs w:val="20"/>
              </w:rPr>
            </w:pPr>
            <w:r w:rsidRPr="006F17FC">
              <w:rPr>
                <w:rFonts w:cs="Times New Roman"/>
                <w:sz w:val="20"/>
                <w:szCs w:val="20"/>
              </w:rPr>
              <w:t>They saw a dead guinea pig in the meadow near the house opposite ours.</w:t>
            </w:r>
          </w:p>
          <w:p w:rsidR="00585CF6" w:rsidRPr="006F17FC" w:rsidRDefault="00585CF6" w:rsidP="00077604">
            <w:pPr>
              <w:rPr>
                <w:rFonts w:cs="Times New Roman"/>
                <w:sz w:val="20"/>
                <w:szCs w:val="20"/>
              </w:rPr>
            </w:pPr>
          </w:p>
        </w:tc>
        <w:tc>
          <w:tcPr>
            <w:tcW w:w="1985" w:type="dxa"/>
            <w:tcBorders>
              <w:left w:val="nil"/>
              <w:right w:val="nil"/>
            </w:tcBorders>
          </w:tcPr>
          <w:p w:rsidR="00585CF6" w:rsidRPr="006F17FC" w:rsidRDefault="00585CF6" w:rsidP="00077604">
            <w:pPr>
              <w:rPr>
                <w:rFonts w:cs="Times New Roman"/>
                <w:sz w:val="20"/>
                <w:szCs w:val="20"/>
              </w:rPr>
            </w:pPr>
            <w:proofErr w:type="gramStart"/>
            <w:r w:rsidRPr="006F17FC">
              <w:rPr>
                <w:rFonts w:cs="Times New Roman"/>
                <w:sz w:val="20"/>
                <w:szCs w:val="20"/>
              </w:rPr>
              <w:t>deɪ</w:t>
            </w:r>
            <w:proofErr w:type="gramEnd"/>
            <w:r w:rsidRPr="006F17FC">
              <w:rPr>
                <w:rFonts w:cs="Times New Roman"/>
                <w:sz w:val="20"/>
                <w:szCs w:val="20"/>
              </w:rPr>
              <w:t xml:space="preserve"> sɔː ə dæd ʤinɪə </w:t>
            </w:r>
            <w:r w:rsidRPr="006F17FC">
              <w:rPr>
                <w:rFonts w:eastAsia="Times New Roman" w:cs="Times New Roman"/>
                <w:b/>
                <w:bCs/>
                <w:color w:val="000000" w:themeColor="text1"/>
                <w:sz w:val="20"/>
                <w:szCs w:val="20"/>
                <w:shd w:val="clear" w:color="auto" w:fill="FFFFFF"/>
              </w:rPr>
              <w:t>piːk</w:t>
            </w:r>
            <w:r w:rsidRPr="006F17FC">
              <w:rPr>
                <w:rFonts w:cs="Times New Roman"/>
                <w:sz w:val="20"/>
                <w:szCs w:val="20"/>
              </w:rPr>
              <w:t xml:space="preserve"> ɪn də ˈmɛdəʊ nɪədə haʊs ˈɒpəzɪt ˈaʊəz.</w:t>
            </w:r>
          </w:p>
        </w:tc>
        <w:tc>
          <w:tcPr>
            <w:tcW w:w="1843" w:type="dxa"/>
            <w:gridSpan w:val="3"/>
            <w:tcBorders>
              <w:left w:val="nil"/>
              <w:right w:val="nil"/>
            </w:tcBorders>
          </w:tcPr>
          <w:p w:rsidR="00585CF6" w:rsidRPr="006F17FC" w:rsidRDefault="00585CF6" w:rsidP="00077604">
            <w:pPr>
              <w:rPr>
                <w:rFonts w:cs="Times New Roman"/>
                <w:sz w:val="20"/>
                <w:szCs w:val="20"/>
              </w:rPr>
            </w:pPr>
            <w:proofErr w:type="gramStart"/>
            <w:r w:rsidRPr="006F17FC">
              <w:rPr>
                <w:rFonts w:cs="Times New Roman"/>
                <w:sz w:val="20"/>
                <w:szCs w:val="20"/>
              </w:rPr>
              <w:t>deɪ</w:t>
            </w:r>
            <w:proofErr w:type="gramEnd"/>
            <w:r w:rsidRPr="006F17FC">
              <w:rPr>
                <w:rFonts w:cs="Times New Roman"/>
                <w:sz w:val="20"/>
                <w:szCs w:val="20"/>
              </w:rPr>
              <w:t xml:space="preserve"> s</w:t>
            </w:r>
            <w:r w:rsidRPr="006F17FC">
              <w:rPr>
                <w:rFonts w:eastAsia="Times New Roman" w:cs="Times New Roman"/>
                <w:b/>
                <w:bCs/>
                <w:color w:val="000000" w:themeColor="text1"/>
                <w:sz w:val="20"/>
                <w:szCs w:val="20"/>
                <w:shd w:val="clear" w:color="auto" w:fill="FFFFFF"/>
              </w:rPr>
              <w:t>əʊ</w:t>
            </w:r>
            <w:r w:rsidRPr="006F17FC">
              <w:rPr>
                <w:rFonts w:cs="Times New Roman"/>
                <w:sz w:val="20"/>
                <w:szCs w:val="20"/>
              </w:rPr>
              <w:t xml:space="preserve"> ə dɛd ˈ</w:t>
            </w:r>
            <w:r w:rsidRPr="006F17FC">
              <w:rPr>
                <w:rFonts w:eastAsia="Times New Roman" w:cs="Times New Roman"/>
                <w:b/>
                <w:bCs/>
                <w:color w:val="000000" w:themeColor="text1"/>
                <w:sz w:val="20"/>
                <w:szCs w:val="20"/>
                <w:shd w:val="clear" w:color="auto" w:fill="FFFFFF"/>
              </w:rPr>
              <w:t>“kinɪə”.</w:t>
            </w:r>
            <w:r w:rsidRPr="006F17FC">
              <w:rPr>
                <w:rFonts w:cs="Times New Roman"/>
                <w:sz w:val="20"/>
                <w:szCs w:val="20"/>
              </w:rPr>
              <w:t xml:space="preserve"> pɪg ɪn də ˈmɛˌdoʊ nɪr də haʊs ˈɒpəzɪt ˈaʊərz</w:t>
            </w:r>
          </w:p>
        </w:tc>
        <w:tc>
          <w:tcPr>
            <w:tcW w:w="1275" w:type="dxa"/>
            <w:tcBorders>
              <w:left w:val="nil"/>
              <w:right w:val="nil"/>
            </w:tcBorders>
          </w:tcPr>
          <w:p w:rsidR="00585CF6" w:rsidRPr="006F17FC" w:rsidRDefault="00585CF6" w:rsidP="00077604">
            <w:pPr>
              <w:rPr>
                <w:rFonts w:cs="Times New Roman"/>
                <w:sz w:val="20"/>
                <w:szCs w:val="20"/>
              </w:rPr>
            </w:pPr>
            <w:proofErr w:type="gramStart"/>
            <w:r w:rsidRPr="006F17FC">
              <w:rPr>
                <w:rFonts w:cs="Times New Roman"/>
                <w:sz w:val="20"/>
                <w:szCs w:val="20"/>
              </w:rPr>
              <w:t>deɪ</w:t>
            </w:r>
            <w:proofErr w:type="gramEnd"/>
            <w:r w:rsidRPr="006F17FC">
              <w:rPr>
                <w:rFonts w:cs="Times New Roman"/>
                <w:sz w:val="20"/>
                <w:szCs w:val="20"/>
              </w:rPr>
              <w:t xml:space="preserve"> səʊ ə dɛd ˈ“kinɪə”. pɪg ɪn də ˈmɛˌdoʊ nɪr də haʊs ofosit ˈaʊərz</w:t>
            </w:r>
          </w:p>
        </w:tc>
      </w:tr>
      <w:tr w:rsidR="00585CF6" w:rsidRPr="00585CF6" w:rsidTr="007017E7">
        <w:tc>
          <w:tcPr>
            <w:tcW w:w="4536" w:type="dxa"/>
            <w:gridSpan w:val="2"/>
            <w:tcBorders>
              <w:left w:val="nil"/>
              <w:right w:val="nil"/>
            </w:tcBorders>
          </w:tcPr>
          <w:p w:rsidR="00585CF6" w:rsidRPr="006F17FC" w:rsidRDefault="00585CF6" w:rsidP="00077604">
            <w:pPr>
              <w:rPr>
                <w:rFonts w:cs="Times New Roman"/>
                <w:sz w:val="20"/>
                <w:szCs w:val="20"/>
              </w:rPr>
            </w:pPr>
            <w:r w:rsidRPr="006F17FC">
              <w:rPr>
                <w:rFonts w:cs="Times New Roman"/>
                <w:sz w:val="20"/>
                <w:szCs w:val="20"/>
              </w:rPr>
              <w:t>Foreign tourists don’t like the climate here.</w:t>
            </w:r>
          </w:p>
        </w:tc>
        <w:tc>
          <w:tcPr>
            <w:tcW w:w="1985" w:type="dxa"/>
            <w:tcBorders>
              <w:left w:val="nil"/>
              <w:right w:val="nil"/>
            </w:tcBorders>
          </w:tcPr>
          <w:p w:rsidR="00585CF6" w:rsidRPr="006F17FC" w:rsidRDefault="00585CF6" w:rsidP="00077604">
            <w:pPr>
              <w:rPr>
                <w:rFonts w:cs="Times New Roman"/>
                <w:sz w:val="20"/>
                <w:szCs w:val="20"/>
              </w:rPr>
            </w:pPr>
            <w:r w:rsidRPr="006F17FC">
              <w:rPr>
                <w:rFonts w:cs="Times New Roman"/>
                <w:sz w:val="20"/>
                <w:szCs w:val="20"/>
              </w:rPr>
              <w:t>ˈfɒrɪn ˈtʊərɪsts dəʊnt laɪk ðə ˈklaɪmɪt hɪə.</w:t>
            </w:r>
          </w:p>
          <w:p w:rsidR="00585CF6" w:rsidRPr="006F17FC" w:rsidRDefault="00585CF6" w:rsidP="00077604">
            <w:pPr>
              <w:rPr>
                <w:rFonts w:cs="Times New Roman"/>
                <w:sz w:val="20"/>
                <w:szCs w:val="20"/>
              </w:rPr>
            </w:pPr>
          </w:p>
          <w:p w:rsidR="00585CF6" w:rsidRPr="006F17FC" w:rsidRDefault="00585CF6" w:rsidP="00077604">
            <w:pPr>
              <w:rPr>
                <w:rFonts w:cs="Times New Roman"/>
                <w:sz w:val="20"/>
                <w:szCs w:val="20"/>
              </w:rPr>
            </w:pPr>
          </w:p>
        </w:tc>
        <w:tc>
          <w:tcPr>
            <w:tcW w:w="1843" w:type="dxa"/>
            <w:gridSpan w:val="3"/>
            <w:tcBorders>
              <w:left w:val="nil"/>
              <w:right w:val="nil"/>
            </w:tcBorders>
          </w:tcPr>
          <w:p w:rsidR="00585CF6" w:rsidRPr="006F17FC" w:rsidRDefault="00585CF6" w:rsidP="00077604">
            <w:pPr>
              <w:rPr>
                <w:rFonts w:cs="Times New Roman"/>
                <w:sz w:val="20"/>
                <w:szCs w:val="20"/>
              </w:rPr>
            </w:pPr>
            <w:r w:rsidRPr="006F17FC">
              <w:rPr>
                <w:rFonts w:cs="Times New Roman"/>
                <w:sz w:val="20"/>
                <w:szCs w:val="20"/>
              </w:rPr>
              <w:t>ˈfɔrən ˈtʊrəsts doʊnt laɪk ðə ˈklaɪmət hir</w:t>
            </w:r>
          </w:p>
        </w:tc>
        <w:tc>
          <w:tcPr>
            <w:tcW w:w="1275" w:type="dxa"/>
            <w:tcBorders>
              <w:left w:val="nil"/>
              <w:right w:val="nil"/>
            </w:tcBorders>
          </w:tcPr>
          <w:p w:rsidR="00585CF6" w:rsidRPr="006F17FC" w:rsidRDefault="00585CF6" w:rsidP="00077604">
            <w:pPr>
              <w:rPr>
                <w:rFonts w:cs="Times New Roman"/>
                <w:sz w:val="20"/>
                <w:szCs w:val="20"/>
              </w:rPr>
            </w:pPr>
            <w:r w:rsidRPr="006F17FC">
              <w:rPr>
                <w:rFonts w:cs="Times New Roman"/>
                <w:sz w:val="20"/>
                <w:szCs w:val="20"/>
              </w:rPr>
              <w:t>ˈfɔrən ˈtʊrəsts doʊnt laɪk ðə ˈklaɪmət hir</w:t>
            </w:r>
          </w:p>
        </w:tc>
      </w:tr>
      <w:tr w:rsidR="00585CF6" w:rsidRPr="00585CF6" w:rsidTr="007017E7">
        <w:tc>
          <w:tcPr>
            <w:tcW w:w="4536" w:type="dxa"/>
            <w:gridSpan w:val="2"/>
            <w:tcBorders>
              <w:left w:val="nil"/>
              <w:right w:val="nil"/>
            </w:tcBorders>
          </w:tcPr>
          <w:p w:rsidR="00585CF6" w:rsidRPr="006F17FC" w:rsidRDefault="00585CF6" w:rsidP="00077604">
            <w:pPr>
              <w:rPr>
                <w:rFonts w:cs="Times New Roman"/>
                <w:sz w:val="20"/>
                <w:szCs w:val="20"/>
              </w:rPr>
            </w:pPr>
            <w:r w:rsidRPr="006F17FC">
              <w:rPr>
                <w:rFonts w:cs="Times New Roman"/>
                <w:sz w:val="20"/>
                <w:szCs w:val="20"/>
              </w:rPr>
              <w:t>A colonel and a captain worked on a radar.</w:t>
            </w:r>
          </w:p>
        </w:tc>
        <w:tc>
          <w:tcPr>
            <w:tcW w:w="1985" w:type="dxa"/>
            <w:tcBorders>
              <w:left w:val="nil"/>
              <w:right w:val="nil"/>
            </w:tcBorders>
          </w:tcPr>
          <w:p w:rsidR="00585CF6" w:rsidRPr="006F17FC" w:rsidRDefault="00585CF6" w:rsidP="00077604">
            <w:pPr>
              <w:rPr>
                <w:rFonts w:cs="Times New Roman"/>
                <w:sz w:val="20"/>
                <w:szCs w:val="20"/>
              </w:rPr>
            </w:pPr>
            <w:r w:rsidRPr="006F17FC">
              <w:rPr>
                <w:rFonts w:cs="Times New Roman"/>
                <w:sz w:val="20"/>
                <w:szCs w:val="20"/>
              </w:rPr>
              <w:t>ə</w:t>
            </w:r>
            <w:r w:rsidRPr="006F17FC">
              <w:rPr>
                <w:rFonts w:eastAsia="Times New Roman" w:cs="Times New Roman"/>
                <w:bCs/>
                <w:color w:val="000000" w:themeColor="text1"/>
                <w:sz w:val="20"/>
                <w:szCs w:val="20"/>
                <w:shd w:val="clear" w:color="auto" w:fill="FFFFFF"/>
              </w:rPr>
              <w:t>ˈkelenel”</w:t>
            </w:r>
            <w:r w:rsidRPr="006F17FC">
              <w:rPr>
                <w:rFonts w:cs="Times New Roman"/>
                <w:sz w:val="20"/>
                <w:szCs w:val="20"/>
              </w:rPr>
              <w:t xml:space="preserve"> ænd ə ˈkəpteɪn wɜːkt ɒn ə ˈ</w:t>
            </w:r>
            <w:r w:rsidRPr="006F17FC">
              <w:rPr>
                <w:rFonts w:eastAsia="Times New Roman" w:cs="Times New Roman"/>
                <w:bCs/>
                <w:color w:val="000000" w:themeColor="text1"/>
                <w:sz w:val="20"/>
                <w:szCs w:val="20"/>
                <w:shd w:val="clear" w:color="auto" w:fill="FFFFFF"/>
              </w:rPr>
              <w:t>reð</w:t>
            </w:r>
            <w:r w:rsidRPr="006F17FC">
              <w:rPr>
                <w:rFonts w:cs="Times New Roman"/>
                <w:sz w:val="20"/>
                <w:szCs w:val="20"/>
              </w:rPr>
              <w:t>ə</w:t>
            </w:r>
          </w:p>
          <w:p w:rsidR="00585CF6" w:rsidRPr="006F17FC" w:rsidRDefault="00585CF6" w:rsidP="00077604">
            <w:pPr>
              <w:rPr>
                <w:rFonts w:cs="Times New Roman"/>
                <w:sz w:val="20"/>
                <w:szCs w:val="20"/>
              </w:rPr>
            </w:pPr>
          </w:p>
        </w:tc>
        <w:tc>
          <w:tcPr>
            <w:tcW w:w="1843" w:type="dxa"/>
            <w:gridSpan w:val="3"/>
            <w:tcBorders>
              <w:left w:val="nil"/>
              <w:right w:val="nil"/>
            </w:tcBorders>
          </w:tcPr>
          <w:p w:rsidR="00585CF6" w:rsidRPr="006F17FC" w:rsidRDefault="00585CF6" w:rsidP="00077604">
            <w:pPr>
              <w:rPr>
                <w:rFonts w:cs="Times New Roman"/>
                <w:sz w:val="20"/>
                <w:szCs w:val="20"/>
              </w:rPr>
            </w:pPr>
            <w:r w:rsidRPr="006F17FC">
              <w:rPr>
                <w:rFonts w:cs="Times New Roman"/>
                <w:sz w:val="20"/>
                <w:szCs w:val="20"/>
              </w:rPr>
              <w:t>ə ˈ</w:t>
            </w:r>
            <w:r w:rsidRPr="006F17FC">
              <w:rPr>
                <w:rFonts w:eastAsia="Times New Roman" w:cs="Times New Roman"/>
                <w:bCs/>
                <w:color w:val="000000" w:themeColor="text1"/>
                <w:sz w:val="20"/>
                <w:szCs w:val="20"/>
                <w:shd w:val="clear" w:color="auto" w:fill="FFFFFF"/>
              </w:rPr>
              <w:t xml:space="preserve"> ˈkelenel</w:t>
            </w:r>
            <w:r w:rsidRPr="006F17FC">
              <w:rPr>
                <w:rFonts w:cs="Times New Roman"/>
                <w:sz w:val="20"/>
                <w:szCs w:val="20"/>
              </w:rPr>
              <w:t xml:space="preserve"> ənd ə ˈkæptən wɜrkt ɑn ə ˈreɪˌ</w:t>
            </w:r>
            <w:r w:rsidRPr="006F17FC">
              <w:rPr>
                <w:rFonts w:eastAsia="Times New Roman" w:cs="Times New Roman"/>
                <w:bCs/>
                <w:color w:val="000000" w:themeColor="text1"/>
                <w:sz w:val="20"/>
                <w:szCs w:val="20"/>
                <w:shd w:val="clear" w:color="auto" w:fill="FFFFFF"/>
              </w:rPr>
              <w:t>d</w:t>
            </w:r>
            <w:r w:rsidRPr="006F17FC">
              <w:rPr>
                <w:rFonts w:eastAsia="Times New Roman" w:cs="Times New Roman"/>
                <w:bCs/>
                <w:color w:val="000000" w:themeColor="text1"/>
                <w:sz w:val="20"/>
                <w:szCs w:val="20"/>
              </w:rPr>
              <w:t>ər</w:t>
            </w:r>
          </w:p>
        </w:tc>
        <w:tc>
          <w:tcPr>
            <w:tcW w:w="1275" w:type="dxa"/>
            <w:tcBorders>
              <w:left w:val="nil"/>
              <w:right w:val="nil"/>
            </w:tcBorders>
          </w:tcPr>
          <w:p w:rsidR="00585CF6" w:rsidRPr="006F17FC" w:rsidRDefault="00585CF6" w:rsidP="00077604">
            <w:pPr>
              <w:rPr>
                <w:rFonts w:cs="Times New Roman"/>
                <w:sz w:val="20"/>
                <w:szCs w:val="20"/>
              </w:rPr>
            </w:pPr>
            <w:r w:rsidRPr="006F17FC">
              <w:rPr>
                <w:rFonts w:cs="Times New Roman"/>
                <w:sz w:val="20"/>
                <w:szCs w:val="20"/>
              </w:rPr>
              <w:t>ə ˈkelenəl ənd ə ˈkæptən wɜrkt ɑn ə ˈreɪˌ.dər</w:t>
            </w:r>
          </w:p>
        </w:tc>
      </w:tr>
      <w:tr w:rsidR="00585CF6" w:rsidRPr="00585CF6" w:rsidTr="007017E7">
        <w:tc>
          <w:tcPr>
            <w:tcW w:w="4536" w:type="dxa"/>
            <w:gridSpan w:val="2"/>
            <w:tcBorders>
              <w:left w:val="nil"/>
              <w:right w:val="nil"/>
            </w:tcBorders>
          </w:tcPr>
          <w:p w:rsidR="00585CF6" w:rsidRPr="006F17FC" w:rsidRDefault="00585CF6" w:rsidP="00077604">
            <w:pPr>
              <w:rPr>
                <w:rFonts w:cs="Times New Roman"/>
                <w:sz w:val="20"/>
                <w:szCs w:val="20"/>
              </w:rPr>
            </w:pPr>
            <w:r w:rsidRPr="006F17FC">
              <w:rPr>
                <w:rFonts w:cs="Times New Roman"/>
                <w:sz w:val="20"/>
                <w:szCs w:val="20"/>
              </w:rPr>
              <w:t>They examined his certificate and said he wasn’t capable of writing the preface to this author’s book.</w:t>
            </w:r>
          </w:p>
          <w:p w:rsidR="00585CF6" w:rsidRPr="006F17FC" w:rsidRDefault="00585CF6" w:rsidP="00077604">
            <w:pPr>
              <w:rPr>
                <w:rFonts w:cs="Times New Roman"/>
                <w:sz w:val="20"/>
                <w:szCs w:val="20"/>
              </w:rPr>
            </w:pPr>
          </w:p>
        </w:tc>
        <w:tc>
          <w:tcPr>
            <w:tcW w:w="1985" w:type="dxa"/>
            <w:tcBorders>
              <w:left w:val="nil"/>
              <w:right w:val="nil"/>
            </w:tcBorders>
          </w:tcPr>
          <w:p w:rsidR="00585CF6" w:rsidRPr="006F17FC" w:rsidRDefault="00585CF6" w:rsidP="00077604">
            <w:pPr>
              <w:rPr>
                <w:rFonts w:cs="Times New Roman"/>
                <w:sz w:val="20"/>
                <w:szCs w:val="20"/>
              </w:rPr>
            </w:pPr>
            <w:proofErr w:type="gramStart"/>
            <w:r w:rsidRPr="006F17FC">
              <w:rPr>
                <w:rFonts w:cs="Times New Roman"/>
                <w:sz w:val="20"/>
                <w:szCs w:val="20"/>
              </w:rPr>
              <w:t>deɪ</w:t>
            </w:r>
            <w:proofErr w:type="gramEnd"/>
            <w:r w:rsidRPr="006F17FC">
              <w:rPr>
                <w:rFonts w:cs="Times New Roman"/>
                <w:sz w:val="20"/>
                <w:szCs w:val="20"/>
              </w:rPr>
              <w:t xml:space="preserve"> ɪgˈzæmɪnd hɪz səˈtɪfɪkeɪt ænd sɛd hiː wɒznt ˈkeɪpəbl ɒv </w:t>
            </w:r>
            <w:r w:rsidRPr="006F17FC">
              <w:rPr>
                <w:rFonts w:cs="Times New Roman"/>
                <w:sz w:val="20"/>
                <w:szCs w:val="20"/>
              </w:rPr>
              <w:lastRenderedPageBreak/>
              <w:t>ˈraɪtɪŋ ðə ˈpr</w:t>
            </w:r>
            <w:r w:rsidRPr="006F17FC">
              <w:rPr>
                <w:rFonts w:eastAsia="Times New Roman" w:cs="Times New Roman"/>
                <w:color w:val="000000" w:themeColor="text1"/>
                <w:sz w:val="20"/>
                <w:szCs w:val="20"/>
              </w:rPr>
              <w:t>pri:feis</w:t>
            </w:r>
            <w:r w:rsidRPr="006F17FC">
              <w:rPr>
                <w:rFonts w:cs="Times New Roman"/>
                <w:sz w:val="20"/>
                <w:szCs w:val="20"/>
              </w:rPr>
              <w:t xml:space="preserve"> tuːdɪsˈɔːdəz bʊk.</w:t>
            </w:r>
          </w:p>
        </w:tc>
        <w:tc>
          <w:tcPr>
            <w:tcW w:w="1843" w:type="dxa"/>
            <w:gridSpan w:val="3"/>
            <w:tcBorders>
              <w:left w:val="nil"/>
              <w:right w:val="nil"/>
            </w:tcBorders>
          </w:tcPr>
          <w:p w:rsidR="00585CF6" w:rsidRPr="006F17FC" w:rsidRDefault="00585CF6" w:rsidP="00077604">
            <w:pPr>
              <w:rPr>
                <w:rFonts w:cs="Times New Roman"/>
                <w:sz w:val="20"/>
                <w:szCs w:val="20"/>
              </w:rPr>
            </w:pPr>
            <w:r w:rsidRPr="006F17FC">
              <w:rPr>
                <w:rFonts w:cs="Times New Roman"/>
                <w:sz w:val="20"/>
                <w:szCs w:val="20"/>
              </w:rPr>
              <w:lastRenderedPageBreak/>
              <w:t xml:space="preserve">deɪ ɪgˈzæmənd ɪz sərˈtɪfɪkeit ənd </w:t>
            </w:r>
            <w:r w:rsidRPr="006F17FC">
              <w:rPr>
                <w:rFonts w:eastAsia="Times New Roman" w:cs="Times New Roman"/>
                <w:color w:val="000000" w:themeColor="text1"/>
                <w:sz w:val="20"/>
                <w:szCs w:val="20"/>
              </w:rPr>
              <w:t>sæd</w:t>
            </w:r>
            <w:r w:rsidRPr="006F17FC">
              <w:rPr>
                <w:rFonts w:cs="Times New Roman"/>
                <w:sz w:val="20"/>
                <w:szCs w:val="20"/>
              </w:rPr>
              <w:t xml:space="preserve"> hi ˈwɑzənt ˈkeɪpəbəl əv ˈraɪtɪŋ </w:t>
            </w:r>
            <w:r w:rsidRPr="006F17FC">
              <w:rPr>
                <w:rFonts w:cs="Times New Roman"/>
                <w:sz w:val="20"/>
                <w:szCs w:val="20"/>
              </w:rPr>
              <w:lastRenderedPageBreak/>
              <w:t>dəˈ</w:t>
            </w:r>
            <w:r w:rsidRPr="006F17FC">
              <w:rPr>
                <w:rFonts w:eastAsia="Times New Roman" w:cs="Times New Roman"/>
                <w:color w:val="000000" w:themeColor="text1"/>
                <w:sz w:val="20"/>
                <w:szCs w:val="20"/>
              </w:rPr>
              <w:t>pri:feis</w:t>
            </w:r>
            <w:r w:rsidRPr="006F17FC">
              <w:rPr>
                <w:rFonts w:cs="Times New Roman"/>
                <w:sz w:val="20"/>
                <w:szCs w:val="20"/>
              </w:rPr>
              <w:t xml:space="preserve"> tə ðɪs ˈɔdərz bʊk</w:t>
            </w:r>
          </w:p>
        </w:tc>
        <w:tc>
          <w:tcPr>
            <w:tcW w:w="1275" w:type="dxa"/>
            <w:tcBorders>
              <w:left w:val="nil"/>
              <w:right w:val="nil"/>
            </w:tcBorders>
          </w:tcPr>
          <w:p w:rsidR="00585CF6" w:rsidRPr="006F17FC" w:rsidRDefault="00585CF6" w:rsidP="00077604">
            <w:pPr>
              <w:rPr>
                <w:rFonts w:cs="Times New Roman"/>
                <w:sz w:val="20"/>
                <w:szCs w:val="20"/>
              </w:rPr>
            </w:pPr>
            <w:r w:rsidRPr="006F17FC">
              <w:rPr>
                <w:rFonts w:cs="Times New Roman"/>
                <w:sz w:val="20"/>
                <w:szCs w:val="20"/>
              </w:rPr>
              <w:lastRenderedPageBreak/>
              <w:t xml:space="preserve">deɪ ɪgˈzæmənd ɪz sərˈtɪfɪkət ənd sɛd hi </w:t>
            </w:r>
            <w:r w:rsidRPr="006F17FC">
              <w:rPr>
                <w:rFonts w:cs="Times New Roman"/>
                <w:sz w:val="20"/>
                <w:szCs w:val="20"/>
              </w:rPr>
              <w:lastRenderedPageBreak/>
              <w:t>ˈwɑzənt ˈkeɪpəbəl əv ˈraɪtɪŋ də ˈprɛfəs tədɪsˈɔdərz bʊk</w:t>
            </w:r>
          </w:p>
        </w:tc>
      </w:tr>
      <w:tr w:rsidR="00585CF6" w:rsidRPr="00585CF6" w:rsidTr="007017E7">
        <w:tc>
          <w:tcPr>
            <w:tcW w:w="4536" w:type="dxa"/>
            <w:gridSpan w:val="2"/>
            <w:tcBorders>
              <w:left w:val="nil"/>
              <w:right w:val="nil"/>
            </w:tcBorders>
          </w:tcPr>
          <w:p w:rsidR="00585CF6" w:rsidRPr="006F17FC" w:rsidRDefault="00585CF6" w:rsidP="00077604">
            <w:pPr>
              <w:rPr>
                <w:rFonts w:cs="Times New Roman"/>
                <w:sz w:val="20"/>
                <w:szCs w:val="20"/>
              </w:rPr>
            </w:pPr>
            <w:r w:rsidRPr="006F17FC">
              <w:rPr>
                <w:rFonts w:cs="Times New Roman"/>
                <w:sz w:val="20"/>
                <w:szCs w:val="20"/>
              </w:rPr>
              <w:lastRenderedPageBreak/>
              <w:t>In this family one brother is a butcher, another is a lawyer and their sister is a nurse.</w:t>
            </w:r>
          </w:p>
        </w:tc>
        <w:tc>
          <w:tcPr>
            <w:tcW w:w="1985" w:type="dxa"/>
            <w:tcBorders>
              <w:left w:val="nil"/>
              <w:right w:val="nil"/>
            </w:tcBorders>
          </w:tcPr>
          <w:p w:rsidR="00585CF6" w:rsidRPr="006F17FC" w:rsidRDefault="00585CF6" w:rsidP="00077604">
            <w:pPr>
              <w:rPr>
                <w:rFonts w:cs="Times New Roman"/>
                <w:sz w:val="20"/>
                <w:szCs w:val="20"/>
              </w:rPr>
            </w:pPr>
            <w:r w:rsidRPr="006F17FC">
              <w:rPr>
                <w:rFonts w:cs="Times New Roman"/>
                <w:sz w:val="20"/>
                <w:szCs w:val="20"/>
              </w:rPr>
              <w:t>ɪn dɪs ˈfæmɪli wʌn ˈbrʌdər ɪz ə</w:t>
            </w:r>
            <w:r w:rsidRPr="006F17FC">
              <w:rPr>
                <w:rFonts w:eastAsia="Times New Roman" w:cs="Times New Roman"/>
                <w:bCs/>
                <w:color w:val="000000" w:themeColor="text1"/>
                <w:sz w:val="20"/>
                <w:szCs w:val="20"/>
                <w:shd w:val="clear" w:color="auto" w:fill="FFFFFF"/>
              </w:rPr>
              <w:t>bʌʧə/</w:t>
            </w:r>
            <w:r w:rsidRPr="006F17FC">
              <w:rPr>
                <w:rFonts w:cs="Times New Roman"/>
                <w:sz w:val="20"/>
                <w:szCs w:val="20"/>
              </w:rPr>
              <w:t>, əˈnʌdər ɪz ə ˈlɔːjər ænd deəˈsɪstər ɪz ə nɜːs</w:t>
            </w:r>
          </w:p>
        </w:tc>
        <w:tc>
          <w:tcPr>
            <w:tcW w:w="1843" w:type="dxa"/>
            <w:gridSpan w:val="3"/>
            <w:tcBorders>
              <w:left w:val="nil"/>
              <w:right w:val="nil"/>
            </w:tcBorders>
          </w:tcPr>
          <w:p w:rsidR="00585CF6" w:rsidRPr="006F17FC" w:rsidRDefault="00585CF6" w:rsidP="00077604">
            <w:pPr>
              <w:rPr>
                <w:rFonts w:cs="Times New Roman"/>
                <w:sz w:val="20"/>
                <w:szCs w:val="20"/>
              </w:rPr>
            </w:pPr>
            <w:r w:rsidRPr="006F17FC">
              <w:rPr>
                <w:rFonts w:cs="Times New Roman"/>
                <w:sz w:val="20"/>
                <w:szCs w:val="20"/>
              </w:rPr>
              <w:t>ɪn dɪs ˈfæməli wʌn ˈbrʌdər ɪz ə ˈbʊʧər, əˈnʌdər ɪz ə ˈlɔjər ənd dɛr ˈsɪstər ɪz ə nɜrs.</w:t>
            </w:r>
          </w:p>
        </w:tc>
        <w:tc>
          <w:tcPr>
            <w:tcW w:w="1275" w:type="dxa"/>
            <w:tcBorders>
              <w:left w:val="nil"/>
              <w:right w:val="nil"/>
            </w:tcBorders>
          </w:tcPr>
          <w:p w:rsidR="00585CF6" w:rsidRPr="006F17FC" w:rsidRDefault="00585CF6" w:rsidP="00077604">
            <w:pPr>
              <w:rPr>
                <w:rFonts w:cs="Times New Roman"/>
                <w:sz w:val="20"/>
                <w:szCs w:val="20"/>
              </w:rPr>
            </w:pPr>
            <w:r w:rsidRPr="006F17FC">
              <w:rPr>
                <w:rFonts w:cs="Times New Roman"/>
                <w:sz w:val="20"/>
                <w:szCs w:val="20"/>
              </w:rPr>
              <w:t>ɪn dɪs ˈfæməli wʌn ˈbrʌdər ɪz ə ˈbʊʧər, əˈnʌdər ɪz ə ˈlɔjər ənd dɛr ˈsɪstər ɪz ə nɜrs.</w:t>
            </w:r>
          </w:p>
        </w:tc>
      </w:tr>
      <w:tr w:rsidR="00585CF6" w:rsidRPr="00585CF6" w:rsidTr="007017E7">
        <w:tc>
          <w:tcPr>
            <w:tcW w:w="4536" w:type="dxa"/>
            <w:gridSpan w:val="2"/>
            <w:tcBorders>
              <w:left w:val="nil"/>
              <w:right w:val="nil"/>
            </w:tcBorders>
          </w:tcPr>
          <w:p w:rsidR="00585CF6" w:rsidRPr="006F17FC" w:rsidRDefault="00585CF6" w:rsidP="00077604">
            <w:pPr>
              <w:rPr>
                <w:rFonts w:cs="Times New Roman"/>
                <w:sz w:val="20"/>
                <w:szCs w:val="20"/>
              </w:rPr>
            </w:pPr>
            <w:r w:rsidRPr="006F17FC">
              <w:rPr>
                <w:rFonts w:cs="Times New Roman"/>
                <w:sz w:val="20"/>
                <w:szCs w:val="20"/>
              </w:rPr>
              <w:t>Her favorite stars are Elvis Presley, Barbara Streisand, Tina Turner and Eddie Murphy.</w:t>
            </w:r>
          </w:p>
        </w:tc>
        <w:tc>
          <w:tcPr>
            <w:tcW w:w="1985" w:type="dxa"/>
            <w:tcBorders>
              <w:left w:val="nil"/>
              <w:right w:val="nil"/>
            </w:tcBorders>
          </w:tcPr>
          <w:p w:rsidR="00585CF6" w:rsidRPr="006F17FC" w:rsidRDefault="00585CF6" w:rsidP="00077604">
            <w:pPr>
              <w:rPr>
                <w:rFonts w:cs="Times New Roman"/>
                <w:sz w:val="20"/>
                <w:szCs w:val="20"/>
              </w:rPr>
            </w:pPr>
            <w:r w:rsidRPr="006F17FC">
              <w:rPr>
                <w:rFonts w:cs="Times New Roman"/>
                <w:sz w:val="20"/>
                <w:szCs w:val="20"/>
              </w:rPr>
              <w:t>hɜː ˈfevərɪt stɑːz ɑːr ˈɛlvɪs ˈprɛzlei, ˈbɑː</w:t>
            </w:r>
            <w:proofErr w:type="gramStart"/>
            <w:r w:rsidRPr="006F17FC">
              <w:rPr>
                <w:rFonts w:cs="Times New Roman"/>
                <w:sz w:val="20"/>
                <w:szCs w:val="20"/>
              </w:rPr>
              <w:t>b(</w:t>
            </w:r>
            <w:proofErr w:type="gramEnd"/>
            <w:r w:rsidRPr="006F17FC">
              <w:rPr>
                <w:rFonts w:cs="Times New Roman"/>
                <w:sz w:val="20"/>
                <w:szCs w:val="20"/>
              </w:rPr>
              <w:t>ə)rə ˈstraɪzənd, ˈtiːnə ˈtɜːnər  ændˈɛdi ˈmɜːpi.</w:t>
            </w:r>
          </w:p>
          <w:p w:rsidR="00585CF6" w:rsidRPr="006F17FC" w:rsidRDefault="00585CF6" w:rsidP="00077604">
            <w:pPr>
              <w:rPr>
                <w:rFonts w:cs="Times New Roman"/>
                <w:sz w:val="20"/>
                <w:szCs w:val="20"/>
              </w:rPr>
            </w:pPr>
          </w:p>
        </w:tc>
        <w:tc>
          <w:tcPr>
            <w:tcW w:w="1843" w:type="dxa"/>
            <w:gridSpan w:val="3"/>
            <w:tcBorders>
              <w:left w:val="nil"/>
              <w:right w:val="nil"/>
            </w:tcBorders>
          </w:tcPr>
          <w:p w:rsidR="00585CF6" w:rsidRPr="006F17FC" w:rsidRDefault="00585CF6" w:rsidP="00077604">
            <w:pPr>
              <w:rPr>
                <w:rFonts w:cs="Times New Roman"/>
                <w:sz w:val="20"/>
                <w:szCs w:val="20"/>
              </w:rPr>
            </w:pPr>
            <w:proofErr w:type="gramStart"/>
            <w:r w:rsidRPr="006F17FC">
              <w:rPr>
                <w:rFonts w:cs="Times New Roman"/>
                <w:sz w:val="20"/>
                <w:szCs w:val="20"/>
              </w:rPr>
              <w:t>hər</w:t>
            </w:r>
            <w:proofErr w:type="gramEnd"/>
            <w:r w:rsidRPr="006F17FC">
              <w:rPr>
                <w:rFonts w:cs="Times New Roman"/>
                <w:sz w:val="20"/>
                <w:szCs w:val="20"/>
              </w:rPr>
              <w:t xml:space="preserve"> ˈfeɪvərɪt stɑrz ər ˈɛlvɪs ˈprɛslei, ˈbɑrbərə </w:t>
            </w:r>
            <w:r w:rsidRPr="006F17FC">
              <w:rPr>
                <w:rFonts w:eastAsia="Times New Roman" w:cs="Times New Roman"/>
                <w:color w:val="000000" w:themeColor="text1"/>
                <w:sz w:val="20"/>
                <w:szCs w:val="20"/>
              </w:rPr>
              <w:t>strainsʌn</w:t>
            </w:r>
            <w:r w:rsidRPr="006F17FC">
              <w:rPr>
                <w:rFonts w:cs="Times New Roman"/>
                <w:sz w:val="20"/>
                <w:szCs w:val="20"/>
              </w:rPr>
              <w:t xml:space="preserve"> ˈtinə ˈtɜrnər əndˈɛdi ˈmɜrfi.</w:t>
            </w:r>
          </w:p>
        </w:tc>
        <w:tc>
          <w:tcPr>
            <w:tcW w:w="1275" w:type="dxa"/>
            <w:tcBorders>
              <w:left w:val="nil"/>
              <w:right w:val="nil"/>
            </w:tcBorders>
          </w:tcPr>
          <w:p w:rsidR="00585CF6" w:rsidRPr="006F17FC" w:rsidRDefault="00585CF6" w:rsidP="00077604">
            <w:pPr>
              <w:rPr>
                <w:rFonts w:cs="Times New Roman"/>
                <w:sz w:val="20"/>
                <w:szCs w:val="20"/>
              </w:rPr>
            </w:pPr>
            <w:proofErr w:type="gramStart"/>
            <w:r w:rsidRPr="006F17FC">
              <w:rPr>
                <w:rFonts w:cs="Times New Roman"/>
                <w:sz w:val="20"/>
                <w:szCs w:val="20"/>
              </w:rPr>
              <w:t>hər</w:t>
            </w:r>
            <w:proofErr w:type="gramEnd"/>
            <w:r w:rsidRPr="006F17FC">
              <w:rPr>
                <w:rFonts w:cs="Times New Roman"/>
                <w:sz w:val="20"/>
                <w:szCs w:val="20"/>
              </w:rPr>
              <w:t xml:space="preserve"> ˈfeɪvərɪt stɑrz ər ˈɛlvɪs ˈprɛsli, ˈbɑrbərə</w:t>
            </w:r>
            <w:r w:rsidRPr="006F17FC">
              <w:rPr>
                <w:rFonts w:eastAsia="Times New Roman" w:cs="Times New Roman"/>
                <w:color w:val="000000" w:themeColor="text1"/>
                <w:sz w:val="20"/>
                <w:szCs w:val="20"/>
              </w:rPr>
              <w:t>str</w:t>
            </w:r>
            <w:r w:rsidRPr="006F17FC">
              <w:rPr>
                <w:rFonts w:cs="Times New Roman"/>
                <w:sz w:val="20"/>
                <w:szCs w:val="20"/>
              </w:rPr>
              <w:t>ɜ</w:t>
            </w:r>
            <w:r w:rsidRPr="006F17FC">
              <w:rPr>
                <w:rFonts w:eastAsia="Times New Roman" w:cs="Times New Roman"/>
                <w:color w:val="000000" w:themeColor="text1"/>
                <w:sz w:val="20"/>
                <w:szCs w:val="20"/>
              </w:rPr>
              <w:t>slend</w:t>
            </w:r>
            <w:r w:rsidRPr="006F17FC">
              <w:rPr>
                <w:rFonts w:cs="Times New Roman"/>
                <w:sz w:val="20"/>
                <w:szCs w:val="20"/>
              </w:rPr>
              <w:t>, ˈtinə ˈtɜrnər əndˈɛdi ˈmɜrpi.</w:t>
            </w:r>
          </w:p>
        </w:tc>
      </w:tr>
      <w:tr w:rsidR="00585CF6" w:rsidRPr="00585CF6" w:rsidTr="007017E7">
        <w:tc>
          <w:tcPr>
            <w:tcW w:w="4536" w:type="dxa"/>
            <w:gridSpan w:val="2"/>
            <w:tcBorders>
              <w:left w:val="nil"/>
              <w:right w:val="nil"/>
            </w:tcBorders>
          </w:tcPr>
          <w:p w:rsidR="00585CF6" w:rsidRPr="006F17FC" w:rsidRDefault="00585CF6" w:rsidP="00077604">
            <w:pPr>
              <w:rPr>
                <w:rFonts w:cs="Times New Roman"/>
                <w:sz w:val="20"/>
                <w:szCs w:val="20"/>
              </w:rPr>
            </w:pPr>
            <w:r w:rsidRPr="006F17FC">
              <w:rPr>
                <w:rFonts w:cs="Times New Roman"/>
                <w:sz w:val="20"/>
                <w:szCs w:val="20"/>
              </w:rPr>
              <w:t>He says it isn’t comfortable to live in this ancient castle in the mountains and walk across that damaged bridge every day.</w:t>
            </w:r>
          </w:p>
        </w:tc>
        <w:tc>
          <w:tcPr>
            <w:tcW w:w="1985" w:type="dxa"/>
            <w:tcBorders>
              <w:left w:val="nil"/>
              <w:right w:val="nil"/>
            </w:tcBorders>
          </w:tcPr>
          <w:p w:rsidR="00585CF6" w:rsidRPr="006F17FC" w:rsidRDefault="00585CF6" w:rsidP="00077604">
            <w:pPr>
              <w:rPr>
                <w:rFonts w:cs="Times New Roman"/>
                <w:sz w:val="20"/>
                <w:szCs w:val="20"/>
              </w:rPr>
            </w:pPr>
            <w:proofErr w:type="gramStart"/>
            <w:r w:rsidRPr="006F17FC">
              <w:rPr>
                <w:rFonts w:cs="Times New Roman"/>
                <w:sz w:val="20"/>
                <w:szCs w:val="20"/>
              </w:rPr>
              <w:t>hi</w:t>
            </w:r>
            <w:proofErr w:type="gramEnd"/>
            <w:r w:rsidRPr="006F17FC">
              <w:rPr>
                <w:rFonts w:cs="Times New Roman"/>
                <w:sz w:val="20"/>
                <w:szCs w:val="20"/>
              </w:rPr>
              <w:t xml:space="preserve">ː seɪs ɪt ˈɪznt </w:t>
            </w:r>
            <w:r w:rsidRPr="006F17FC">
              <w:rPr>
                <w:rFonts w:eastAsia="Times New Roman" w:cs="Times New Roman"/>
                <w:bCs/>
                <w:color w:val="000000" w:themeColor="text1"/>
                <w:sz w:val="20"/>
                <w:szCs w:val="20"/>
                <w:shd w:val="clear" w:color="auto" w:fill="FFFFFF"/>
              </w:rPr>
              <w:t>kɔːmfɔːtəb(ə)l</w:t>
            </w:r>
            <w:r w:rsidRPr="006F17FC">
              <w:rPr>
                <w:rFonts w:cs="Times New Roman"/>
                <w:sz w:val="20"/>
                <w:szCs w:val="20"/>
              </w:rPr>
              <w:t xml:space="preserve">tuː lɪv ɪn dɪs ˈeɪnʃ(ə)nt ˈkɑːsl ɪn də ˈmaʊntɪnz ænd wɔːk əˈkrɒs dæt </w:t>
            </w:r>
            <w:r w:rsidRPr="006F17FC">
              <w:rPr>
                <w:rFonts w:eastAsia="Times New Roman" w:cs="Times New Roman"/>
                <w:bCs/>
                <w:color w:val="000000" w:themeColor="text1"/>
                <w:sz w:val="20"/>
                <w:szCs w:val="20"/>
                <w:shd w:val="clear" w:color="auto" w:fill="FFFFFF"/>
              </w:rPr>
              <w:t>dəmɪʤ</w:t>
            </w:r>
            <w:r w:rsidRPr="006F17FC">
              <w:rPr>
                <w:rFonts w:cs="Times New Roman"/>
                <w:sz w:val="20"/>
                <w:szCs w:val="20"/>
              </w:rPr>
              <w:t xml:space="preserve"> brɪʤ ˈɛvri deɪ.</w:t>
            </w:r>
          </w:p>
        </w:tc>
        <w:tc>
          <w:tcPr>
            <w:tcW w:w="1843" w:type="dxa"/>
            <w:gridSpan w:val="3"/>
            <w:tcBorders>
              <w:left w:val="nil"/>
              <w:right w:val="nil"/>
            </w:tcBorders>
          </w:tcPr>
          <w:p w:rsidR="00585CF6" w:rsidRPr="006F17FC" w:rsidRDefault="00585CF6" w:rsidP="00077604">
            <w:pPr>
              <w:rPr>
                <w:rFonts w:cs="Times New Roman"/>
                <w:sz w:val="20"/>
                <w:szCs w:val="20"/>
              </w:rPr>
            </w:pPr>
            <w:proofErr w:type="gramStart"/>
            <w:r w:rsidRPr="006F17FC">
              <w:rPr>
                <w:rFonts w:cs="Times New Roman"/>
                <w:sz w:val="20"/>
                <w:szCs w:val="20"/>
              </w:rPr>
              <w:t>hi</w:t>
            </w:r>
            <w:proofErr w:type="gramEnd"/>
            <w:r w:rsidRPr="006F17FC">
              <w:rPr>
                <w:rFonts w:cs="Times New Roman"/>
                <w:sz w:val="20"/>
                <w:szCs w:val="20"/>
              </w:rPr>
              <w:t xml:space="preserve"> sɛz ɪt ˈɪzənt ˈkʌmfərtəbəl tə lɪv ɪn ðɪs ˈ eɪnʧən ˈkæsəl ɪn ðə ˈmaʊntəns ənd wɔk əˈkrɔs ðət ˈdæməʤd bri:ʤ ˈɛvəri deɪ.</w:t>
            </w:r>
          </w:p>
          <w:p w:rsidR="00585CF6" w:rsidRPr="006F17FC" w:rsidRDefault="00585CF6" w:rsidP="00077604">
            <w:pPr>
              <w:rPr>
                <w:rFonts w:cs="Times New Roman"/>
                <w:sz w:val="20"/>
                <w:szCs w:val="20"/>
              </w:rPr>
            </w:pPr>
          </w:p>
        </w:tc>
        <w:tc>
          <w:tcPr>
            <w:tcW w:w="1275" w:type="dxa"/>
            <w:tcBorders>
              <w:left w:val="nil"/>
              <w:right w:val="nil"/>
            </w:tcBorders>
          </w:tcPr>
          <w:p w:rsidR="00585CF6" w:rsidRPr="006F17FC" w:rsidRDefault="00585CF6" w:rsidP="00077604">
            <w:pPr>
              <w:rPr>
                <w:rFonts w:cs="Times New Roman"/>
                <w:sz w:val="20"/>
                <w:szCs w:val="20"/>
              </w:rPr>
            </w:pPr>
            <w:proofErr w:type="gramStart"/>
            <w:r w:rsidRPr="006F17FC">
              <w:rPr>
                <w:rFonts w:cs="Times New Roman"/>
                <w:sz w:val="20"/>
                <w:szCs w:val="20"/>
              </w:rPr>
              <w:t>hi</w:t>
            </w:r>
            <w:proofErr w:type="gramEnd"/>
            <w:r w:rsidRPr="006F17FC">
              <w:rPr>
                <w:rFonts w:cs="Times New Roman"/>
                <w:sz w:val="20"/>
                <w:szCs w:val="20"/>
              </w:rPr>
              <w:t xml:space="preserve"> sɛz ɪt ˈɪzənt ˈkʌmfərtəbəl tə lɪv ɪn ðɪs ˈeɪnʧənt ˈkæstəl ɪn ðə ˈmaʊntənz ənd wɔk əˈkrɔs ðət ˈdæməʤd brɪʤ ˈɛvəri deɪ.</w:t>
            </w:r>
          </w:p>
          <w:p w:rsidR="00585CF6" w:rsidRPr="006F17FC" w:rsidRDefault="00585CF6" w:rsidP="00077604">
            <w:pPr>
              <w:rPr>
                <w:rFonts w:cs="Times New Roman"/>
                <w:sz w:val="20"/>
                <w:szCs w:val="20"/>
              </w:rPr>
            </w:pPr>
          </w:p>
        </w:tc>
      </w:tr>
      <w:tr w:rsidR="00585CF6" w:rsidRPr="00585CF6" w:rsidTr="007017E7">
        <w:trPr>
          <w:trHeight w:val="2302"/>
        </w:trPr>
        <w:tc>
          <w:tcPr>
            <w:tcW w:w="4536" w:type="dxa"/>
            <w:gridSpan w:val="2"/>
            <w:tcBorders>
              <w:left w:val="nil"/>
              <w:bottom w:val="single" w:sz="4" w:space="0" w:color="auto"/>
              <w:right w:val="nil"/>
            </w:tcBorders>
          </w:tcPr>
          <w:p w:rsidR="00585CF6" w:rsidRPr="006F17FC" w:rsidRDefault="00585CF6" w:rsidP="00077604">
            <w:pPr>
              <w:rPr>
                <w:rFonts w:cs="Times New Roman"/>
                <w:sz w:val="20"/>
                <w:szCs w:val="20"/>
              </w:rPr>
            </w:pPr>
            <w:r w:rsidRPr="006F17FC">
              <w:rPr>
                <w:rFonts w:cs="Times New Roman"/>
                <w:sz w:val="20"/>
                <w:szCs w:val="20"/>
              </w:rPr>
              <w:t>Leonard felt sweat on the surface of all his body when he saw that dangerous wolf.</w:t>
            </w:r>
          </w:p>
        </w:tc>
        <w:tc>
          <w:tcPr>
            <w:tcW w:w="1985" w:type="dxa"/>
            <w:tcBorders>
              <w:left w:val="nil"/>
              <w:bottom w:val="single" w:sz="4" w:space="0" w:color="auto"/>
              <w:right w:val="nil"/>
            </w:tcBorders>
          </w:tcPr>
          <w:p w:rsidR="00585CF6" w:rsidRPr="006F17FC" w:rsidRDefault="00585CF6" w:rsidP="00077604">
            <w:pPr>
              <w:rPr>
                <w:rFonts w:cs="Times New Roman"/>
                <w:sz w:val="20"/>
                <w:szCs w:val="20"/>
              </w:rPr>
            </w:pPr>
            <w:proofErr w:type="gramStart"/>
            <w:r w:rsidRPr="006F17FC">
              <w:rPr>
                <w:rFonts w:cs="Times New Roman"/>
                <w:sz w:val="20"/>
                <w:szCs w:val="20"/>
              </w:rPr>
              <w:t>lɛonəd</w:t>
            </w:r>
            <w:proofErr w:type="gramEnd"/>
            <w:r w:rsidRPr="006F17FC">
              <w:rPr>
                <w:rFonts w:cs="Times New Roman"/>
                <w:sz w:val="20"/>
                <w:szCs w:val="20"/>
              </w:rPr>
              <w:t xml:space="preserve"> fɛlt swɛt ɒn ðə ˈsɜːfɪs ɒv ɔːl hɪz ˈbɒdi wɛn hiː sɔː ðæt ˈdeɪnʤrəs wʊlf.</w:t>
            </w:r>
          </w:p>
        </w:tc>
        <w:tc>
          <w:tcPr>
            <w:tcW w:w="1843" w:type="dxa"/>
            <w:gridSpan w:val="3"/>
            <w:tcBorders>
              <w:left w:val="nil"/>
              <w:bottom w:val="single" w:sz="4" w:space="0" w:color="auto"/>
              <w:right w:val="nil"/>
            </w:tcBorders>
          </w:tcPr>
          <w:p w:rsidR="00585CF6" w:rsidRPr="006F17FC" w:rsidRDefault="00585CF6" w:rsidP="00077604">
            <w:pPr>
              <w:rPr>
                <w:rFonts w:cs="Times New Roman"/>
                <w:sz w:val="20"/>
                <w:szCs w:val="20"/>
              </w:rPr>
            </w:pPr>
            <w:proofErr w:type="gramStart"/>
            <w:r w:rsidRPr="006F17FC">
              <w:rPr>
                <w:rFonts w:cs="Times New Roman"/>
                <w:sz w:val="20"/>
                <w:szCs w:val="20"/>
              </w:rPr>
              <w:t>lɛnərd</w:t>
            </w:r>
            <w:proofErr w:type="gramEnd"/>
            <w:r w:rsidRPr="006F17FC">
              <w:rPr>
                <w:rFonts w:cs="Times New Roman"/>
                <w:sz w:val="20"/>
                <w:szCs w:val="20"/>
              </w:rPr>
              <w:t xml:space="preserve"> fɛlt swɛt ɑn ðə ˈsɜrfəs əv ɔl ɪz ˈbɑdi wɛn hi sɔ ðət ˈdeɪnʤərəs wʊlf.</w:t>
            </w:r>
          </w:p>
        </w:tc>
        <w:tc>
          <w:tcPr>
            <w:tcW w:w="1275" w:type="dxa"/>
            <w:tcBorders>
              <w:left w:val="nil"/>
              <w:bottom w:val="single" w:sz="4" w:space="0" w:color="auto"/>
              <w:right w:val="nil"/>
            </w:tcBorders>
          </w:tcPr>
          <w:p w:rsidR="00585CF6" w:rsidRPr="006F17FC" w:rsidRDefault="00585CF6" w:rsidP="00077604">
            <w:pPr>
              <w:rPr>
                <w:rFonts w:cs="Times New Roman"/>
                <w:sz w:val="20"/>
                <w:szCs w:val="20"/>
              </w:rPr>
            </w:pPr>
            <w:proofErr w:type="gramStart"/>
            <w:r w:rsidRPr="006F17FC">
              <w:rPr>
                <w:rFonts w:cs="Times New Roman"/>
                <w:sz w:val="20"/>
                <w:szCs w:val="20"/>
              </w:rPr>
              <w:t>lɛnərd</w:t>
            </w:r>
            <w:proofErr w:type="gramEnd"/>
            <w:r w:rsidRPr="006F17FC">
              <w:rPr>
                <w:rFonts w:cs="Times New Roman"/>
                <w:sz w:val="20"/>
                <w:szCs w:val="20"/>
              </w:rPr>
              <w:t xml:space="preserve"> fɛlt swɛt ɑn ðə ˈsɜrfəs əv ɔl ɪz ˈbɑdi wɛn hi sɔ ðət ˈdeɪnʤərəs wʊlf.</w:t>
            </w:r>
          </w:p>
        </w:tc>
      </w:tr>
      <w:tr w:rsidR="00585CF6" w:rsidRPr="00585CF6" w:rsidTr="007017E7">
        <w:tc>
          <w:tcPr>
            <w:tcW w:w="4536" w:type="dxa"/>
            <w:gridSpan w:val="2"/>
            <w:tcBorders>
              <w:left w:val="nil"/>
              <w:right w:val="nil"/>
            </w:tcBorders>
          </w:tcPr>
          <w:p w:rsidR="00585CF6" w:rsidRPr="006F17FC" w:rsidRDefault="00585CF6" w:rsidP="00077604">
            <w:pPr>
              <w:rPr>
                <w:rFonts w:cs="Times New Roman"/>
                <w:sz w:val="20"/>
                <w:szCs w:val="20"/>
              </w:rPr>
            </w:pPr>
            <w:r w:rsidRPr="006F17FC">
              <w:rPr>
                <w:rFonts w:cs="Times New Roman"/>
                <w:sz w:val="20"/>
                <w:szCs w:val="20"/>
              </w:rPr>
              <w:lastRenderedPageBreak/>
              <w:t>It occurred that instead of going to Turkey, we had to go on separate journey to another country.</w:t>
            </w:r>
          </w:p>
        </w:tc>
        <w:tc>
          <w:tcPr>
            <w:tcW w:w="1985" w:type="dxa"/>
            <w:tcBorders>
              <w:left w:val="nil"/>
              <w:right w:val="nil"/>
            </w:tcBorders>
          </w:tcPr>
          <w:p w:rsidR="00585CF6" w:rsidRPr="006F17FC" w:rsidRDefault="00585CF6" w:rsidP="00077604">
            <w:pPr>
              <w:rPr>
                <w:rFonts w:cs="Times New Roman"/>
                <w:sz w:val="20"/>
                <w:szCs w:val="20"/>
              </w:rPr>
            </w:pPr>
            <w:r w:rsidRPr="006F17FC">
              <w:rPr>
                <w:rFonts w:cs="Times New Roman"/>
                <w:sz w:val="20"/>
                <w:szCs w:val="20"/>
              </w:rPr>
              <w:t xml:space="preserve">ɪt </w:t>
            </w:r>
            <w:r w:rsidRPr="006F17FC">
              <w:rPr>
                <w:rFonts w:eastAsia="Times New Roman" w:cs="Times New Roman"/>
                <w:bCs/>
                <w:color w:val="000000" w:themeColor="text1"/>
                <w:sz w:val="20"/>
                <w:szCs w:val="20"/>
                <w:shd w:val="clear" w:color="auto" w:fill="FFFFFF"/>
              </w:rPr>
              <w:t>owku</w:t>
            </w:r>
            <w:proofErr w:type="gramStart"/>
            <w:r w:rsidRPr="006F17FC">
              <w:rPr>
                <w:rFonts w:eastAsia="Times New Roman" w:cs="Times New Roman"/>
                <w:bCs/>
                <w:color w:val="000000" w:themeColor="text1"/>
                <w:sz w:val="20"/>
                <w:szCs w:val="20"/>
                <w:shd w:val="clear" w:color="auto" w:fill="FFFFFF"/>
              </w:rPr>
              <w:t>:rd</w:t>
            </w:r>
            <w:proofErr w:type="gramEnd"/>
            <w:r w:rsidR="00C40F3C" w:rsidRPr="006F17FC">
              <w:rPr>
                <w:rFonts w:eastAsia="Times New Roman" w:cs="Times New Roman"/>
                <w:bCs/>
                <w:color w:val="000000" w:themeColor="text1"/>
                <w:sz w:val="20"/>
                <w:szCs w:val="20"/>
                <w:shd w:val="clear" w:color="auto" w:fill="FFFFFF"/>
              </w:rPr>
              <w:t xml:space="preserve"> </w:t>
            </w:r>
            <w:r w:rsidRPr="006F17FC">
              <w:rPr>
                <w:rFonts w:cs="Times New Roman"/>
                <w:sz w:val="20"/>
                <w:szCs w:val="20"/>
              </w:rPr>
              <w:t>ðæt ɪnˈstɛd ɒv ˈgəʊɪŋ tuː ˈtɜːki, wiː hæv tuː gəʊ ɒn ˈ</w:t>
            </w:r>
            <w:r w:rsidRPr="006F17FC">
              <w:rPr>
                <w:rFonts w:eastAsia="Times New Roman" w:cs="Times New Roman"/>
                <w:bCs/>
                <w:color w:val="000000" w:themeColor="text1"/>
                <w:sz w:val="20"/>
                <w:szCs w:val="20"/>
                <w:shd w:val="clear" w:color="auto" w:fill="FFFFFF"/>
              </w:rPr>
              <w:t xml:space="preserve"> into sɛpərət</w:t>
            </w:r>
            <w:r w:rsidRPr="006F17FC">
              <w:rPr>
                <w:rFonts w:cs="Times New Roman"/>
                <w:sz w:val="20"/>
                <w:szCs w:val="20"/>
              </w:rPr>
              <w:t xml:space="preserve"> ˈʤɜːni tuː əˈnʌðə ˈkʌntri.</w:t>
            </w:r>
          </w:p>
        </w:tc>
        <w:tc>
          <w:tcPr>
            <w:tcW w:w="1843" w:type="dxa"/>
            <w:gridSpan w:val="3"/>
            <w:tcBorders>
              <w:left w:val="nil"/>
              <w:right w:val="nil"/>
            </w:tcBorders>
          </w:tcPr>
          <w:p w:rsidR="00585CF6" w:rsidRPr="006F17FC" w:rsidRDefault="00585CF6" w:rsidP="00077604">
            <w:pPr>
              <w:rPr>
                <w:rFonts w:cs="Times New Roman"/>
                <w:sz w:val="20"/>
                <w:szCs w:val="20"/>
              </w:rPr>
            </w:pPr>
            <w:r w:rsidRPr="006F17FC">
              <w:rPr>
                <w:rFonts w:cs="Times New Roman"/>
                <w:sz w:val="20"/>
                <w:szCs w:val="20"/>
              </w:rPr>
              <w:t>ɪt</w:t>
            </w:r>
            <w:r w:rsidRPr="006F17FC">
              <w:rPr>
                <w:rFonts w:eastAsia="Times New Roman" w:cs="Times New Roman"/>
                <w:bCs/>
                <w:color w:val="000000" w:themeColor="text1"/>
                <w:sz w:val="20"/>
                <w:szCs w:val="20"/>
                <w:shd w:val="clear" w:color="auto" w:fill="FFFFFF"/>
              </w:rPr>
              <w:t>owku</w:t>
            </w:r>
            <w:proofErr w:type="gramStart"/>
            <w:r w:rsidRPr="006F17FC">
              <w:rPr>
                <w:rFonts w:eastAsia="Times New Roman" w:cs="Times New Roman"/>
                <w:bCs/>
                <w:color w:val="000000" w:themeColor="text1"/>
                <w:sz w:val="20"/>
                <w:szCs w:val="20"/>
                <w:shd w:val="clear" w:color="auto" w:fill="FFFFFF"/>
              </w:rPr>
              <w:t>:rd</w:t>
            </w:r>
            <w:r w:rsidRPr="006F17FC">
              <w:rPr>
                <w:rFonts w:cs="Times New Roman"/>
                <w:sz w:val="20"/>
                <w:szCs w:val="20"/>
              </w:rPr>
              <w:t>ðət</w:t>
            </w:r>
            <w:proofErr w:type="gramEnd"/>
            <w:r w:rsidRPr="006F17FC">
              <w:rPr>
                <w:rFonts w:cs="Times New Roman"/>
                <w:sz w:val="20"/>
                <w:szCs w:val="20"/>
              </w:rPr>
              <w:t xml:space="preserve"> ɪnˈstɛd əv ˈgoʊɪŋ tə ˈtɜrki, wi həd tə goʊ ɑn ə ˈsɛpərət.t ˈʤɜrnei tʊ əˈnʌðər ˈkʌntri.</w:t>
            </w:r>
          </w:p>
        </w:tc>
        <w:tc>
          <w:tcPr>
            <w:tcW w:w="1275" w:type="dxa"/>
            <w:tcBorders>
              <w:left w:val="nil"/>
              <w:right w:val="nil"/>
            </w:tcBorders>
          </w:tcPr>
          <w:p w:rsidR="00585CF6" w:rsidRPr="006F17FC" w:rsidRDefault="00585CF6" w:rsidP="00077604">
            <w:pPr>
              <w:rPr>
                <w:rFonts w:cs="Times New Roman"/>
                <w:sz w:val="20"/>
                <w:szCs w:val="20"/>
              </w:rPr>
            </w:pPr>
            <w:r w:rsidRPr="006F17FC">
              <w:rPr>
                <w:rFonts w:cs="Times New Roman"/>
                <w:sz w:val="20"/>
                <w:szCs w:val="20"/>
              </w:rPr>
              <w:t>ɪt əˈkɜrd ðət ɪnˈstɛd əv ˈgoʊɪŋ tə ˈtɜrki, wi həd tə goʊ ɑ</w:t>
            </w:r>
          </w:p>
          <w:p w:rsidR="007017E7" w:rsidRDefault="00585CF6" w:rsidP="00077604">
            <w:pPr>
              <w:rPr>
                <w:rFonts w:cs="Times New Roman"/>
                <w:sz w:val="20"/>
                <w:szCs w:val="20"/>
              </w:rPr>
            </w:pPr>
            <w:proofErr w:type="gramStart"/>
            <w:r w:rsidRPr="006F17FC">
              <w:rPr>
                <w:rFonts w:cs="Times New Roman"/>
                <w:sz w:val="20"/>
                <w:szCs w:val="20"/>
              </w:rPr>
              <w:t>n</w:t>
            </w:r>
            <w:proofErr w:type="gramEnd"/>
            <w:r w:rsidRPr="006F17FC">
              <w:rPr>
                <w:rFonts w:cs="Times New Roman"/>
                <w:sz w:val="20"/>
                <w:szCs w:val="20"/>
              </w:rPr>
              <w:t xml:space="preserve"> ə ˈsɛprət ˈʤɜrni tʊ əˈnʌðər ˈkauntri.</w:t>
            </w:r>
          </w:p>
          <w:p w:rsidR="006F17FC" w:rsidRPr="006F17FC" w:rsidRDefault="006F17FC" w:rsidP="00077604">
            <w:pPr>
              <w:rPr>
                <w:rFonts w:cs="Times New Roman"/>
                <w:sz w:val="20"/>
                <w:szCs w:val="20"/>
              </w:rPr>
            </w:pPr>
          </w:p>
          <w:p w:rsidR="006F17FC" w:rsidRPr="006F17FC" w:rsidRDefault="006F17FC" w:rsidP="00077604">
            <w:pPr>
              <w:rPr>
                <w:rFonts w:cs="Times New Roman"/>
                <w:sz w:val="20"/>
                <w:szCs w:val="20"/>
              </w:rPr>
            </w:pPr>
          </w:p>
        </w:tc>
      </w:tr>
      <w:tr w:rsidR="00585CF6" w:rsidRPr="00585CF6" w:rsidTr="007017E7">
        <w:tc>
          <w:tcPr>
            <w:tcW w:w="4536" w:type="dxa"/>
            <w:gridSpan w:val="2"/>
            <w:tcBorders>
              <w:left w:val="nil"/>
              <w:right w:val="nil"/>
            </w:tcBorders>
          </w:tcPr>
          <w:p w:rsidR="007017E7" w:rsidRPr="007017E7" w:rsidRDefault="007017E7" w:rsidP="00077604">
            <w:pPr>
              <w:rPr>
                <w:rFonts w:cs="Times New Roman"/>
                <w:sz w:val="22"/>
              </w:rPr>
            </w:pPr>
          </w:p>
          <w:p w:rsidR="007017E7" w:rsidRPr="007017E7" w:rsidRDefault="007017E7" w:rsidP="007017E7">
            <w:pPr>
              <w:jc w:val="center"/>
              <w:rPr>
                <w:rFonts w:cs="Times New Roman"/>
                <w:sz w:val="22"/>
              </w:rPr>
            </w:pPr>
            <w:r w:rsidRPr="007017E7">
              <w:rPr>
                <w:rFonts w:cs="Times New Roman"/>
                <w:sz w:val="22"/>
              </w:rPr>
              <w:t>Tabel 2. Hasil Leksion segmentasi</w:t>
            </w:r>
          </w:p>
        </w:tc>
        <w:tc>
          <w:tcPr>
            <w:tcW w:w="1985" w:type="dxa"/>
            <w:tcBorders>
              <w:left w:val="nil"/>
              <w:right w:val="nil"/>
            </w:tcBorders>
          </w:tcPr>
          <w:p w:rsidR="00585CF6" w:rsidRPr="00C40F3C" w:rsidRDefault="00585CF6" w:rsidP="00077604">
            <w:pPr>
              <w:rPr>
                <w:rFonts w:cs="Times New Roman"/>
                <w:sz w:val="22"/>
                <w:highlight w:val="lightGray"/>
              </w:rPr>
            </w:pPr>
          </w:p>
        </w:tc>
        <w:tc>
          <w:tcPr>
            <w:tcW w:w="1843" w:type="dxa"/>
            <w:gridSpan w:val="3"/>
            <w:tcBorders>
              <w:left w:val="nil"/>
              <w:right w:val="nil"/>
            </w:tcBorders>
          </w:tcPr>
          <w:p w:rsidR="00585CF6" w:rsidRPr="00C40F3C" w:rsidRDefault="00585CF6" w:rsidP="00077604">
            <w:pPr>
              <w:rPr>
                <w:rFonts w:cs="Times New Roman"/>
                <w:sz w:val="22"/>
                <w:highlight w:val="lightGray"/>
              </w:rPr>
            </w:pPr>
          </w:p>
        </w:tc>
        <w:tc>
          <w:tcPr>
            <w:tcW w:w="1275" w:type="dxa"/>
            <w:tcBorders>
              <w:left w:val="nil"/>
              <w:right w:val="nil"/>
            </w:tcBorders>
          </w:tcPr>
          <w:p w:rsidR="00585CF6" w:rsidRPr="00C40F3C" w:rsidRDefault="00585CF6" w:rsidP="00077604">
            <w:pPr>
              <w:rPr>
                <w:rFonts w:cs="Times New Roman"/>
                <w:sz w:val="22"/>
                <w:highlight w:val="lightGray"/>
              </w:rPr>
            </w:pPr>
          </w:p>
        </w:tc>
      </w:tr>
      <w:tr w:rsidR="007017E7" w:rsidRPr="007017E7" w:rsidTr="007017E7">
        <w:tblPrEx>
          <w:tblBorders>
            <w:top w:val="single" w:sz="4" w:space="0" w:color="auto"/>
            <w:bottom w:val="single" w:sz="4" w:space="0" w:color="auto"/>
            <w:insideH w:val="single" w:sz="4" w:space="0" w:color="auto"/>
          </w:tblBorders>
        </w:tblPrEx>
        <w:trPr>
          <w:gridAfter w:val="2"/>
          <w:wAfter w:w="1564" w:type="dxa"/>
          <w:trHeight w:val="701"/>
        </w:trPr>
        <w:tc>
          <w:tcPr>
            <w:tcW w:w="1786" w:type="dxa"/>
          </w:tcPr>
          <w:p w:rsidR="007017E7" w:rsidRPr="007017E7" w:rsidRDefault="007017E7" w:rsidP="00077604">
            <w:pPr>
              <w:jc w:val="center"/>
              <w:rPr>
                <w:b/>
                <w:szCs w:val="24"/>
              </w:rPr>
            </w:pPr>
            <w:r w:rsidRPr="007017E7">
              <w:rPr>
                <w:b/>
                <w:szCs w:val="24"/>
              </w:rPr>
              <w:t>Lexicons/phrases</w:t>
            </w:r>
          </w:p>
        </w:tc>
        <w:tc>
          <w:tcPr>
            <w:tcW w:w="4821" w:type="dxa"/>
            <w:gridSpan w:val="3"/>
          </w:tcPr>
          <w:p w:rsidR="007017E7" w:rsidRPr="007017E7" w:rsidRDefault="007017E7" w:rsidP="00077604">
            <w:pPr>
              <w:jc w:val="center"/>
              <w:rPr>
                <w:b/>
                <w:szCs w:val="24"/>
              </w:rPr>
            </w:pPr>
            <w:r w:rsidRPr="007017E7">
              <w:rPr>
                <w:b/>
                <w:szCs w:val="24"/>
              </w:rPr>
              <w:t>Phonemic transcription</w:t>
            </w:r>
          </w:p>
        </w:tc>
        <w:tc>
          <w:tcPr>
            <w:tcW w:w="1473" w:type="dxa"/>
          </w:tcPr>
          <w:p w:rsidR="007017E7" w:rsidRPr="007017E7" w:rsidRDefault="007017E7" w:rsidP="00077604">
            <w:pPr>
              <w:jc w:val="center"/>
              <w:rPr>
                <w:b/>
                <w:szCs w:val="24"/>
              </w:rPr>
            </w:pPr>
            <w:r w:rsidRPr="007017E7">
              <w:rPr>
                <w:b/>
                <w:szCs w:val="24"/>
              </w:rPr>
              <w:t>Participant’s answers</w:t>
            </w:r>
          </w:p>
        </w:tc>
      </w:tr>
      <w:tr w:rsidR="007017E7" w:rsidRPr="006C57F6" w:rsidTr="007017E7">
        <w:tblPrEx>
          <w:tblBorders>
            <w:top w:val="single" w:sz="4" w:space="0" w:color="auto"/>
            <w:bottom w:val="single" w:sz="4" w:space="0" w:color="auto"/>
            <w:insideH w:val="single" w:sz="4" w:space="0" w:color="auto"/>
          </w:tblBorders>
        </w:tblPrEx>
        <w:trPr>
          <w:gridAfter w:val="2"/>
          <w:wAfter w:w="1564" w:type="dxa"/>
        </w:trPr>
        <w:tc>
          <w:tcPr>
            <w:tcW w:w="1786" w:type="dxa"/>
          </w:tcPr>
          <w:p w:rsidR="007017E7" w:rsidRPr="006C57F6" w:rsidRDefault="007017E7" w:rsidP="00077604">
            <w:pPr>
              <w:widowControl w:val="0"/>
              <w:autoSpaceDE w:val="0"/>
              <w:autoSpaceDN w:val="0"/>
              <w:rPr>
                <w:rFonts w:eastAsia="Times New Roman" w:cs="Times New Roman"/>
                <w:sz w:val="20"/>
                <w:szCs w:val="20"/>
              </w:rPr>
            </w:pPr>
            <w:r w:rsidRPr="006C57F6">
              <w:rPr>
                <w:rFonts w:eastAsia="Times New Roman" w:cs="Times New Roman"/>
                <w:sz w:val="20"/>
                <w:szCs w:val="20"/>
              </w:rPr>
              <w:t>surface climate ancient favourite steak climate captain radar</w:t>
            </w:r>
          </w:p>
          <w:p w:rsidR="007017E7" w:rsidRPr="006C57F6" w:rsidRDefault="007017E7" w:rsidP="00077604">
            <w:pPr>
              <w:widowControl w:val="0"/>
              <w:autoSpaceDE w:val="0"/>
              <w:autoSpaceDN w:val="0"/>
              <w:rPr>
                <w:rFonts w:eastAsia="Times New Roman" w:cs="Times New Roman"/>
                <w:i/>
                <w:sz w:val="20"/>
                <w:szCs w:val="20"/>
              </w:rPr>
            </w:pPr>
            <w:r w:rsidRPr="006C57F6">
              <w:rPr>
                <w:rFonts w:eastAsia="Times New Roman" w:cs="Times New Roman"/>
                <w:i/>
                <w:sz w:val="20"/>
                <w:szCs w:val="20"/>
              </w:rPr>
              <w:t>(in search of sound ei)</w:t>
            </w:r>
          </w:p>
        </w:tc>
        <w:tc>
          <w:tcPr>
            <w:tcW w:w="4821" w:type="dxa"/>
            <w:gridSpan w:val="3"/>
          </w:tcPr>
          <w:p w:rsidR="007017E7" w:rsidRPr="006C57F6" w:rsidRDefault="007017E7" w:rsidP="00077604">
            <w:pPr>
              <w:rPr>
                <w:rFonts w:cs="Times New Roman"/>
                <w:sz w:val="20"/>
                <w:szCs w:val="20"/>
              </w:rPr>
            </w:pPr>
            <w:r w:rsidRPr="006C57F6">
              <w:rPr>
                <w:rFonts w:cs="Times New Roman"/>
                <w:color w:val="000000" w:themeColor="text1"/>
                <w:sz w:val="20"/>
                <w:szCs w:val="20"/>
              </w:rPr>
              <w:t>ˈsɜːfɪsˈklaɪmɪtˈeɪnʃ(ə)ntˈfeɪvərɪtsteɪkˈklaɪmɪtˈkæptɪnˈreɪdə</w:t>
            </w:r>
            <w:r w:rsidRPr="006C57F6">
              <w:rPr>
                <w:rFonts w:cs="Times New Roman"/>
                <w:color w:val="000000" w:themeColor="text1"/>
                <w:sz w:val="20"/>
                <w:szCs w:val="20"/>
              </w:rPr>
              <w:br/>
            </w:r>
          </w:p>
        </w:tc>
        <w:tc>
          <w:tcPr>
            <w:tcW w:w="1473" w:type="dxa"/>
          </w:tcPr>
          <w:p w:rsidR="007017E7" w:rsidRPr="006C57F6" w:rsidRDefault="007017E7" w:rsidP="00077604">
            <w:pPr>
              <w:rPr>
                <w:sz w:val="20"/>
                <w:szCs w:val="20"/>
              </w:rPr>
            </w:pPr>
            <w:r w:rsidRPr="006C57F6">
              <w:rPr>
                <w:sz w:val="20"/>
                <w:szCs w:val="20"/>
                <w:u w:val="single"/>
              </w:rPr>
              <w:t>fav</w:t>
            </w:r>
            <w:r w:rsidRPr="006C57F6">
              <w:rPr>
                <w:sz w:val="20"/>
                <w:szCs w:val="20"/>
              </w:rPr>
              <w:t xml:space="preserve">orite, steak, </w:t>
            </w:r>
            <w:r w:rsidRPr="006C57F6">
              <w:rPr>
                <w:sz w:val="20"/>
                <w:szCs w:val="20"/>
                <w:u w:val="single"/>
              </w:rPr>
              <w:t>ra</w:t>
            </w:r>
            <w:r w:rsidRPr="006C57F6">
              <w:rPr>
                <w:sz w:val="20"/>
                <w:szCs w:val="20"/>
              </w:rPr>
              <w:t>dar,</w:t>
            </w:r>
          </w:p>
          <w:p w:rsidR="007017E7" w:rsidRPr="006C57F6" w:rsidRDefault="007017E7" w:rsidP="00077604">
            <w:pPr>
              <w:rPr>
                <w:sz w:val="20"/>
                <w:szCs w:val="20"/>
              </w:rPr>
            </w:pPr>
          </w:p>
        </w:tc>
      </w:tr>
      <w:tr w:rsidR="007017E7" w:rsidRPr="006C57F6" w:rsidTr="007017E7">
        <w:tblPrEx>
          <w:tblBorders>
            <w:top w:val="single" w:sz="4" w:space="0" w:color="auto"/>
            <w:bottom w:val="single" w:sz="4" w:space="0" w:color="auto"/>
            <w:insideH w:val="single" w:sz="4" w:space="0" w:color="auto"/>
          </w:tblBorders>
        </w:tblPrEx>
        <w:trPr>
          <w:gridAfter w:val="2"/>
          <w:wAfter w:w="1564" w:type="dxa"/>
        </w:trPr>
        <w:tc>
          <w:tcPr>
            <w:tcW w:w="1786" w:type="dxa"/>
          </w:tcPr>
          <w:p w:rsidR="007017E7" w:rsidRPr="006C57F6" w:rsidRDefault="007017E7" w:rsidP="00077604">
            <w:pPr>
              <w:widowControl w:val="0"/>
              <w:autoSpaceDE w:val="0"/>
              <w:autoSpaceDN w:val="0"/>
              <w:rPr>
                <w:rFonts w:eastAsia="Times New Roman" w:cs="Times New Roman"/>
                <w:sz w:val="20"/>
                <w:szCs w:val="20"/>
              </w:rPr>
            </w:pPr>
            <w:r w:rsidRPr="006C57F6">
              <w:rPr>
                <w:rFonts w:eastAsia="Times New Roman" w:cs="Times New Roman"/>
                <w:sz w:val="20"/>
                <w:szCs w:val="20"/>
              </w:rPr>
              <w:t>said certificate dangerous comfortable foreign Presley damaged preface</w:t>
            </w:r>
          </w:p>
          <w:p w:rsidR="007017E7" w:rsidRPr="006C57F6" w:rsidRDefault="007017E7" w:rsidP="00077604">
            <w:pPr>
              <w:widowControl w:val="0"/>
              <w:autoSpaceDE w:val="0"/>
              <w:autoSpaceDN w:val="0"/>
              <w:rPr>
                <w:rFonts w:eastAsia="Times New Roman" w:cs="Times New Roman"/>
                <w:sz w:val="20"/>
                <w:szCs w:val="20"/>
              </w:rPr>
            </w:pPr>
            <w:r w:rsidRPr="006C57F6">
              <w:rPr>
                <w:sz w:val="20"/>
                <w:szCs w:val="20"/>
              </w:rPr>
              <w:t>(</w:t>
            </w:r>
            <w:r w:rsidRPr="006C57F6">
              <w:rPr>
                <w:i/>
                <w:sz w:val="20"/>
                <w:szCs w:val="20"/>
              </w:rPr>
              <w:t>in search of ei)</w:t>
            </w:r>
          </w:p>
        </w:tc>
        <w:tc>
          <w:tcPr>
            <w:tcW w:w="4821" w:type="dxa"/>
            <w:gridSpan w:val="3"/>
          </w:tcPr>
          <w:p w:rsidR="007017E7" w:rsidRPr="006C57F6" w:rsidRDefault="007017E7" w:rsidP="00077604">
            <w:pPr>
              <w:rPr>
                <w:sz w:val="20"/>
                <w:szCs w:val="20"/>
              </w:rPr>
            </w:pPr>
            <w:r w:rsidRPr="006C57F6">
              <w:rPr>
                <w:sz w:val="20"/>
                <w:szCs w:val="20"/>
              </w:rPr>
              <w:t>sɛd səˈtɪfɪkɪt ˈd</w:t>
            </w:r>
            <w:r w:rsidRPr="006C57F6">
              <w:rPr>
                <w:sz w:val="20"/>
                <w:szCs w:val="20"/>
                <w:highlight w:val="green"/>
              </w:rPr>
              <w:t>eɪ</w:t>
            </w:r>
            <w:r w:rsidRPr="006C57F6">
              <w:rPr>
                <w:sz w:val="20"/>
                <w:szCs w:val="20"/>
              </w:rPr>
              <w:t>nʤrəs ˈkʌmf(ə)təbl ˈfɒrɪn ˈprɛzli ˈdæmɪʤd ˈprɛfɪs</w:t>
            </w:r>
          </w:p>
        </w:tc>
        <w:tc>
          <w:tcPr>
            <w:tcW w:w="1473" w:type="dxa"/>
          </w:tcPr>
          <w:p w:rsidR="007017E7" w:rsidRPr="006C57F6" w:rsidRDefault="007017E7" w:rsidP="00077604">
            <w:pPr>
              <w:rPr>
                <w:sz w:val="20"/>
                <w:szCs w:val="20"/>
              </w:rPr>
            </w:pPr>
            <w:r w:rsidRPr="006C57F6">
              <w:rPr>
                <w:sz w:val="20"/>
                <w:szCs w:val="20"/>
              </w:rPr>
              <w:t>s</w:t>
            </w:r>
            <w:r w:rsidRPr="006C57F6">
              <w:rPr>
                <w:sz w:val="20"/>
                <w:szCs w:val="20"/>
                <w:u w:val="single"/>
              </w:rPr>
              <w:t>ai</w:t>
            </w:r>
            <w:r w:rsidRPr="006C57F6">
              <w:rPr>
                <w:sz w:val="20"/>
                <w:szCs w:val="20"/>
              </w:rPr>
              <w:t>d</w:t>
            </w:r>
          </w:p>
          <w:p w:rsidR="007017E7" w:rsidRPr="006C57F6" w:rsidRDefault="007017E7" w:rsidP="00077604">
            <w:pPr>
              <w:rPr>
                <w:sz w:val="20"/>
                <w:szCs w:val="20"/>
              </w:rPr>
            </w:pPr>
          </w:p>
        </w:tc>
      </w:tr>
      <w:tr w:rsidR="007017E7" w:rsidRPr="006C57F6" w:rsidTr="007017E7">
        <w:tblPrEx>
          <w:tblBorders>
            <w:top w:val="single" w:sz="4" w:space="0" w:color="auto"/>
            <w:bottom w:val="single" w:sz="4" w:space="0" w:color="auto"/>
            <w:insideH w:val="single" w:sz="4" w:space="0" w:color="auto"/>
          </w:tblBorders>
        </w:tblPrEx>
        <w:trPr>
          <w:gridAfter w:val="2"/>
          <w:wAfter w:w="1564" w:type="dxa"/>
        </w:trPr>
        <w:tc>
          <w:tcPr>
            <w:tcW w:w="1786" w:type="dxa"/>
          </w:tcPr>
          <w:p w:rsidR="007017E7" w:rsidRPr="006C57F6" w:rsidRDefault="007017E7" w:rsidP="00077604">
            <w:pPr>
              <w:widowControl w:val="0"/>
              <w:autoSpaceDE w:val="0"/>
              <w:autoSpaceDN w:val="0"/>
              <w:rPr>
                <w:rFonts w:eastAsia="Times New Roman" w:cs="Times New Roman"/>
                <w:sz w:val="20"/>
                <w:szCs w:val="20"/>
              </w:rPr>
            </w:pPr>
            <w:r w:rsidRPr="006C57F6">
              <w:rPr>
                <w:rFonts w:eastAsia="Times New Roman" w:cs="Times New Roman"/>
                <w:sz w:val="20"/>
                <w:szCs w:val="20"/>
              </w:rPr>
              <w:t>opposite examined mountains Streisand climate said captain</w:t>
            </w:r>
          </w:p>
          <w:p w:rsidR="007017E7" w:rsidRPr="006C57F6" w:rsidRDefault="007017E7" w:rsidP="00077604">
            <w:pPr>
              <w:widowControl w:val="0"/>
              <w:autoSpaceDE w:val="0"/>
              <w:autoSpaceDN w:val="0"/>
              <w:rPr>
                <w:rFonts w:eastAsia="Times New Roman" w:cs="Times New Roman"/>
                <w:sz w:val="20"/>
                <w:szCs w:val="20"/>
              </w:rPr>
            </w:pPr>
            <w:r w:rsidRPr="006C57F6">
              <w:rPr>
                <w:rFonts w:eastAsia="Times New Roman" w:cs="Times New Roman"/>
                <w:sz w:val="20"/>
                <w:szCs w:val="20"/>
              </w:rPr>
              <w:t>(</w:t>
            </w:r>
            <w:r w:rsidRPr="006C57F6">
              <w:rPr>
                <w:rFonts w:eastAsia="Times New Roman" w:cs="Times New Roman"/>
                <w:i/>
                <w:sz w:val="20"/>
                <w:szCs w:val="20"/>
              </w:rPr>
              <w:t>in search of sound ai)</w:t>
            </w:r>
          </w:p>
        </w:tc>
        <w:tc>
          <w:tcPr>
            <w:tcW w:w="4821" w:type="dxa"/>
            <w:gridSpan w:val="3"/>
          </w:tcPr>
          <w:p w:rsidR="007017E7" w:rsidRPr="006C57F6" w:rsidRDefault="007017E7" w:rsidP="00077604">
            <w:pPr>
              <w:rPr>
                <w:sz w:val="20"/>
                <w:szCs w:val="20"/>
              </w:rPr>
            </w:pPr>
            <w:r w:rsidRPr="006C57F6">
              <w:rPr>
                <w:sz w:val="20"/>
                <w:szCs w:val="20"/>
              </w:rPr>
              <w:t>ˈɒpəzɪt ɪgˈzæmɪnd ˈmaʊntɪnz St</w:t>
            </w:r>
            <w:r w:rsidRPr="006C57F6">
              <w:rPr>
                <w:sz w:val="20"/>
                <w:szCs w:val="20"/>
                <w:highlight w:val="green"/>
              </w:rPr>
              <w:t>rai</w:t>
            </w:r>
            <w:r w:rsidRPr="006C57F6">
              <w:rPr>
                <w:sz w:val="20"/>
                <w:szCs w:val="20"/>
              </w:rPr>
              <w:t>send (straisaend) ˈkl</w:t>
            </w:r>
            <w:r w:rsidRPr="006C57F6">
              <w:rPr>
                <w:sz w:val="20"/>
                <w:szCs w:val="20"/>
                <w:highlight w:val="green"/>
              </w:rPr>
              <w:t>aɪ</w:t>
            </w:r>
            <w:r w:rsidRPr="006C57F6">
              <w:rPr>
                <w:sz w:val="20"/>
                <w:szCs w:val="20"/>
              </w:rPr>
              <w:t>mɪt sɛd ˈkæptɪn</w:t>
            </w:r>
          </w:p>
          <w:p w:rsidR="007017E7" w:rsidRPr="006C57F6" w:rsidRDefault="007017E7" w:rsidP="00077604">
            <w:pPr>
              <w:rPr>
                <w:sz w:val="20"/>
                <w:szCs w:val="20"/>
              </w:rPr>
            </w:pPr>
          </w:p>
        </w:tc>
        <w:tc>
          <w:tcPr>
            <w:tcW w:w="1473" w:type="dxa"/>
          </w:tcPr>
          <w:p w:rsidR="007017E7" w:rsidRPr="006C57F6" w:rsidRDefault="007017E7" w:rsidP="00077604">
            <w:pPr>
              <w:rPr>
                <w:sz w:val="20"/>
                <w:szCs w:val="20"/>
              </w:rPr>
            </w:pPr>
            <w:r w:rsidRPr="006C57F6">
              <w:rPr>
                <w:sz w:val="20"/>
                <w:szCs w:val="20"/>
              </w:rPr>
              <w:t>M</w:t>
            </w:r>
            <w:r w:rsidRPr="006C57F6">
              <w:rPr>
                <w:sz w:val="20"/>
                <w:szCs w:val="20"/>
                <w:u w:val="single"/>
              </w:rPr>
              <w:t>ou</w:t>
            </w:r>
            <w:r w:rsidRPr="006C57F6">
              <w:rPr>
                <w:sz w:val="20"/>
                <w:szCs w:val="20"/>
              </w:rPr>
              <w:t>ntains,</w:t>
            </w:r>
          </w:p>
          <w:p w:rsidR="007017E7" w:rsidRPr="006C57F6" w:rsidRDefault="007017E7" w:rsidP="00077604">
            <w:pPr>
              <w:rPr>
                <w:sz w:val="20"/>
                <w:szCs w:val="20"/>
              </w:rPr>
            </w:pPr>
            <w:r w:rsidRPr="006C57F6">
              <w:rPr>
                <w:sz w:val="20"/>
                <w:szCs w:val="20"/>
              </w:rPr>
              <w:t>St</w:t>
            </w:r>
            <w:r w:rsidRPr="006C57F6">
              <w:rPr>
                <w:i/>
                <w:sz w:val="20"/>
                <w:szCs w:val="20"/>
                <w:u w:val="single"/>
              </w:rPr>
              <w:t>reis</w:t>
            </w:r>
            <w:r w:rsidRPr="006C57F6">
              <w:rPr>
                <w:sz w:val="20"/>
                <w:szCs w:val="20"/>
              </w:rPr>
              <w:t xml:space="preserve">and, </w:t>
            </w:r>
            <w:r w:rsidRPr="006C57F6">
              <w:rPr>
                <w:sz w:val="20"/>
                <w:szCs w:val="20"/>
                <w:u w:val="single"/>
              </w:rPr>
              <w:t>cli</w:t>
            </w:r>
            <w:r w:rsidRPr="006C57F6">
              <w:rPr>
                <w:sz w:val="20"/>
                <w:szCs w:val="20"/>
              </w:rPr>
              <w:t>mate</w:t>
            </w:r>
          </w:p>
        </w:tc>
      </w:tr>
      <w:tr w:rsidR="007017E7" w:rsidRPr="006C57F6" w:rsidTr="007017E7">
        <w:tblPrEx>
          <w:tblBorders>
            <w:top w:val="single" w:sz="4" w:space="0" w:color="auto"/>
            <w:bottom w:val="single" w:sz="4" w:space="0" w:color="auto"/>
            <w:insideH w:val="single" w:sz="4" w:space="0" w:color="auto"/>
          </w:tblBorders>
        </w:tblPrEx>
        <w:trPr>
          <w:gridAfter w:val="2"/>
          <w:wAfter w:w="1564" w:type="dxa"/>
        </w:trPr>
        <w:tc>
          <w:tcPr>
            <w:tcW w:w="1786" w:type="dxa"/>
          </w:tcPr>
          <w:p w:rsidR="007017E7" w:rsidRPr="006C57F6" w:rsidRDefault="007017E7" w:rsidP="00077604">
            <w:pPr>
              <w:rPr>
                <w:sz w:val="20"/>
                <w:szCs w:val="20"/>
              </w:rPr>
            </w:pPr>
            <w:r w:rsidRPr="006C57F6">
              <w:rPr>
                <w:sz w:val="20"/>
                <w:szCs w:val="20"/>
              </w:rPr>
              <w:t>instead sweat said dead bead mead head meat</w:t>
            </w:r>
          </w:p>
          <w:p w:rsidR="007017E7" w:rsidRPr="006C57F6" w:rsidRDefault="007017E7" w:rsidP="00077604">
            <w:pPr>
              <w:rPr>
                <w:i/>
                <w:sz w:val="20"/>
                <w:szCs w:val="20"/>
              </w:rPr>
            </w:pPr>
            <w:r w:rsidRPr="006C57F6">
              <w:rPr>
                <w:i/>
                <w:sz w:val="20"/>
                <w:szCs w:val="20"/>
              </w:rPr>
              <w:t>(in search of sound eor ɛ)</w:t>
            </w:r>
          </w:p>
        </w:tc>
        <w:tc>
          <w:tcPr>
            <w:tcW w:w="4821" w:type="dxa"/>
            <w:gridSpan w:val="3"/>
          </w:tcPr>
          <w:p w:rsidR="007017E7" w:rsidRPr="006C57F6" w:rsidRDefault="007017E7" w:rsidP="00077604">
            <w:pPr>
              <w:rPr>
                <w:sz w:val="20"/>
                <w:szCs w:val="20"/>
              </w:rPr>
            </w:pPr>
            <w:r w:rsidRPr="006C57F6">
              <w:rPr>
                <w:sz w:val="20"/>
                <w:szCs w:val="20"/>
              </w:rPr>
              <w:t>ɪnˈst</w:t>
            </w:r>
            <w:r w:rsidRPr="006C57F6">
              <w:rPr>
                <w:sz w:val="20"/>
                <w:szCs w:val="20"/>
                <w:highlight w:val="green"/>
              </w:rPr>
              <w:t>ɛ</w:t>
            </w:r>
            <w:r w:rsidRPr="006C57F6">
              <w:rPr>
                <w:sz w:val="20"/>
                <w:szCs w:val="20"/>
              </w:rPr>
              <w:t>d sw</w:t>
            </w:r>
            <w:r w:rsidRPr="006C57F6">
              <w:rPr>
                <w:sz w:val="20"/>
                <w:szCs w:val="20"/>
                <w:highlight w:val="green"/>
              </w:rPr>
              <w:t>ɛ</w:t>
            </w:r>
            <w:r w:rsidRPr="006C57F6">
              <w:rPr>
                <w:sz w:val="20"/>
                <w:szCs w:val="20"/>
              </w:rPr>
              <w:t>t s</w:t>
            </w:r>
            <w:r w:rsidRPr="006C57F6">
              <w:rPr>
                <w:sz w:val="20"/>
                <w:szCs w:val="20"/>
                <w:highlight w:val="green"/>
              </w:rPr>
              <w:t>ɛ</w:t>
            </w:r>
            <w:r w:rsidRPr="006C57F6">
              <w:rPr>
                <w:sz w:val="20"/>
                <w:szCs w:val="20"/>
              </w:rPr>
              <w:t>d d</w:t>
            </w:r>
            <w:r w:rsidRPr="006C57F6">
              <w:rPr>
                <w:sz w:val="20"/>
                <w:szCs w:val="20"/>
                <w:highlight w:val="green"/>
              </w:rPr>
              <w:t>ɛ</w:t>
            </w:r>
            <w:r w:rsidRPr="006C57F6">
              <w:rPr>
                <w:sz w:val="20"/>
                <w:szCs w:val="20"/>
              </w:rPr>
              <w:t>d biːd miːd h</w:t>
            </w:r>
            <w:r w:rsidRPr="006C57F6">
              <w:rPr>
                <w:sz w:val="20"/>
                <w:szCs w:val="20"/>
                <w:highlight w:val="green"/>
              </w:rPr>
              <w:t>ɛ</w:t>
            </w:r>
            <w:r w:rsidRPr="006C57F6">
              <w:rPr>
                <w:sz w:val="20"/>
                <w:szCs w:val="20"/>
              </w:rPr>
              <w:t>d miːt</w:t>
            </w:r>
          </w:p>
        </w:tc>
        <w:tc>
          <w:tcPr>
            <w:tcW w:w="1473" w:type="dxa"/>
          </w:tcPr>
          <w:p w:rsidR="007017E7" w:rsidRPr="006C57F6" w:rsidRDefault="007017E7" w:rsidP="00077604">
            <w:pPr>
              <w:rPr>
                <w:sz w:val="20"/>
                <w:szCs w:val="20"/>
              </w:rPr>
            </w:pPr>
            <w:r w:rsidRPr="006C57F6">
              <w:rPr>
                <w:sz w:val="20"/>
                <w:szCs w:val="20"/>
              </w:rPr>
              <w:t>sw</w:t>
            </w:r>
            <w:r w:rsidRPr="006C57F6">
              <w:rPr>
                <w:sz w:val="20"/>
                <w:szCs w:val="20"/>
                <w:u w:val="single"/>
              </w:rPr>
              <w:t>ea</w:t>
            </w:r>
            <w:r w:rsidRPr="006C57F6">
              <w:rPr>
                <w:sz w:val="20"/>
                <w:szCs w:val="20"/>
              </w:rPr>
              <w:t>t, d</w:t>
            </w:r>
            <w:r w:rsidRPr="006C57F6">
              <w:rPr>
                <w:sz w:val="20"/>
                <w:szCs w:val="20"/>
                <w:u w:val="single"/>
              </w:rPr>
              <w:t>ea</w:t>
            </w:r>
            <w:r w:rsidRPr="006C57F6">
              <w:rPr>
                <w:sz w:val="20"/>
                <w:szCs w:val="20"/>
              </w:rPr>
              <w:t>d, h</w:t>
            </w:r>
            <w:r w:rsidRPr="006C57F6">
              <w:rPr>
                <w:sz w:val="20"/>
                <w:szCs w:val="20"/>
                <w:u w:val="single"/>
              </w:rPr>
              <w:t>ea</w:t>
            </w:r>
            <w:r w:rsidRPr="006C57F6">
              <w:rPr>
                <w:sz w:val="20"/>
                <w:szCs w:val="20"/>
              </w:rPr>
              <w:t xml:space="preserve">d, said, </w:t>
            </w:r>
          </w:p>
        </w:tc>
      </w:tr>
      <w:tr w:rsidR="007017E7" w:rsidRPr="006C57F6" w:rsidTr="007017E7">
        <w:tblPrEx>
          <w:tblBorders>
            <w:top w:val="single" w:sz="4" w:space="0" w:color="auto"/>
            <w:bottom w:val="single" w:sz="4" w:space="0" w:color="auto"/>
            <w:insideH w:val="single" w:sz="4" w:space="0" w:color="auto"/>
          </w:tblBorders>
        </w:tblPrEx>
        <w:trPr>
          <w:gridAfter w:val="2"/>
          <w:wAfter w:w="1564" w:type="dxa"/>
        </w:trPr>
        <w:tc>
          <w:tcPr>
            <w:tcW w:w="1786" w:type="dxa"/>
          </w:tcPr>
          <w:p w:rsidR="007017E7" w:rsidRPr="006C57F6" w:rsidRDefault="007017E7" w:rsidP="00077604">
            <w:pPr>
              <w:rPr>
                <w:sz w:val="20"/>
                <w:szCs w:val="20"/>
              </w:rPr>
            </w:pPr>
            <w:r w:rsidRPr="006C57F6">
              <w:rPr>
                <w:rFonts w:eastAsia="Times New Roman" w:cs="Times New Roman"/>
                <w:sz w:val="20"/>
                <w:szCs w:val="20"/>
              </w:rPr>
              <w:t xml:space="preserve">Turner Murphy nurse worked </w:t>
            </w:r>
            <w:r w:rsidRPr="006C57F6">
              <w:rPr>
                <w:rFonts w:eastAsia="Times New Roman" w:cs="Times New Roman"/>
                <w:sz w:val="20"/>
                <w:szCs w:val="20"/>
              </w:rPr>
              <w:lastRenderedPageBreak/>
              <w:t>journey Turkey colonel</w:t>
            </w:r>
          </w:p>
          <w:p w:rsidR="007017E7" w:rsidRPr="006C57F6" w:rsidRDefault="007017E7" w:rsidP="00077604">
            <w:pPr>
              <w:rPr>
                <w:sz w:val="20"/>
                <w:szCs w:val="20"/>
              </w:rPr>
            </w:pPr>
            <w:r w:rsidRPr="006C57F6">
              <w:rPr>
                <w:sz w:val="20"/>
                <w:szCs w:val="20"/>
              </w:rPr>
              <w:t>(</w:t>
            </w:r>
            <w:r w:rsidRPr="006C57F6">
              <w:rPr>
                <w:rFonts w:eastAsia="Times New Roman" w:cs="Times New Roman"/>
                <w:i/>
                <w:sz w:val="20"/>
                <w:szCs w:val="20"/>
              </w:rPr>
              <w:t>in search of ɜː)</w:t>
            </w:r>
          </w:p>
        </w:tc>
        <w:tc>
          <w:tcPr>
            <w:tcW w:w="4821" w:type="dxa"/>
            <w:gridSpan w:val="3"/>
          </w:tcPr>
          <w:p w:rsidR="007017E7" w:rsidRPr="006C57F6" w:rsidRDefault="007017E7" w:rsidP="00077604">
            <w:pPr>
              <w:rPr>
                <w:sz w:val="20"/>
                <w:szCs w:val="20"/>
              </w:rPr>
            </w:pPr>
            <w:r w:rsidRPr="006C57F6">
              <w:rPr>
                <w:sz w:val="20"/>
                <w:szCs w:val="20"/>
              </w:rPr>
              <w:lastRenderedPageBreak/>
              <w:t>ˈt</w:t>
            </w:r>
            <w:r w:rsidRPr="006C57F6">
              <w:rPr>
                <w:sz w:val="20"/>
                <w:szCs w:val="20"/>
                <w:highlight w:val="green"/>
              </w:rPr>
              <w:t>ɜː</w:t>
            </w:r>
            <w:r w:rsidRPr="006C57F6">
              <w:rPr>
                <w:sz w:val="20"/>
                <w:szCs w:val="20"/>
              </w:rPr>
              <w:t>nə ˈm</w:t>
            </w:r>
            <w:r w:rsidRPr="006C57F6">
              <w:rPr>
                <w:sz w:val="20"/>
                <w:szCs w:val="20"/>
                <w:highlight w:val="green"/>
              </w:rPr>
              <w:t>ɜː</w:t>
            </w:r>
            <w:r w:rsidRPr="006C57F6">
              <w:rPr>
                <w:sz w:val="20"/>
                <w:szCs w:val="20"/>
              </w:rPr>
              <w:t>fi n</w:t>
            </w:r>
            <w:r w:rsidRPr="006C57F6">
              <w:rPr>
                <w:sz w:val="20"/>
                <w:szCs w:val="20"/>
                <w:highlight w:val="green"/>
              </w:rPr>
              <w:t>ɜː</w:t>
            </w:r>
            <w:r w:rsidRPr="006C57F6">
              <w:rPr>
                <w:sz w:val="20"/>
                <w:szCs w:val="20"/>
              </w:rPr>
              <w:t>s w</w:t>
            </w:r>
            <w:r w:rsidRPr="006C57F6">
              <w:rPr>
                <w:sz w:val="20"/>
                <w:szCs w:val="20"/>
                <w:highlight w:val="green"/>
              </w:rPr>
              <w:t>ɜː</w:t>
            </w:r>
            <w:r w:rsidRPr="006C57F6">
              <w:rPr>
                <w:sz w:val="20"/>
                <w:szCs w:val="20"/>
              </w:rPr>
              <w:t>kt ˈʤ</w:t>
            </w:r>
            <w:r w:rsidRPr="006C57F6">
              <w:rPr>
                <w:sz w:val="20"/>
                <w:szCs w:val="20"/>
                <w:highlight w:val="green"/>
              </w:rPr>
              <w:t>ɜː</w:t>
            </w:r>
            <w:r w:rsidRPr="006C57F6">
              <w:rPr>
                <w:sz w:val="20"/>
                <w:szCs w:val="20"/>
              </w:rPr>
              <w:t>ni ˈtɜːki ˈk</w:t>
            </w:r>
            <w:r w:rsidRPr="006C57F6">
              <w:rPr>
                <w:sz w:val="20"/>
                <w:szCs w:val="20"/>
                <w:highlight w:val="green"/>
              </w:rPr>
              <w:t>ɜː</w:t>
            </w:r>
            <w:r w:rsidRPr="006C57F6">
              <w:rPr>
                <w:sz w:val="20"/>
                <w:szCs w:val="20"/>
              </w:rPr>
              <w:t>nl</w:t>
            </w:r>
          </w:p>
        </w:tc>
        <w:tc>
          <w:tcPr>
            <w:tcW w:w="1473" w:type="dxa"/>
          </w:tcPr>
          <w:p w:rsidR="007017E7" w:rsidRPr="006C57F6" w:rsidRDefault="007017E7" w:rsidP="00077604">
            <w:pPr>
              <w:rPr>
                <w:sz w:val="20"/>
                <w:szCs w:val="20"/>
              </w:rPr>
            </w:pPr>
            <w:r w:rsidRPr="006C57F6">
              <w:rPr>
                <w:sz w:val="20"/>
                <w:szCs w:val="20"/>
              </w:rPr>
              <w:t>T</w:t>
            </w:r>
            <w:r w:rsidRPr="006C57F6">
              <w:rPr>
                <w:sz w:val="20"/>
                <w:szCs w:val="20"/>
                <w:u w:val="single"/>
              </w:rPr>
              <w:t>ur</w:t>
            </w:r>
            <w:r w:rsidRPr="006C57F6">
              <w:rPr>
                <w:sz w:val="20"/>
                <w:szCs w:val="20"/>
              </w:rPr>
              <w:t>ner, m</w:t>
            </w:r>
            <w:r w:rsidRPr="006C57F6">
              <w:rPr>
                <w:sz w:val="20"/>
                <w:szCs w:val="20"/>
                <w:u w:val="single"/>
              </w:rPr>
              <w:t>ur</w:t>
            </w:r>
            <w:r w:rsidRPr="006C57F6">
              <w:rPr>
                <w:sz w:val="20"/>
                <w:szCs w:val="20"/>
              </w:rPr>
              <w:t>phy, n</w:t>
            </w:r>
            <w:r w:rsidRPr="006C57F6">
              <w:rPr>
                <w:sz w:val="20"/>
                <w:szCs w:val="20"/>
                <w:u w:val="single"/>
              </w:rPr>
              <w:t>ur</w:t>
            </w:r>
            <w:r w:rsidRPr="006C57F6">
              <w:rPr>
                <w:sz w:val="20"/>
                <w:szCs w:val="20"/>
              </w:rPr>
              <w:t xml:space="preserve">se, </w:t>
            </w:r>
            <w:r w:rsidRPr="006C57F6">
              <w:rPr>
                <w:sz w:val="20"/>
                <w:szCs w:val="20"/>
              </w:rPr>
              <w:lastRenderedPageBreak/>
              <w:t>w</w:t>
            </w:r>
            <w:r w:rsidRPr="006C57F6">
              <w:rPr>
                <w:sz w:val="20"/>
                <w:szCs w:val="20"/>
                <w:u w:val="single"/>
              </w:rPr>
              <w:t>or</w:t>
            </w:r>
            <w:r w:rsidRPr="006C57F6">
              <w:rPr>
                <w:sz w:val="20"/>
                <w:szCs w:val="20"/>
              </w:rPr>
              <w:t>k, j</w:t>
            </w:r>
            <w:r w:rsidRPr="006C57F6">
              <w:rPr>
                <w:sz w:val="20"/>
                <w:szCs w:val="20"/>
                <w:u w:val="single"/>
              </w:rPr>
              <w:t>our</w:t>
            </w:r>
            <w:r w:rsidRPr="006C57F6">
              <w:rPr>
                <w:sz w:val="20"/>
                <w:szCs w:val="20"/>
              </w:rPr>
              <w:t>ney and co</w:t>
            </w:r>
            <w:r w:rsidRPr="006C57F6">
              <w:rPr>
                <w:sz w:val="20"/>
                <w:szCs w:val="20"/>
                <w:u w:val="single"/>
              </w:rPr>
              <w:t>l</w:t>
            </w:r>
            <w:r w:rsidRPr="006C57F6">
              <w:rPr>
                <w:sz w:val="20"/>
                <w:szCs w:val="20"/>
              </w:rPr>
              <w:t>on</w:t>
            </w:r>
            <w:r w:rsidRPr="006C57F6">
              <w:rPr>
                <w:sz w:val="20"/>
                <w:szCs w:val="20"/>
                <w:u w:val="single"/>
              </w:rPr>
              <w:t>e</w:t>
            </w:r>
            <w:r w:rsidRPr="006C57F6">
              <w:rPr>
                <w:sz w:val="20"/>
                <w:szCs w:val="20"/>
              </w:rPr>
              <w:t>l</w:t>
            </w:r>
          </w:p>
        </w:tc>
      </w:tr>
      <w:tr w:rsidR="007017E7" w:rsidRPr="006C57F6" w:rsidTr="007017E7">
        <w:tblPrEx>
          <w:tblBorders>
            <w:top w:val="single" w:sz="4" w:space="0" w:color="auto"/>
            <w:bottom w:val="single" w:sz="4" w:space="0" w:color="auto"/>
            <w:insideH w:val="single" w:sz="4" w:space="0" w:color="auto"/>
          </w:tblBorders>
        </w:tblPrEx>
        <w:trPr>
          <w:gridAfter w:val="2"/>
          <w:wAfter w:w="1564" w:type="dxa"/>
        </w:trPr>
        <w:tc>
          <w:tcPr>
            <w:tcW w:w="1786" w:type="dxa"/>
          </w:tcPr>
          <w:p w:rsidR="007017E7" w:rsidRPr="006C57F6" w:rsidRDefault="007017E7" w:rsidP="00077604">
            <w:pPr>
              <w:widowControl w:val="0"/>
              <w:autoSpaceDE w:val="0"/>
              <w:autoSpaceDN w:val="0"/>
              <w:rPr>
                <w:rFonts w:eastAsia="Times New Roman" w:cs="Times New Roman"/>
                <w:sz w:val="20"/>
                <w:szCs w:val="20"/>
              </w:rPr>
            </w:pPr>
            <w:r w:rsidRPr="006C57F6">
              <w:rPr>
                <w:rFonts w:eastAsia="Times New Roman" w:cs="Times New Roman"/>
                <w:sz w:val="20"/>
                <w:szCs w:val="20"/>
              </w:rPr>
              <w:lastRenderedPageBreak/>
              <w:t>guinea pig foreign opposite Presley favourite</w:t>
            </w:r>
          </w:p>
          <w:p w:rsidR="007017E7" w:rsidRPr="006C57F6" w:rsidRDefault="007017E7" w:rsidP="00077604">
            <w:pPr>
              <w:widowControl w:val="0"/>
              <w:autoSpaceDE w:val="0"/>
              <w:autoSpaceDN w:val="0"/>
              <w:rPr>
                <w:rFonts w:eastAsia="Times New Roman" w:cs="Times New Roman"/>
                <w:sz w:val="20"/>
                <w:szCs w:val="20"/>
              </w:rPr>
            </w:pPr>
            <w:r w:rsidRPr="006C57F6">
              <w:rPr>
                <w:rFonts w:eastAsia="Times New Roman" w:cs="Times New Roman"/>
                <w:sz w:val="20"/>
                <w:szCs w:val="20"/>
              </w:rPr>
              <w:t>in search of sound ɪ</w:t>
            </w:r>
          </w:p>
        </w:tc>
        <w:tc>
          <w:tcPr>
            <w:tcW w:w="4821" w:type="dxa"/>
            <w:gridSpan w:val="3"/>
          </w:tcPr>
          <w:p w:rsidR="007017E7" w:rsidRPr="006C57F6" w:rsidRDefault="007017E7" w:rsidP="00077604">
            <w:pPr>
              <w:rPr>
                <w:sz w:val="20"/>
                <w:szCs w:val="20"/>
              </w:rPr>
            </w:pPr>
            <w:r w:rsidRPr="006C57F6">
              <w:rPr>
                <w:sz w:val="20"/>
                <w:szCs w:val="20"/>
              </w:rPr>
              <w:t>ˈg</w:t>
            </w:r>
            <w:r w:rsidRPr="006C57F6">
              <w:rPr>
                <w:sz w:val="20"/>
                <w:szCs w:val="20"/>
                <w:highlight w:val="green"/>
              </w:rPr>
              <w:t>ɪ</w:t>
            </w:r>
            <w:r w:rsidRPr="006C57F6">
              <w:rPr>
                <w:sz w:val="20"/>
                <w:szCs w:val="20"/>
              </w:rPr>
              <w:t>ni p</w:t>
            </w:r>
            <w:r w:rsidRPr="006C57F6">
              <w:rPr>
                <w:sz w:val="20"/>
                <w:szCs w:val="20"/>
                <w:highlight w:val="green"/>
              </w:rPr>
              <w:t>ɪ</w:t>
            </w:r>
            <w:r w:rsidRPr="006C57F6">
              <w:rPr>
                <w:sz w:val="20"/>
                <w:szCs w:val="20"/>
              </w:rPr>
              <w:t>g ˈfɒrɪn ˈɒpəz</w:t>
            </w:r>
            <w:r w:rsidRPr="006C57F6">
              <w:rPr>
                <w:sz w:val="20"/>
                <w:szCs w:val="20"/>
                <w:highlight w:val="green"/>
              </w:rPr>
              <w:t>ɪ</w:t>
            </w:r>
            <w:r w:rsidRPr="006C57F6">
              <w:rPr>
                <w:sz w:val="20"/>
                <w:szCs w:val="20"/>
              </w:rPr>
              <w:t>t ˈprɛzli ˈfeɪvər</w:t>
            </w:r>
            <w:r w:rsidRPr="006C57F6">
              <w:rPr>
                <w:sz w:val="20"/>
                <w:szCs w:val="20"/>
                <w:highlight w:val="green"/>
              </w:rPr>
              <w:t>ɪ</w:t>
            </w:r>
            <w:r w:rsidRPr="006C57F6">
              <w:rPr>
                <w:sz w:val="20"/>
                <w:szCs w:val="20"/>
              </w:rPr>
              <w:t>t</w:t>
            </w:r>
          </w:p>
          <w:p w:rsidR="007017E7" w:rsidRPr="006C57F6" w:rsidRDefault="007017E7" w:rsidP="00077604">
            <w:pPr>
              <w:rPr>
                <w:sz w:val="20"/>
                <w:szCs w:val="20"/>
              </w:rPr>
            </w:pPr>
          </w:p>
        </w:tc>
        <w:tc>
          <w:tcPr>
            <w:tcW w:w="1473" w:type="dxa"/>
          </w:tcPr>
          <w:p w:rsidR="007017E7" w:rsidRPr="006C57F6" w:rsidRDefault="007017E7" w:rsidP="00077604">
            <w:pPr>
              <w:rPr>
                <w:sz w:val="20"/>
                <w:szCs w:val="20"/>
              </w:rPr>
            </w:pPr>
            <w:r w:rsidRPr="006C57F6">
              <w:rPr>
                <w:sz w:val="20"/>
                <w:szCs w:val="20"/>
              </w:rPr>
              <w:t>Gu</w:t>
            </w:r>
            <w:r w:rsidRPr="006C57F6">
              <w:rPr>
                <w:sz w:val="20"/>
                <w:szCs w:val="20"/>
                <w:u w:val="single"/>
              </w:rPr>
              <w:t>i</w:t>
            </w:r>
            <w:r w:rsidRPr="006C57F6">
              <w:rPr>
                <w:sz w:val="20"/>
                <w:szCs w:val="20"/>
              </w:rPr>
              <w:t>nea</w:t>
            </w:r>
          </w:p>
          <w:p w:rsidR="007017E7" w:rsidRPr="006C57F6" w:rsidRDefault="007017E7" w:rsidP="00077604">
            <w:pPr>
              <w:rPr>
                <w:sz w:val="20"/>
                <w:szCs w:val="20"/>
              </w:rPr>
            </w:pPr>
            <w:r w:rsidRPr="006C57F6">
              <w:rPr>
                <w:sz w:val="20"/>
                <w:szCs w:val="20"/>
              </w:rPr>
              <w:t>P</w:t>
            </w:r>
            <w:r w:rsidRPr="006C57F6">
              <w:rPr>
                <w:sz w:val="20"/>
                <w:szCs w:val="20"/>
                <w:u w:val="single"/>
              </w:rPr>
              <w:t>i</w:t>
            </w:r>
            <w:r w:rsidRPr="006C57F6">
              <w:rPr>
                <w:sz w:val="20"/>
                <w:szCs w:val="20"/>
              </w:rPr>
              <w:t>g</w:t>
            </w:r>
          </w:p>
          <w:p w:rsidR="007017E7" w:rsidRPr="006C57F6" w:rsidRDefault="007017E7" w:rsidP="00077604">
            <w:pPr>
              <w:rPr>
                <w:sz w:val="20"/>
                <w:szCs w:val="20"/>
              </w:rPr>
            </w:pPr>
            <w:r w:rsidRPr="006C57F6">
              <w:rPr>
                <w:sz w:val="20"/>
                <w:szCs w:val="20"/>
              </w:rPr>
              <w:t>Fore</w:t>
            </w:r>
            <w:r w:rsidRPr="006C57F6">
              <w:rPr>
                <w:sz w:val="20"/>
                <w:szCs w:val="20"/>
                <w:u w:val="single"/>
              </w:rPr>
              <w:t>i</w:t>
            </w:r>
            <w:r w:rsidRPr="006C57F6">
              <w:rPr>
                <w:sz w:val="20"/>
                <w:szCs w:val="20"/>
              </w:rPr>
              <w:t>gn</w:t>
            </w:r>
          </w:p>
          <w:p w:rsidR="007017E7" w:rsidRPr="006C57F6" w:rsidRDefault="007017E7" w:rsidP="00077604">
            <w:pPr>
              <w:rPr>
                <w:sz w:val="20"/>
                <w:szCs w:val="20"/>
              </w:rPr>
            </w:pPr>
            <w:r w:rsidRPr="006C57F6">
              <w:rPr>
                <w:sz w:val="20"/>
                <w:szCs w:val="20"/>
              </w:rPr>
              <w:t>Oppos</w:t>
            </w:r>
            <w:r w:rsidRPr="006C57F6">
              <w:rPr>
                <w:sz w:val="20"/>
                <w:szCs w:val="20"/>
                <w:u w:val="single"/>
              </w:rPr>
              <w:t>i</w:t>
            </w:r>
            <w:r w:rsidRPr="006C57F6">
              <w:rPr>
                <w:sz w:val="20"/>
                <w:szCs w:val="20"/>
              </w:rPr>
              <w:t>te</w:t>
            </w:r>
          </w:p>
          <w:p w:rsidR="007017E7" w:rsidRPr="006C57F6" w:rsidRDefault="007017E7" w:rsidP="00077604">
            <w:pPr>
              <w:rPr>
                <w:sz w:val="20"/>
                <w:szCs w:val="20"/>
              </w:rPr>
            </w:pPr>
            <w:r w:rsidRPr="006C57F6">
              <w:rPr>
                <w:sz w:val="20"/>
                <w:szCs w:val="20"/>
              </w:rPr>
              <w:t>Favor</w:t>
            </w:r>
            <w:r w:rsidRPr="006C57F6">
              <w:rPr>
                <w:sz w:val="20"/>
                <w:szCs w:val="20"/>
                <w:u w:val="single"/>
              </w:rPr>
              <w:t>i</w:t>
            </w:r>
            <w:r w:rsidRPr="006C57F6">
              <w:rPr>
                <w:sz w:val="20"/>
                <w:szCs w:val="20"/>
              </w:rPr>
              <w:t xml:space="preserve">te </w:t>
            </w:r>
          </w:p>
          <w:p w:rsidR="007017E7" w:rsidRPr="006C57F6" w:rsidRDefault="007017E7" w:rsidP="00077604">
            <w:pPr>
              <w:rPr>
                <w:sz w:val="20"/>
                <w:szCs w:val="20"/>
              </w:rPr>
            </w:pPr>
            <w:r w:rsidRPr="006C57F6">
              <w:rPr>
                <w:sz w:val="20"/>
                <w:szCs w:val="20"/>
              </w:rPr>
              <w:t>Presle</w:t>
            </w:r>
            <w:r w:rsidRPr="006C57F6">
              <w:rPr>
                <w:sz w:val="20"/>
                <w:szCs w:val="20"/>
                <w:u w:val="single"/>
              </w:rPr>
              <w:t>y</w:t>
            </w:r>
          </w:p>
        </w:tc>
      </w:tr>
      <w:tr w:rsidR="007017E7" w:rsidRPr="006C57F6" w:rsidTr="007017E7">
        <w:tblPrEx>
          <w:tblBorders>
            <w:top w:val="single" w:sz="4" w:space="0" w:color="auto"/>
            <w:bottom w:val="single" w:sz="4" w:space="0" w:color="auto"/>
            <w:insideH w:val="single" w:sz="4" w:space="0" w:color="auto"/>
          </w:tblBorders>
        </w:tblPrEx>
        <w:trPr>
          <w:gridAfter w:val="2"/>
          <w:wAfter w:w="1564" w:type="dxa"/>
        </w:trPr>
        <w:tc>
          <w:tcPr>
            <w:tcW w:w="1786" w:type="dxa"/>
          </w:tcPr>
          <w:p w:rsidR="007017E7" w:rsidRPr="006C57F6" w:rsidRDefault="007017E7" w:rsidP="00077604">
            <w:pPr>
              <w:widowControl w:val="0"/>
              <w:autoSpaceDE w:val="0"/>
              <w:autoSpaceDN w:val="0"/>
              <w:rPr>
                <w:sz w:val="20"/>
                <w:szCs w:val="20"/>
              </w:rPr>
            </w:pPr>
            <w:r w:rsidRPr="006C57F6">
              <w:rPr>
                <w:sz w:val="20"/>
                <w:szCs w:val="20"/>
              </w:rPr>
              <w:t>colonel worked castle walk journey</w:t>
            </w:r>
          </w:p>
          <w:p w:rsidR="007017E7" w:rsidRPr="006C57F6" w:rsidRDefault="007017E7" w:rsidP="00077604">
            <w:pPr>
              <w:widowControl w:val="0"/>
              <w:autoSpaceDE w:val="0"/>
              <w:autoSpaceDN w:val="0"/>
              <w:rPr>
                <w:rFonts w:eastAsia="Times New Roman" w:cs="Times New Roman"/>
                <w:i/>
                <w:sz w:val="20"/>
                <w:szCs w:val="20"/>
              </w:rPr>
            </w:pPr>
            <w:r w:rsidRPr="006C57F6">
              <w:rPr>
                <w:i/>
                <w:sz w:val="20"/>
                <w:szCs w:val="20"/>
              </w:rPr>
              <w:t>in search of silenced sound</w:t>
            </w:r>
          </w:p>
        </w:tc>
        <w:tc>
          <w:tcPr>
            <w:tcW w:w="4821" w:type="dxa"/>
            <w:gridSpan w:val="3"/>
          </w:tcPr>
          <w:p w:rsidR="007017E7" w:rsidRPr="006C57F6" w:rsidRDefault="007017E7" w:rsidP="00077604">
            <w:pPr>
              <w:rPr>
                <w:sz w:val="20"/>
                <w:szCs w:val="20"/>
              </w:rPr>
            </w:pPr>
            <w:r w:rsidRPr="006C57F6">
              <w:rPr>
                <w:sz w:val="20"/>
                <w:szCs w:val="20"/>
              </w:rPr>
              <w:t>ˈkɜːnl wɜːkt ˈkɑːsl wɔːk ˈʤɜːni</w:t>
            </w:r>
          </w:p>
          <w:p w:rsidR="007017E7" w:rsidRPr="006C57F6" w:rsidRDefault="007017E7" w:rsidP="00077604">
            <w:pPr>
              <w:rPr>
                <w:sz w:val="20"/>
                <w:szCs w:val="20"/>
              </w:rPr>
            </w:pPr>
            <w:r w:rsidRPr="006C57F6">
              <w:rPr>
                <w:sz w:val="20"/>
                <w:szCs w:val="20"/>
              </w:rPr>
              <w:t>(l and r are silenced)</w:t>
            </w:r>
          </w:p>
        </w:tc>
        <w:tc>
          <w:tcPr>
            <w:tcW w:w="1473" w:type="dxa"/>
          </w:tcPr>
          <w:p w:rsidR="007017E7" w:rsidRPr="006C57F6" w:rsidRDefault="007017E7" w:rsidP="00077604">
            <w:pPr>
              <w:rPr>
                <w:sz w:val="20"/>
                <w:szCs w:val="20"/>
              </w:rPr>
            </w:pPr>
            <w:r w:rsidRPr="006C57F6">
              <w:rPr>
                <w:sz w:val="20"/>
                <w:szCs w:val="20"/>
              </w:rPr>
              <w:t>Co</w:t>
            </w:r>
            <w:r w:rsidRPr="006C57F6">
              <w:rPr>
                <w:sz w:val="20"/>
                <w:szCs w:val="20"/>
                <w:u w:val="single"/>
              </w:rPr>
              <w:t>l</w:t>
            </w:r>
            <w:r w:rsidRPr="006C57F6">
              <w:rPr>
                <w:sz w:val="20"/>
                <w:szCs w:val="20"/>
              </w:rPr>
              <w:t>onel</w:t>
            </w:r>
          </w:p>
          <w:p w:rsidR="007017E7" w:rsidRPr="006C57F6" w:rsidRDefault="007017E7" w:rsidP="00077604">
            <w:pPr>
              <w:rPr>
                <w:sz w:val="20"/>
                <w:szCs w:val="20"/>
              </w:rPr>
            </w:pPr>
            <w:r w:rsidRPr="006C57F6">
              <w:rPr>
                <w:sz w:val="20"/>
                <w:szCs w:val="20"/>
              </w:rPr>
              <w:t>Work</w:t>
            </w:r>
            <w:r w:rsidRPr="006C57F6">
              <w:rPr>
                <w:sz w:val="20"/>
                <w:szCs w:val="20"/>
                <w:u w:val="single"/>
              </w:rPr>
              <w:t>ed</w:t>
            </w:r>
          </w:p>
          <w:p w:rsidR="007017E7" w:rsidRPr="006C57F6" w:rsidRDefault="007017E7" w:rsidP="00077604">
            <w:pPr>
              <w:rPr>
                <w:sz w:val="20"/>
                <w:szCs w:val="20"/>
              </w:rPr>
            </w:pPr>
            <w:r w:rsidRPr="006C57F6">
              <w:rPr>
                <w:sz w:val="20"/>
                <w:szCs w:val="20"/>
              </w:rPr>
              <w:t>Cas</w:t>
            </w:r>
            <w:r w:rsidRPr="006C57F6">
              <w:rPr>
                <w:sz w:val="20"/>
                <w:szCs w:val="20"/>
                <w:u w:val="single"/>
              </w:rPr>
              <w:t>t</w:t>
            </w:r>
            <w:r w:rsidRPr="006C57F6">
              <w:rPr>
                <w:sz w:val="20"/>
                <w:szCs w:val="20"/>
              </w:rPr>
              <w:t xml:space="preserve">le </w:t>
            </w:r>
          </w:p>
          <w:p w:rsidR="007017E7" w:rsidRPr="006C57F6" w:rsidRDefault="007017E7" w:rsidP="00077604">
            <w:pPr>
              <w:rPr>
                <w:sz w:val="20"/>
                <w:szCs w:val="20"/>
              </w:rPr>
            </w:pPr>
            <w:r w:rsidRPr="006C57F6">
              <w:rPr>
                <w:sz w:val="20"/>
                <w:szCs w:val="20"/>
              </w:rPr>
              <w:t>Wa</w:t>
            </w:r>
            <w:r w:rsidRPr="006C57F6">
              <w:rPr>
                <w:sz w:val="20"/>
                <w:szCs w:val="20"/>
                <w:u w:val="single"/>
              </w:rPr>
              <w:t>l</w:t>
            </w:r>
            <w:r w:rsidRPr="006C57F6">
              <w:rPr>
                <w:sz w:val="20"/>
                <w:szCs w:val="20"/>
              </w:rPr>
              <w:t xml:space="preserve">k </w:t>
            </w:r>
          </w:p>
          <w:p w:rsidR="007017E7" w:rsidRPr="006C57F6" w:rsidRDefault="007017E7" w:rsidP="00077604">
            <w:pPr>
              <w:rPr>
                <w:sz w:val="20"/>
                <w:szCs w:val="20"/>
              </w:rPr>
            </w:pPr>
            <w:r w:rsidRPr="006C57F6">
              <w:rPr>
                <w:sz w:val="20"/>
                <w:szCs w:val="20"/>
              </w:rPr>
              <w:t xml:space="preserve">Journey </w:t>
            </w:r>
          </w:p>
        </w:tc>
      </w:tr>
    </w:tbl>
    <w:p w:rsidR="007017E7" w:rsidRPr="007017E7" w:rsidRDefault="007017E7" w:rsidP="007017E7">
      <w:pPr>
        <w:jc w:val="both"/>
        <w:rPr>
          <w:rFonts w:cs="Times New Roman"/>
          <w:b/>
          <w:szCs w:val="24"/>
        </w:rPr>
      </w:pPr>
    </w:p>
    <w:p w:rsidR="00585CF6" w:rsidRPr="00BF776F" w:rsidRDefault="00585CF6" w:rsidP="007017E7">
      <w:pPr>
        <w:pStyle w:val="ListParagraph"/>
        <w:numPr>
          <w:ilvl w:val="1"/>
          <w:numId w:val="6"/>
        </w:numPr>
        <w:jc w:val="both"/>
        <w:rPr>
          <w:rFonts w:cs="Times New Roman"/>
          <w:b/>
          <w:szCs w:val="24"/>
        </w:rPr>
      </w:pPr>
      <w:r w:rsidRPr="00BF776F">
        <w:rPr>
          <w:rFonts w:cs="Times New Roman"/>
          <w:b/>
          <w:szCs w:val="24"/>
        </w:rPr>
        <w:t>Pembahasan</w:t>
      </w:r>
    </w:p>
    <w:p w:rsidR="00585CF6" w:rsidRPr="00585CF6" w:rsidRDefault="00585CF6" w:rsidP="00585CF6">
      <w:pPr>
        <w:ind w:firstLine="720"/>
        <w:jc w:val="both"/>
        <w:rPr>
          <w:rFonts w:cs="Times New Roman"/>
          <w:szCs w:val="24"/>
        </w:rPr>
      </w:pPr>
      <w:r w:rsidRPr="00585CF6">
        <w:rPr>
          <w:rFonts w:cs="Times New Roman"/>
          <w:szCs w:val="24"/>
        </w:rPr>
        <w:t xml:space="preserve">Masalah fonemik pertama dan terpenting yang </w:t>
      </w:r>
      <w:r w:rsidR="006F17FC">
        <w:rPr>
          <w:rFonts w:cs="Times New Roman"/>
          <w:szCs w:val="24"/>
        </w:rPr>
        <w:t>membuat distorsi terhadap</w:t>
      </w:r>
      <w:r>
        <w:rPr>
          <w:rFonts w:cs="Times New Roman"/>
          <w:szCs w:val="24"/>
        </w:rPr>
        <w:t xml:space="preserve"> inteligibilitas pengucapan</w:t>
      </w:r>
      <w:r w:rsidRPr="00585CF6">
        <w:rPr>
          <w:rFonts w:cs="Times New Roman"/>
          <w:szCs w:val="24"/>
        </w:rPr>
        <w:t xml:space="preserve"> semua peserta </w:t>
      </w:r>
      <w:r>
        <w:rPr>
          <w:rFonts w:cs="Times New Roman"/>
          <w:szCs w:val="24"/>
        </w:rPr>
        <w:t xml:space="preserve">dalam studi ini </w:t>
      </w:r>
      <w:r w:rsidR="006F17FC">
        <w:rPr>
          <w:rFonts w:cs="Times New Roman"/>
          <w:szCs w:val="24"/>
        </w:rPr>
        <w:t>berkaitan dengan frikatif dental</w:t>
      </w:r>
      <w:r w:rsidRPr="00585CF6">
        <w:rPr>
          <w:rFonts w:cs="Times New Roman"/>
          <w:szCs w:val="24"/>
        </w:rPr>
        <w:t xml:space="preserve"> / θ / dan / ð /. Sangat disayangkan bahwa semua guru yang berpartisipasi dalam penelitian saya ini gagal menggunakan kedua konsonan / θ / dan / ð /. Hampir setiap kata dan baris yang mengandung bunyi gigi tersebut tidak berhasil </w:t>
      </w:r>
      <w:r w:rsidR="00615B58">
        <w:rPr>
          <w:rFonts w:cs="Times New Roman"/>
          <w:szCs w:val="24"/>
        </w:rPr>
        <w:t>diartikulasi dengan baik</w:t>
      </w:r>
      <w:r w:rsidRPr="00585CF6">
        <w:rPr>
          <w:rFonts w:cs="Times New Roman"/>
          <w:szCs w:val="24"/>
        </w:rPr>
        <w:t xml:space="preserve">, apalagi dengan sempurna. Masing-masing kedengarannya sulit mengartikulasikan kedua suara yang seharusnya mereka gunakan ujung lidah dan gigi atas untuk menghasilkan suara. </w:t>
      </w:r>
      <w:r w:rsidR="00615B58">
        <w:rPr>
          <w:rFonts w:cs="Times New Roman"/>
          <w:szCs w:val="24"/>
        </w:rPr>
        <w:t xml:space="preserve">Untuk </w:t>
      </w:r>
      <w:r w:rsidRPr="00585CF6">
        <w:rPr>
          <w:rFonts w:cs="Times New Roman"/>
          <w:szCs w:val="24"/>
        </w:rPr>
        <w:t>mengartikulasikan / θ / dan / ð /, ujung lidah</w:t>
      </w:r>
      <w:r w:rsidR="00615B58">
        <w:rPr>
          <w:rFonts w:cs="Times New Roman"/>
          <w:szCs w:val="24"/>
        </w:rPr>
        <w:t xml:space="preserve"> dijorokkan sedikit keluar</w:t>
      </w:r>
      <w:r w:rsidRPr="00585CF6">
        <w:rPr>
          <w:rFonts w:cs="Times New Roman"/>
          <w:szCs w:val="24"/>
        </w:rPr>
        <w:t xml:space="preserve"> </w:t>
      </w:r>
      <w:r w:rsidR="00615B58">
        <w:rPr>
          <w:rFonts w:cs="Times New Roman"/>
          <w:szCs w:val="24"/>
        </w:rPr>
        <w:t xml:space="preserve">dan </w:t>
      </w:r>
      <w:r w:rsidRPr="00585CF6">
        <w:rPr>
          <w:rFonts w:cs="Times New Roman"/>
          <w:szCs w:val="24"/>
        </w:rPr>
        <w:t xml:space="preserve">harus membuat kontak ringan dengan bagian belakang atas (gigi depan), atau ujung lidah kita cenderung menonjol di antara gigi bawah dan </w:t>
      </w:r>
      <w:proofErr w:type="gramStart"/>
      <w:r w:rsidRPr="00585CF6">
        <w:rPr>
          <w:rFonts w:cs="Times New Roman"/>
          <w:szCs w:val="24"/>
        </w:rPr>
        <w:t>atas .</w:t>
      </w:r>
      <w:proofErr w:type="gramEnd"/>
      <w:r w:rsidRPr="00585CF6">
        <w:rPr>
          <w:rFonts w:cs="Times New Roman"/>
          <w:szCs w:val="24"/>
        </w:rPr>
        <w:t xml:space="preserve"> Kemudian, langit-langit lunak kita harus dinaikkan. Dalam hal </w:t>
      </w:r>
      <w:proofErr w:type="gramStart"/>
      <w:r w:rsidRPr="00585CF6">
        <w:rPr>
          <w:rFonts w:cs="Times New Roman"/>
          <w:szCs w:val="24"/>
        </w:rPr>
        <w:t>cara</w:t>
      </w:r>
      <w:proofErr w:type="gramEnd"/>
      <w:r w:rsidRPr="00585CF6">
        <w:rPr>
          <w:rFonts w:cs="Times New Roman"/>
          <w:szCs w:val="24"/>
        </w:rPr>
        <w:t xml:space="preserve"> artikulasinya, frikatif / θ / termasuk dalam apa yang disebut fortis (tidak bersuara) dan / ð / bunyi diklasifikasikan sebagai lenis (bersuara). Singkatnya, s</w:t>
      </w:r>
      <w:r w:rsidR="00615B58">
        <w:rPr>
          <w:rFonts w:cs="Times New Roman"/>
          <w:szCs w:val="24"/>
        </w:rPr>
        <w:t>ebuah</w:t>
      </w:r>
      <w:r w:rsidRPr="00585CF6">
        <w:rPr>
          <w:rFonts w:cs="Times New Roman"/>
          <w:szCs w:val="24"/>
        </w:rPr>
        <w:t xml:space="preserve"> lenis memang membutuhkan penggunaan pita suara untuk membuat suara khasnya (semacam getaran); sedangkan fortis tidak. Tidak diragukan lagi, ada banyak leksikon yang ada dalam bahasa Inggris yang mengandung frikatif gigi ini, biasanya ditandai dengan huruf 'th' yang dipasangkan seperti kata </w:t>
      </w:r>
      <w:r w:rsidRPr="00615B58">
        <w:rPr>
          <w:rFonts w:cs="Times New Roman"/>
          <w:i/>
          <w:szCs w:val="24"/>
        </w:rPr>
        <w:t>think, thank, bath, math, that, then, another, mother</w:t>
      </w:r>
      <w:r w:rsidRPr="00585CF6">
        <w:rPr>
          <w:rFonts w:cs="Times New Roman"/>
          <w:szCs w:val="24"/>
        </w:rPr>
        <w:t>, dll. Huruf</w:t>
      </w:r>
      <w:r w:rsidR="00615B58">
        <w:rPr>
          <w:rFonts w:cs="Times New Roman"/>
          <w:szCs w:val="24"/>
        </w:rPr>
        <w:t xml:space="preserve"> </w:t>
      </w:r>
      <w:r w:rsidRPr="00615B58">
        <w:rPr>
          <w:rFonts w:cs="Times New Roman"/>
          <w:i/>
          <w:szCs w:val="24"/>
        </w:rPr>
        <w:t>'th</w:t>
      </w:r>
      <w:r w:rsidRPr="00585CF6">
        <w:rPr>
          <w:rFonts w:cs="Times New Roman"/>
          <w:szCs w:val="24"/>
        </w:rPr>
        <w:t>'</w:t>
      </w:r>
      <w:r w:rsidR="00615B58">
        <w:rPr>
          <w:rFonts w:cs="Times New Roman"/>
          <w:szCs w:val="24"/>
        </w:rPr>
        <w:t xml:space="preserve"> </w:t>
      </w:r>
      <w:r w:rsidRPr="00585CF6">
        <w:rPr>
          <w:rFonts w:cs="Times New Roman"/>
          <w:szCs w:val="24"/>
        </w:rPr>
        <w:t xml:space="preserve">pada kata tebal tersebut harus diartikulasikan dengan / θ / atau / </w:t>
      </w:r>
      <w:proofErr w:type="gramStart"/>
      <w:r w:rsidRPr="00585CF6">
        <w:rPr>
          <w:rFonts w:cs="Times New Roman"/>
          <w:szCs w:val="24"/>
        </w:rPr>
        <w:t>ð</w:t>
      </w:r>
      <w:proofErr w:type="gramEnd"/>
      <w:r w:rsidRPr="00585CF6">
        <w:rPr>
          <w:rFonts w:cs="Times New Roman"/>
          <w:szCs w:val="24"/>
        </w:rPr>
        <w:t xml:space="preserve"> /.</w:t>
      </w:r>
    </w:p>
    <w:p w:rsidR="00585CF6" w:rsidRPr="00585CF6" w:rsidRDefault="00585CF6" w:rsidP="00585CF6">
      <w:pPr>
        <w:ind w:firstLine="720"/>
        <w:jc w:val="both"/>
        <w:rPr>
          <w:rFonts w:cs="Times New Roman"/>
          <w:szCs w:val="24"/>
        </w:rPr>
      </w:pPr>
      <w:r w:rsidRPr="00585CF6">
        <w:rPr>
          <w:rFonts w:cs="Times New Roman"/>
          <w:szCs w:val="24"/>
        </w:rPr>
        <w:t xml:space="preserve">Menurut saya, bagian yang sulit adalah untuk mencari tahu mana yang seharusnya / θ / dan mana yang harus / ð / di mana masalah ini lebih mengarah pada masalah </w:t>
      </w:r>
      <w:proofErr w:type="gramStart"/>
      <w:r w:rsidRPr="00585CF6">
        <w:rPr>
          <w:rFonts w:cs="Times New Roman"/>
          <w:szCs w:val="24"/>
        </w:rPr>
        <w:t>cara</w:t>
      </w:r>
      <w:proofErr w:type="gramEnd"/>
      <w:r w:rsidRPr="00585CF6">
        <w:rPr>
          <w:rFonts w:cs="Times New Roman"/>
          <w:szCs w:val="24"/>
        </w:rPr>
        <w:t xml:space="preserve"> artikulasi yang menangani bunyi konsonan fortis dan lenis. Namun, dalam hal tempat artikulasi, kedua bunyi tersebut dihasilkan oleh alat bicara yang </w:t>
      </w:r>
      <w:proofErr w:type="gramStart"/>
      <w:r w:rsidRPr="00585CF6">
        <w:rPr>
          <w:rFonts w:cs="Times New Roman"/>
          <w:szCs w:val="24"/>
        </w:rPr>
        <w:t>sama</w:t>
      </w:r>
      <w:proofErr w:type="gramEnd"/>
      <w:r w:rsidRPr="00585CF6">
        <w:rPr>
          <w:rFonts w:cs="Times New Roman"/>
          <w:szCs w:val="24"/>
        </w:rPr>
        <w:t xml:space="preserve"> persis. Menurut peneliti fonetik Gerald Kelly (2000), kesulitan dalam mengartikulasikan frikatif gigi telah ditemui oleh sejumlah orang yang menggunakan bahasa </w:t>
      </w:r>
      <w:r w:rsidRPr="00585CF6">
        <w:rPr>
          <w:rFonts w:cs="Times New Roman"/>
          <w:szCs w:val="24"/>
        </w:rPr>
        <w:lastRenderedPageBreak/>
        <w:t>asli Arab, Cina, Prancis, Jerman, India, Italia, Jepang, Portugis, Rusia. , Skandinavia dan Turki. Sebuah laporan penelitian telah disebarkan oleh seorang ahli fonetik Polandia bernama Andrzej Porzuczek yang menyatakan dalam s</w:t>
      </w:r>
      <w:r w:rsidR="00615B58">
        <w:rPr>
          <w:rFonts w:cs="Times New Roman"/>
          <w:szCs w:val="24"/>
        </w:rPr>
        <w:t>tudinya (2015) bahwa orang polandia</w:t>
      </w:r>
      <w:r w:rsidRPr="00585CF6">
        <w:rPr>
          <w:rFonts w:cs="Times New Roman"/>
          <w:szCs w:val="24"/>
        </w:rPr>
        <w:t xml:space="preserve"> membuat banyak kesalahan fonemik untuk mengartikulasikan suara gigi / θ / dan / ð /. Haruskah Indonesia termasuk negara yang dicantumkan oleh Kelly (2000)? </w:t>
      </w:r>
      <w:proofErr w:type="gramStart"/>
      <w:r w:rsidRPr="00585CF6">
        <w:rPr>
          <w:rFonts w:cs="Times New Roman"/>
          <w:szCs w:val="24"/>
        </w:rPr>
        <w:t>adalah</w:t>
      </w:r>
      <w:proofErr w:type="gramEnd"/>
      <w:r w:rsidRPr="00585CF6">
        <w:rPr>
          <w:rFonts w:cs="Times New Roman"/>
          <w:szCs w:val="24"/>
        </w:rPr>
        <w:t xml:space="preserve"> pertanyaan yang layak untuk diajukan.</w:t>
      </w:r>
    </w:p>
    <w:p w:rsidR="00585CF6" w:rsidRDefault="00585CF6" w:rsidP="00585CF6">
      <w:pPr>
        <w:ind w:firstLine="720"/>
        <w:jc w:val="both"/>
        <w:rPr>
          <w:rFonts w:cs="Times New Roman"/>
          <w:szCs w:val="24"/>
        </w:rPr>
      </w:pPr>
      <w:r w:rsidRPr="00585CF6">
        <w:rPr>
          <w:rFonts w:cs="Times New Roman"/>
          <w:szCs w:val="24"/>
        </w:rPr>
        <w:t xml:space="preserve"> Saya tidak menyangkal bahwa telah banyak penelitian fonetik yang membahas permasalahan </w:t>
      </w:r>
      <w:proofErr w:type="gramStart"/>
      <w:r w:rsidRPr="00585CF6">
        <w:rPr>
          <w:rFonts w:cs="Times New Roman"/>
          <w:szCs w:val="24"/>
        </w:rPr>
        <w:t>yang</w:t>
      </w:r>
      <w:proofErr w:type="gramEnd"/>
      <w:r w:rsidRPr="00585CF6">
        <w:rPr>
          <w:rFonts w:cs="Times New Roman"/>
          <w:szCs w:val="24"/>
        </w:rPr>
        <w:t xml:space="preserve"> dihadapi pembelajar bahasa Inggris Indonesia dalam menghadapi konsonan bahasa Inggris seperti Habibi (2016), Komariah (2016) dan Utami (2018). Sayangnya, studi tersebut hanya menyentuh permukaan dari kekhawatiran karena tes yang digunakan oleh para peneliti dirancang untuk melakukan elisitasi fonemik satu kali duduk. Untuk memastikan frikatif / θ / dan / ð / dikonfirmasikan sebagai kesalahan di seluruh negeri, serangkaian tes konsonan yang sangat komprehensif harus diadakan sebagai instrumen. Saya rasa masalah tentang produksi suara gigi / θ / dan / ð / harus segera diambil alih oleh pembelajar bahasa Inggris, apalagi guru bahasa Inggris untuk mendistorsi / θ / atau / ð / menjadi konsonan t. Konsonan / θ / atau / ð / dan / t / atau / d / tidak sama, dan mereka berbagi tempat artikulasi yang berbeda serta cara artikulasi yang berbeda. Jika masalah seperti itu terus berlanjut dan memburuk, kejelasan seseorang </w:t>
      </w:r>
      <w:proofErr w:type="gramStart"/>
      <w:r w:rsidRPr="00585CF6">
        <w:rPr>
          <w:rFonts w:cs="Times New Roman"/>
          <w:szCs w:val="24"/>
        </w:rPr>
        <w:t>akan</w:t>
      </w:r>
      <w:proofErr w:type="gramEnd"/>
      <w:r w:rsidRPr="00585CF6">
        <w:rPr>
          <w:rFonts w:cs="Times New Roman"/>
          <w:szCs w:val="24"/>
        </w:rPr>
        <w:t xml:space="preserve"> terancam dan bahkan terancam karena ada banyak kata yang mirip dalam bentuk dengan kata-kata yang mengandung frikatif gigi / θ / atau / ð /. Akibatnya, miskomunikasi mungkin terjadi antara pembicara dan pendengarnya. Saya </w:t>
      </w:r>
      <w:proofErr w:type="gramStart"/>
      <w:r w:rsidRPr="00585CF6">
        <w:rPr>
          <w:rFonts w:cs="Times New Roman"/>
          <w:szCs w:val="24"/>
        </w:rPr>
        <w:t>akan</w:t>
      </w:r>
      <w:proofErr w:type="gramEnd"/>
      <w:r w:rsidRPr="00585CF6">
        <w:rPr>
          <w:rFonts w:cs="Times New Roman"/>
          <w:szCs w:val="24"/>
        </w:rPr>
        <w:t xml:space="preserve"> memberikan saran terbaik saya untuk masalah ini segera di bab berikutnya.</w:t>
      </w:r>
    </w:p>
    <w:p w:rsidR="00615B58" w:rsidRPr="00615B58" w:rsidRDefault="00615B58" w:rsidP="00615B58">
      <w:pPr>
        <w:ind w:firstLine="720"/>
        <w:jc w:val="both"/>
        <w:rPr>
          <w:rFonts w:cs="Times New Roman"/>
          <w:szCs w:val="24"/>
        </w:rPr>
      </w:pPr>
      <w:r>
        <w:rPr>
          <w:rFonts w:cs="Times New Roman"/>
          <w:szCs w:val="24"/>
        </w:rPr>
        <w:t xml:space="preserve">Selanjutnya ketidakjelasan pengucapan </w:t>
      </w:r>
      <w:r w:rsidRPr="00615B58">
        <w:rPr>
          <w:rFonts w:cs="Times New Roman"/>
          <w:i/>
          <w:szCs w:val="24"/>
        </w:rPr>
        <w:t>(unintelligible pronunciation)</w:t>
      </w:r>
      <w:r>
        <w:rPr>
          <w:rFonts w:cs="Times New Roman"/>
          <w:szCs w:val="24"/>
        </w:rPr>
        <w:t xml:space="preserve"> terjadi pada</w:t>
      </w:r>
      <w:r w:rsidRPr="00615B58">
        <w:rPr>
          <w:rFonts w:cs="Times New Roman"/>
          <w:szCs w:val="24"/>
        </w:rPr>
        <w:t xml:space="preserve"> vokal terbuka / æ /, / ʌ /, / ɑː /, dan / ɒ /. Suara itu sering digunakan secara bergantian dalam penggunaan yang salah oleh semua peserta. Kata-kata yang mengandung vokal / æ / </w:t>
      </w:r>
      <w:r>
        <w:rPr>
          <w:rFonts w:cs="Times New Roman"/>
          <w:szCs w:val="24"/>
        </w:rPr>
        <w:t>mengalami</w:t>
      </w:r>
      <w:r w:rsidRPr="00615B58">
        <w:rPr>
          <w:rFonts w:cs="Times New Roman"/>
          <w:szCs w:val="24"/>
        </w:rPr>
        <w:t xml:space="preserve"> paling banyak kesalahan pengucapan. Tampaknya semua peserta mencoba mengakali vokal / æ / dengan mendistorsi vokal lain yang mungkin dan terkait erat seperti ɑː /, dan / ɒ dan terkadang dengan suara vokal tengah / e /. Bunyi / æ / tidak diragukan lagi</w:t>
      </w:r>
      <w:r>
        <w:rPr>
          <w:rFonts w:cs="Times New Roman"/>
          <w:szCs w:val="24"/>
        </w:rPr>
        <w:t xml:space="preserve"> vocal ini sepertinya telah</w:t>
      </w:r>
      <w:r w:rsidRPr="00615B58">
        <w:rPr>
          <w:rFonts w:cs="Times New Roman"/>
          <w:szCs w:val="24"/>
        </w:rPr>
        <w:t xml:space="preserve"> khas</w:t>
      </w:r>
      <w:r>
        <w:rPr>
          <w:rFonts w:cs="Times New Roman"/>
          <w:szCs w:val="24"/>
        </w:rPr>
        <w:t xml:space="preserve"> hanya dalam bahasa Inggris,</w:t>
      </w:r>
      <w:r w:rsidRPr="00615B58">
        <w:rPr>
          <w:rFonts w:cs="Times New Roman"/>
          <w:szCs w:val="24"/>
        </w:rPr>
        <w:t xml:space="preserve"> sebagian besar bahasa di dunia tampaknya tidak memiliki bunyi ini (Kelly, 2000), termasuk bahasa asli ketiga peserta</w:t>
      </w:r>
      <w:r>
        <w:rPr>
          <w:rFonts w:cs="Times New Roman"/>
          <w:szCs w:val="24"/>
        </w:rPr>
        <w:t xml:space="preserve"> tersebut. Saya yakin inilah </w:t>
      </w:r>
      <w:r w:rsidRPr="00615B58">
        <w:rPr>
          <w:rFonts w:cs="Times New Roman"/>
          <w:szCs w:val="24"/>
        </w:rPr>
        <w:t>alasan mengapa begitu ba</w:t>
      </w:r>
      <w:r>
        <w:rPr>
          <w:rFonts w:cs="Times New Roman"/>
          <w:szCs w:val="24"/>
        </w:rPr>
        <w:t xml:space="preserve">nyak orang mengubah bunyi vocal / æ / </w:t>
      </w:r>
      <w:r w:rsidRPr="00615B58">
        <w:rPr>
          <w:rFonts w:cs="Times New Roman"/>
          <w:szCs w:val="24"/>
        </w:rPr>
        <w:t xml:space="preserve">atau menggantinya dengan huruf hidup lain. Kelly (2000) menyebutkan daftar negara yang dilaporkan mengalami </w:t>
      </w:r>
      <w:r>
        <w:rPr>
          <w:rFonts w:cs="Times New Roman"/>
          <w:szCs w:val="24"/>
        </w:rPr>
        <w:t xml:space="preserve">kesulitan memproduksi vokal tersebut </w:t>
      </w:r>
      <w:r w:rsidRPr="00615B58">
        <w:rPr>
          <w:rFonts w:cs="Times New Roman"/>
          <w:szCs w:val="24"/>
        </w:rPr>
        <w:t>seperti Arab, Cina, Prancis, Jerman, Yunani, India, Italia, Jepang, Portugis, Rusia, Skandinavia, Spanyol, dan Turki. Bahasa Indonesia mungkin harus masuk dalam daftar.</w:t>
      </w:r>
    </w:p>
    <w:p w:rsidR="00615B58" w:rsidRPr="00615B58" w:rsidRDefault="00615B58" w:rsidP="00615B58">
      <w:pPr>
        <w:ind w:firstLine="720"/>
        <w:jc w:val="both"/>
        <w:rPr>
          <w:rFonts w:cs="Times New Roman"/>
          <w:szCs w:val="24"/>
        </w:rPr>
      </w:pPr>
      <w:r w:rsidRPr="00615B58">
        <w:rPr>
          <w:rFonts w:cs="Times New Roman"/>
          <w:szCs w:val="24"/>
        </w:rPr>
        <w:t xml:space="preserve">Secara pribadi, saya telah mengajar bahasa Inggris selama lebih dari satu dekade, dan saya perhatikan bahwa masalah semacam ini telah dihadapi oleh sebagian besar siswa saya. Selain itu, vokal / æ / telah menjadi kata-kata yang paling sering salah diucapkan dalam sebuah penelitian yang dilakukan oleh seorang profesor fonetik Sobkowiak (2001), dekade berikutnya terbukti benar dalam </w:t>
      </w:r>
      <w:r w:rsidRPr="00615B58">
        <w:rPr>
          <w:rFonts w:cs="Times New Roman"/>
          <w:szCs w:val="24"/>
        </w:rPr>
        <w:lastRenderedPageBreak/>
        <w:t xml:space="preserve">beberapa penelitian ilmiah lainnya (Pezik 2012 &amp; Zajac 2015). Dua tahun terakhir (2018), saya juga melakukan studi analitik ke kesalahan fonemik regional yang ditimbulkan dari bahasa Inggris beraksen regional yang diucapkan oleh guru bahasa Inggris terpilih. Temuan menunjukkan bahwa tiga guru bahasa Inggris nonnatif dari tiga provinsi berbeda di Indonesia </w:t>
      </w:r>
      <w:r>
        <w:rPr>
          <w:rFonts w:cs="Times New Roman"/>
          <w:szCs w:val="24"/>
        </w:rPr>
        <w:t>memiliki</w:t>
      </w:r>
      <w:r w:rsidRPr="00615B58">
        <w:rPr>
          <w:rFonts w:cs="Times New Roman"/>
          <w:szCs w:val="24"/>
        </w:rPr>
        <w:t xml:space="preserve"> </w:t>
      </w:r>
      <w:r>
        <w:rPr>
          <w:rFonts w:cs="Times New Roman"/>
          <w:szCs w:val="24"/>
        </w:rPr>
        <w:t xml:space="preserve">masalah yang </w:t>
      </w:r>
      <w:proofErr w:type="gramStart"/>
      <w:r>
        <w:rPr>
          <w:rFonts w:cs="Times New Roman"/>
          <w:szCs w:val="24"/>
        </w:rPr>
        <w:t>sama</w:t>
      </w:r>
      <w:proofErr w:type="gramEnd"/>
      <w:r>
        <w:rPr>
          <w:rFonts w:cs="Times New Roman"/>
          <w:szCs w:val="24"/>
        </w:rPr>
        <w:t xml:space="preserve"> </w:t>
      </w:r>
      <w:r w:rsidRPr="00615B58">
        <w:rPr>
          <w:rFonts w:cs="Times New Roman"/>
          <w:szCs w:val="24"/>
        </w:rPr>
        <w:t>dalam mengartikulasikan vokal terbuka / æ /.</w:t>
      </w:r>
    </w:p>
    <w:p w:rsidR="00615B58" w:rsidRPr="00615B58" w:rsidRDefault="00615B58" w:rsidP="00615B58">
      <w:pPr>
        <w:ind w:firstLine="720"/>
        <w:jc w:val="both"/>
        <w:rPr>
          <w:rFonts w:cs="Times New Roman"/>
          <w:szCs w:val="24"/>
        </w:rPr>
      </w:pPr>
      <w:r w:rsidRPr="00615B58">
        <w:rPr>
          <w:rFonts w:cs="Times New Roman"/>
          <w:szCs w:val="24"/>
        </w:rPr>
        <w:t>Secara fonetik, agar b</w:t>
      </w:r>
      <w:r>
        <w:rPr>
          <w:rFonts w:cs="Times New Roman"/>
          <w:szCs w:val="24"/>
        </w:rPr>
        <w:t>erhasil mengucapkan vokal / æ /,</w:t>
      </w:r>
      <w:r w:rsidRPr="00615B58">
        <w:rPr>
          <w:rFonts w:cs="Times New Roman"/>
          <w:szCs w:val="24"/>
        </w:rPr>
        <w:t xml:space="preserve"> kita harus fokus pada posisi lidah dan rahang yang benar. Kita perlu membuka mulut selebar mungkin, lalu sedikit melebarkan bibir kita, dan menegangkannya. Kita harus menegangkan lidah kita, meratakannya, dan mendorongnya ke depan. Lidah kita harus ditempatkan sangat rendah di dalam mulut. Ujung lidah kita harus menyentuh bagian belakang gigi depan bawah kita. Perlu diingat bahwa bunyi / æ / adalah bunyi vokal yang sangat terbuka, jadi rahang kita harus sangat rendah dan lidah Anda harus sangat rata. Huruf vokal / æ / sebagian besar muncul pada huruf a yang berada di antara dua konsonan seperti </w:t>
      </w:r>
      <w:r w:rsidRPr="00191EA7">
        <w:rPr>
          <w:rFonts w:cs="Times New Roman"/>
          <w:i/>
          <w:szCs w:val="24"/>
        </w:rPr>
        <w:t>back, bad, band, bank, bat, black, flat, hand, kebetulan, happy, land, man match</w:t>
      </w:r>
      <w:r w:rsidRPr="00615B58">
        <w:rPr>
          <w:rFonts w:cs="Times New Roman"/>
          <w:szCs w:val="24"/>
        </w:rPr>
        <w:t>, dll. Selain itu, dalam istilah dari satu fitur supra-segmental bernama tekanan leksikal suku kata, sebuah kata yang mengandung lebih dari dua suku kata memiliki suku kata tonik menjadi satu dengan / æ / vokal di dalamnya. Misalnya kata terjadi / ˈhæpən /, happy / ˈhæpi /, matter ˈmætə, mengerti ˌʌndəˈstænd, value / ˈvælju: /, dan banyak lagi.</w:t>
      </w:r>
    </w:p>
    <w:p w:rsidR="00615B58" w:rsidRPr="00615B58" w:rsidRDefault="00615B58" w:rsidP="00615B58">
      <w:pPr>
        <w:ind w:firstLine="720"/>
        <w:jc w:val="both"/>
        <w:rPr>
          <w:rFonts w:cs="Times New Roman"/>
          <w:szCs w:val="24"/>
        </w:rPr>
      </w:pPr>
      <w:r w:rsidRPr="00615B58">
        <w:rPr>
          <w:rFonts w:cs="Times New Roman"/>
          <w:szCs w:val="24"/>
        </w:rPr>
        <w:t xml:space="preserve">Juga, karena berasal dari kata stres dan intonasi, kata-kata yang mengandung vokal / æ / biasanya menerima nada yang lebih kuat dibandingkan dengan suara vokal panjang lainnya yang tampaknya memiliki perlakuan yang </w:t>
      </w:r>
      <w:proofErr w:type="gramStart"/>
      <w:r w:rsidRPr="00615B58">
        <w:rPr>
          <w:rFonts w:cs="Times New Roman"/>
          <w:szCs w:val="24"/>
        </w:rPr>
        <w:t>sama</w:t>
      </w:r>
      <w:proofErr w:type="gramEnd"/>
      <w:r w:rsidRPr="00615B58">
        <w:rPr>
          <w:rFonts w:cs="Times New Roman"/>
          <w:szCs w:val="24"/>
        </w:rPr>
        <w:t xml:space="preserve"> seperti itu. Sekarang pertanyaannya adalah apakah perubahan vokal æ dalam kata-kata menghalangi kejelasan pengucapan </w:t>
      </w:r>
      <w:proofErr w:type="gramStart"/>
      <w:r w:rsidRPr="00615B58">
        <w:rPr>
          <w:rFonts w:cs="Times New Roman"/>
          <w:szCs w:val="24"/>
        </w:rPr>
        <w:t>seseorang ?.</w:t>
      </w:r>
      <w:proofErr w:type="gramEnd"/>
      <w:r w:rsidRPr="00615B58">
        <w:rPr>
          <w:rFonts w:cs="Times New Roman"/>
          <w:szCs w:val="24"/>
        </w:rPr>
        <w:t xml:space="preserve"> Jawaban saya adalah ya, sebagian besar memang demikian, dan tidak, partai tidak. Hal ini kebanyakan terjadi karena terdistorsi dengan vokal yang menyimpang jauh seperti vokal / ʌ / dan yang diklasifikasikan sebagai vokal tengah. Tidak, pesta tidak </w:t>
      </w:r>
      <w:proofErr w:type="gramStart"/>
      <w:r w:rsidRPr="00615B58">
        <w:rPr>
          <w:rFonts w:cs="Times New Roman"/>
          <w:szCs w:val="24"/>
        </w:rPr>
        <w:t>akan</w:t>
      </w:r>
      <w:proofErr w:type="gramEnd"/>
      <w:r w:rsidRPr="00615B58">
        <w:rPr>
          <w:rFonts w:cs="Times New Roman"/>
          <w:szCs w:val="24"/>
        </w:rPr>
        <w:t xml:space="preserve"> dilakukan jika didistorsi oleh / ɑː / suara. Bunyi / ɑː / sebagian besar menggantikan vokal / æ / dalam pengucapan Inggris dan yang hampir mirip seperti bahasa Skotlandia, Welsh, dan Irlandia (Roach, 2012).</w:t>
      </w:r>
    </w:p>
    <w:p w:rsidR="00615B58" w:rsidRDefault="00615B58" w:rsidP="00615B58">
      <w:pPr>
        <w:ind w:firstLine="720"/>
        <w:jc w:val="both"/>
        <w:rPr>
          <w:rFonts w:cs="Times New Roman"/>
          <w:szCs w:val="24"/>
        </w:rPr>
      </w:pPr>
      <w:r w:rsidRPr="00615B58">
        <w:rPr>
          <w:rFonts w:cs="Times New Roman"/>
          <w:szCs w:val="24"/>
        </w:rPr>
        <w:t xml:space="preserve"> Selain itu, dalam praktek konteks nyata, saat saya mengubah vokal / æ / menjadi / ɑː / dalam pengucapan kata-kata seperti man / mæn /, back / bæk /, kekurangan / læk, dan seterusnya menjadi mɑːn, bɑːk, lɑːk dengan Teman-teman Amerika saya, semuanya mengerti kata itu diucapkan dengan sempurna. Salah satu dari mereka tidak perlu berkomentar bahwa saya berusaha terdengar seperti orang Inggris. Jadi, vokal terbuka / ɑː / </w:t>
      </w:r>
      <w:proofErr w:type="gramStart"/>
      <w:r w:rsidRPr="00615B58">
        <w:rPr>
          <w:rFonts w:cs="Times New Roman"/>
          <w:szCs w:val="24"/>
        </w:rPr>
        <w:t>akan</w:t>
      </w:r>
      <w:proofErr w:type="gramEnd"/>
      <w:r w:rsidRPr="00615B58">
        <w:rPr>
          <w:rFonts w:cs="Times New Roman"/>
          <w:szCs w:val="24"/>
        </w:rPr>
        <w:t xml:space="preserve"> menjadi alternatif teraman jika seseorang tidak berhasil menghasilkan vokal / æ / karena beberapa kekurangan, atau dia hanya malas mengartikulasikan organ pidatonya untuk menghasilkan suara.</w:t>
      </w:r>
    </w:p>
    <w:p w:rsidR="00191EA7" w:rsidRPr="00191EA7" w:rsidRDefault="00191EA7" w:rsidP="00191EA7">
      <w:pPr>
        <w:ind w:firstLine="720"/>
        <w:jc w:val="both"/>
        <w:rPr>
          <w:rFonts w:cs="Times New Roman"/>
          <w:szCs w:val="24"/>
        </w:rPr>
      </w:pPr>
      <w:r w:rsidRPr="00191EA7">
        <w:rPr>
          <w:rFonts w:cs="Times New Roman"/>
          <w:szCs w:val="24"/>
        </w:rPr>
        <w:t xml:space="preserve">Masalah berikutnya yang perlu dibahas lebih lanjut adalah </w:t>
      </w:r>
      <w:proofErr w:type="gramStart"/>
      <w:r w:rsidRPr="00191EA7">
        <w:rPr>
          <w:rFonts w:cs="Times New Roman"/>
          <w:szCs w:val="24"/>
        </w:rPr>
        <w:t>apa</w:t>
      </w:r>
      <w:proofErr w:type="gramEnd"/>
      <w:r w:rsidRPr="00191EA7">
        <w:rPr>
          <w:rFonts w:cs="Times New Roman"/>
          <w:szCs w:val="24"/>
        </w:rPr>
        <w:t xml:space="preserve"> yang disebut distorsi dan perubahan fonemik. Ini adalah kesalahan bersyarat di mana pembicara tidak menyadari bahwa </w:t>
      </w:r>
      <w:r w:rsidRPr="00191EA7">
        <w:rPr>
          <w:rFonts w:cs="Times New Roman"/>
          <w:szCs w:val="24"/>
        </w:rPr>
        <w:lastRenderedPageBreak/>
        <w:t>sejumlah fonem telah diubah</w:t>
      </w:r>
      <w:r>
        <w:rPr>
          <w:rFonts w:cs="Times New Roman"/>
          <w:szCs w:val="24"/>
        </w:rPr>
        <w:t xml:space="preserve"> dengan sempurna dalam rendisi bunyi yang mereka produksi</w:t>
      </w:r>
      <w:r w:rsidRPr="00191EA7">
        <w:rPr>
          <w:rFonts w:cs="Times New Roman"/>
          <w:szCs w:val="24"/>
        </w:rPr>
        <w:t xml:space="preserve">. Houghton (2003) mengatakan bahwa masalah ini terjadi karena sejumlah cacat artikulasi. Pertama, distorsi fonemik dari jenis substitusi, adalah bahwa satu fonem direplikasi untuk fonem lain. Misalnya, bunyi post-alveolar / w / diganti dengan aproksimasi semi vokal labio-velar / r / sehingga kata rabbit terdengar seperti wabbit. Kedua, distorsi fonemik akibat penghilangan bunyi adalah suatu fonem dalam sebuah kata dihilangkan misalnya </w:t>
      </w:r>
      <w:r w:rsidRPr="00531AEA">
        <w:rPr>
          <w:rFonts w:cs="Times New Roman"/>
          <w:i/>
          <w:szCs w:val="24"/>
        </w:rPr>
        <w:t>bown ake</w:t>
      </w:r>
      <w:r w:rsidRPr="00191EA7">
        <w:rPr>
          <w:rFonts w:cs="Times New Roman"/>
          <w:szCs w:val="24"/>
        </w:rPr>
        <w:t xml:space="preserve"> untuk rake coklat. Perlu dicatat bahwa distorsi fonemik akibat kelalaian suara tidak </w:t>
      </w:r>
      <w:proofErr w:type="gramStart"/>
      <w:r w:rsidRPr="00191EA7">
        <w:rPr>
          <w:rFonts w:cs="Times New Roman"/>
          <w:szCs w:val="24"/>
        </w:rPr>
        <w:t>sama</w:t>
      </w:r>
      <w:proofErr w:type="gramEnd"/>
      <w:r w:rsidRPr="00191EA7">
        <w:rPr>
          <w:rFonts w:cs="Times New Roman"/>
          <w:szCs w:val="24"/>
        </w:rPr>
        <w:t xml:space="preserve"> dengan istilah yang digunakan pada aspek-aspek wicara terkoneksi, yang disebut elision dan linking. Distorsi penghilangan cenderung mendistorsi fonem atau huruf penting dalam sebuah kata yang menyebabkan kejernihan ucapan seseorang menyusut dan menjadi kabur. Sementara itu, </w:t>
      </w:r>
      <w:r w:rsidRPr="00191EA7">
        <w:rPr>
          <w:rFonts w:cs="Times New Roman"/>
          <w:i/>
          <w:szCs w:val="24"/>
        </w:rPr>
        <w:t>elision</w:t>
      </w:r>
      <w:r w:rsidRPr="00191EA7">
        <w:rPr>
          <w:rFonts w:cs="Times New Roman"/>
          <w:szCs w:val="24"/>
        </w:rPr>
        <w:t xml:space="preserve"> dan </w:t>
      </w:r>
      <w:r w:rsidRPr="00191EA7">
        <w:rPr>
          <w:rFonts w:cs="Times New Roman"/>
          <w:i/>
          <w:szCs w:val="24"/>
        </w:rPr>
        <w:t>linking</w:t>
      </w:r>
      <w:r w:rsidRPr="00191EA7">
        <w:rPr>
          <w:rFonts w:cs="Times New Roman"/>
          <w:szCs w:val="24"/>
        </w:rPr>
        <w:t xml:space="preserve"> dianggap fitur prosodi yang meningkatkan dorongan ekstra dari penampilan pidato yang indah dan merdu. Terakhir, distorsi karena penambahan suara adalah bahwa suara tambahan ditambahkan ke dalam sebuah kata, misalnya seseorang mengucapkan buhlack horse sebagai pengganti black horse.</w:t>
      </w:r>
    </w:p>
    <w:p w:rsidR="00191EA7" w:rsidRDefault="00191EA7" w:rsidP="00191EA7">
      <w:pPr>
        <w:ind w:firstLine="720"/>
        <w:jc w:val="both"/>
        <w:rPr>
          <w:rFonts w:cs="Times New Roman"/>
          <w:szCs w:val="24"/>
        </w:rPr>
      </w:pPr>
      <w:r w:rsidRPr="00191EA7">
        <w:rPr>
          <w:rFonts w:cs="Times New Roman"/>
          <w:szCs w:val="24"/>
        </w:rPr>
        <w:t xml:space="preserve">Guru </w:t>
      </w:r>
      <w:proofErr w:type="gramStart"/>
      <w:r w:rsidRPr="00191EA7">
        <w:rPr>
          <w:rFonts w:cs="Times New Roman"/>
          <w:szCs w:val="24"/>
        </w:rPr>
        <w:t>bahasa</w:t>
      </w:r>
      <w:proofErr w:type="gramEnd"/>
      <w:r w:rsidRPr="00191EA7">
        <w:rPr>
          <w:rFonts w:cs="Times New Roman"/>
          <w:szCs w:val="24"/>
        </w:rPr>
        <w:t xml:space="preserve"> Inggris yang berpartisipasi dalam penelitian saya ini kemungkinan besar pernah menghadapi distorsi tipe pertama di mana terlihat bahwa beberapa konsonan terdistorsi di sana-sini. Seperti frikatif / f / sering diartikulasikan sebagai plosif / p /, / θ / dan / ð / sering terdistorsi dengan / t / atau / d /, velar / g / sekali diucapkan sebagai / k /, lenis frikatif / z / dibunyikan dalam fortis / s /, palate-alveolar / ʒ / sering diperlakukan sebagai / ʃ /, yang terakhir vokal terbuka / æ / terus-menerus terdistorsi baik sebagai / ʌ / atau / ɑː / atau / ɒ / atau bahkan vokal tengah / e /. Distorsi fonemik tersebut juga telah dilaporkan oleh sejumlah studi fonetik sebelumnya seperti Sobwiak (2001), Waniek-Klimzack (2001), Davis (2008), Porzuczek (2015), dan Zajac (2015). Jenis kesalahan ini benar-benar dapat menjadi ancaman yang merugikan kejelasan pengucapan seseorang karena tidak hanya berhasil mengaburkannya pada tingkat fonemik tetapi juga berpotensi merusak keseluruhan kata, frasa, dan klausa yang menyebabkan terjadinya miskomunikasi. Oleh karena itu, siapa pun yang memiliki kecenderungan untuk melakukan kesalahan ini tidak boleh menerima begitu saja. Jika terus berlanjut, </w:t>
      </w:r>
      <w:proofErr w:type="gramStart"/>
      <w:r w:rsidRPr="00191EA7">
        <w:rPr>
          <w:rFonts w:cs="Times New Roman"/>
          <w:szCs w:val="24"/>
        </w:rPr>
        <w:t>akan</w:t>
      </w:r>
      <w:proofErr w:type="gramEnd"/>
      <w:r w:rsidRPr="00191EA7">
        <w:rPr>
          <w:rFonts w:cs="Times New Roman"/>
          <w:szCs w:val="24"/>
        </w:rPr>
        <w:t xml:space="preserve"> sulit untuk diperbaiki.</w:t>
      </w:r>
    </w:p>
    <w:p w:rsidR="00191EA7" w:rsidRPr="00191EA7" w:rsidRDefault="00191EA7" w:rsidP="00191EA7">
      <w:pPr>
        <w:ind w:firstLine="720"/>
        <w:jc w:val="both"/>
        <w:rPr>
          <w:rFonts w:cs="Times New Roman"/>
          <w:szCs w:val="24"/>
        </w:rPr>
      </w:pPr>
      <w:r>
        <w:rPr>
          <w:rFonts w:cs="Times New Roman"/>
          <w:szCs w:val="24"/>
        </w:rPr>
        <w:t xml:space="preserve">Masalah selanjutnya yang ditemukan dari hasil performa dan rendisi fonetik </w:t>
      </w:r>
      <w:r w:rsidRPr="00191EA7">
        <w:rPr>
          <w:rFonts w:cs="Times New Roman"/>
          <w:szCs w:val="24"/>
        </w:rPr>
        <w:t xml:space="preserve">kesalahan </w:t>
      </w:r>
      <w:r>
        <w:rPr>
          <w:rFonts w:cs="Times New Roman"/>
          <w:szCs w:val="24"/>
        </w:rPr>
        <w:t xml:space="preserve">adalah </w:t>
      </w:r>
      <w:r w:rsidRPr="00191EA7">
        <w:rPr>
          <w:rFonts w:cs="Times New Roman"/>
          <w:szCs w:val="24"/>
        </w:rPr>
        <w:t xml:space="preserve">pengucapan </w:t>
      </w:r>
      <w:proofErr w:type="gramStart"/>
      <w:r w:rsidRPr="00191EA7">
        <w:rPr>
          <w:rFonts w:cs="Times New Roman"/>
          <w:szCs w:val="24"/>
        </w:rPr>
        <w:t>nama</w:t>
      </w:r>
      <w:proofErr w:type="gramEnd"/>
      <w:r w:rsidRPr="00191EA7">
        <w:rPr>
          <w:rFonts w:cs="Times New Roman"/>
          <w:szCs w:val="24"/>
        </w:rPr>
        <w:t xml:space="preserve"> dalam bahasa Inggris. Nama bahasa Inggris yang digunakan dalam salah satu bagian dari tes PIT saya adalah Elvis Presley / ˈɛlvɪs ˈprɛsli /, Barbara Streisand / ˈbɑrbərə ˈstraɪzənd /, Tina turner / ˈtinə ˈtɜrnər / dan Eddie Murphy / ˈɛdi ˈmɜrfi /. Sejauh yang saya ketahui bahwa semua guru bahasa Inggris yang berpartisipasi dalam penelitian ini salah mengucapkan beberapa </w:t>
      </w:r>
      <w:proofErr w:type="gramStart"/>
      <w:r w:rsidRPr="00191EA7">
        <w:rPr>
          <w:rFonts w:cs="Times New Roman"/>
          <w:szCs w:val="24"/>
        </w:rPr>
        <w:t>nama</w:t>
      </w:r>
      <w:proofErr w:type="gramEnd"/>
      <w:r w:rsidRPr="00191EA7">
        <w:rPr>
          <w:rFonts w:cs="Times New Roman"/>
          <w:szCs w:val="24"/>
        </w:rPr>
        <w:t xml:space="preserve"> yang disebutkan di atas. Misalnya peserta pertama salah mengeja </w:t>
      </w:r>
      <w:proofErr w:type="gramStart"/>
      <w:r w:rsidRPr="00191EA7">
        <w:rPr>
          <w:rFonts w:cs="Times New Roman"/>
          <w:szCs w:val="24"/>
        </w:rPr>
        <w:t>nama</w:t>
      </w:r>
      <w:proofErr w:type="gramEnd"/>
      <w:r w:rsidRPr="00191EA7">
        <w:rPr>
          <w:rFonts w:cs="Times New Roman"/>
          <w:szCs w:val="24"/>
        </w:rPr>
        <w:t xml:space="preserve"> belakang Elvis Presley. Dia mengucapkannya / perslei / bukannya / prɛzli / menukar konsonan / r / dengan / e / dan mengubah vokal tunggal / I / menjadi diftong / ei /. Kemudian, Murphy, dalam suara ph / f / diartikulasikan secara keliru. Huruf p dan h di Murphy seharusnya dilafalkan / f / bukan /p/. Sementara peserta kedua </w:t>
      </w:r>
      <w:r w:rsidRPr="00191EA7">
        <w:rPr>
          <w:rFonts w:cs="Times New Roman"/>
          <w:szCs w:val="24"/>
        </w:rPr>
        <w:lastRenderedPageBreak/>
        <w:t xml:space="preserve">mengulang kesalahan pengucapan yang dilakukan pada </w:t>
      </w:r>
      <w:proofErr w:type="gramStart"/>
      <w:r w:rsidRPr="00191EA7">
        <w:rPr>
          <w:rFonts w:cs="Times New Roman"/>
          <w:szCs w:val="24"/>
        </w:rPr>
        <w:t>nama</w:t>
      </w:r>
      <w:proofErr w:type="gramEnd"/>
      <w:r w:rsidRPr="00191EA7">
        <w:rPr>
          <w:rFonts w:cs="Times New Roman"/>
          <w:szCs w:val="24"/>
        </w:rPr>
        <w:t xml:space="preserve"> belakang Presley / pɜrslei / bukan / prɛzli / yang menukar konsonan / r / dengan / ɜ / dan mengubah vokal tunggal / I / menjadi diftong / ei /. Adapun </w:t>
      </w:r>
      <w:proofErr w:type="gramStart"/>
      <w:r w:rsidRPr="00191EA7">
        <w:rPr>
          <w:rFonts w:cs="Times New Roman"/>
          <w:szCs w:val="24"/>
        </w:rPr>
        <w:t>nama</w:t>
      </w:r>
      <w:proofErr w:type="gramEnd"/>
      <w:r w:rsidRPr="00191EA7">
        <w:rPr>
          <w:rFonts w:cs="Times New Roman"/>
          <w:szCs w:val="24"/>
        </w:rPr>
        <w:t xml:space="preserve"> belakang Streisand. Daripada mengucapkannya / straɪzənd /, Tuan White melafalkannya / strainsʌn /. Ada konsonan tambahan / n / dan mengubah suara schwa / ə / menjadi / ʌ /. Lebih anehnya lagi, </w:t>
      </w:r>
      <w:proofErr w:type="gramStart"/>
      <w:r w:rsidRPr="00191EA7">
        <w:rPr>
          <w:rFonts w:cs="Times New Roman"/>
          <w:szCs w:val="24"/>
        </w:rPr>
        <w:t>nama</w:t>
      </w:r>
      <w:proofErr w:type="gramEnd"/>
      <w:r w:rsidRPr="00191EA7">
        <w:rPr>
          <w:rFonts w:cs="Times New Roman"/>
          <w:szCs w:val="24"/>
        </w:rPr>
        <w:t xml:space="preserve"> belakang 'Streisand' diucapkan / 'streslend / atau / streslænd / oleh peserta terakhir.</w:t>
      </w:r>
    </w:p>
    <w:p w:rsidR="00191EA7" w:rsidRDefault="00191EA7" w:rsidP="00191EA7">
      <w:pPr>
        <w:ind w:firstLine="720"/>
        <w:jc w:val="both"/>
        <w:rPr>
          <w:rFonts w:cs="Times New Roman"/>
          <w:szCs w:val="24"/>
        </w:rPr>
      </w:pPr>
      <w:r w:rsidRPr="00191EA7">
        <w:rPr>
          <w:rFonts w:cs="Times New Roman"/>
          <w:szCs w:val="24"/>
        </w:rPr>
        <w:t xml:space="preserve">Masalah tipikal ini terjadi </w:t>
      </w:r>
      <w:r>
        <w:rPr>
          <w:rFonts w:cs="Times New Roman"/>
          <w:szCs w:val="24"/>
        </w:rPr>
        <w:t>karena</w:t>
      </w:r>
      <w:r w:rsidRPr="00191EA7">
        <w:rPr>
          <w:rFonts w:cs="Times New Roman"/>
          <w:szCs w:val="24"/>
        </w:rPr>
        <w:t xml:space="preserve"> sejumlah faktor, salah satunya adalah </w:t>
      </w:r>
      <w:proofErr w:type="gramStart"/>
      <w:r w:rsidRPr="00191EA7">
        <w:rPr>
          <w:rFonts w:cs="Times New Roman"/>
          <w:szCs w:val="24"/>
        </w:rPr>
        <w:t>apa</w:t>
      </w:r>
      <w:proofErr w:type="gramEnd"/>
      <w:r w:rsidRPr="00191EA7">
        <w:rPr>
          <w:rFonts w:cs="Times New Roman"/>
          <w:szCs w:val="24"/>
        </w:rPr>
        <w:t xml:space="preserve"> yang disebut berlawanan dengan ejaan. Ini adalah suatu kondisi di mana pelafalan nama-nama bahasa Inggris tertentu tampaknya tidak sesuai dengan asosiasi ejaan atau pelafalan konvensionalnya, atau hanya karena </w:t>
      </w:r>
      <w:proofErr w:type="gramStart"/>
      <w:r w:rsidRPr="00191EA7">
        <w:rPr>
          <w:rFonts w:cs="Times New Roman"/>
          <w:szCs w:val="24"/>
        </w:rPr>
        <w:t>nama</w:t>
      </w:r>
      <w:proofErr w:type="gramEnd"/>
      <w:r w:rsidRPr="00191EA7">
        <w:rPr>
          <w:rFonts w:cs="Times New Roman"/>
          <w:szCs w:val="24"/>
        </w:rPr>
        <w:t xml:space="preserve"> yang lebih dikenal dengan ejaan serupa memiliki pengucapan yang sangat berbeda. Jenis yang terakhir ini disebut sebagai heterofon atau </w:t>
      </w:r>
      <w:proofErr w:type="gramStart"/>
      <w:r w:rsidRPr="00191EA7">
        <w:rPr>
          <w:rFonts w:cs="Times New Roman"/>
          <w:szCs w:val="24"/>
        </w:rPr>
        <w:t>nama</w:t>
      </w:r>
      <w:proofErr w:type="gramEnd"/>
      <w:r w:rsidRPr="00191EA7">
        <w:rPr>
          <w:rFonts w:cs="Times New Roman"/>
          <w:szCs w:val="24"/>
        </w:rPr>
        <w:t xml:space="preserve"> heterofonik yang berbeda dari heterograf, ditulis berbeda tetapi diucapkan dengan cara yang sama) (Smith, 1986). Mari kita lihat nama-nama Inggris seperti Geoffrey / ˈdʒɛfri /, Hugh / ˈhjuː /, Magdalene / ˈmɔːdlɪn /, Morgause / mɔːrˈɡeɪz /, Seamus / ˈʃeɪməs /, Zoe / zoʊi /, Vaughan / ˈvɔːn /, Phoebe / Isaac / ˈAɪzək /, Eithne / ˈɛnjə /, Antawn / ˈæntwɑːn /, Michellie / mɪˈkiːli /, Buccleugh / bəˈkluː /, Coke / ˈkʊk /, Colclough / ˈkoʊkli /, Dyches / ˈdaɪks /, Lalor / ˈlɔː /, Mulər / ˈlɔː / masih banyak lagi. Sejujurnya, saya pribadi tidak pernah menyangka pelafalan nama-nama Inggris </w:t>
      </w:r>
      <w:r>
        <w:rPr>
          <w:rFonts w:cs="Times New Roman"/>
          <w:szCs w:val="24"/>
        </w:rPr>
        <w:t xml:space="preserve">tersebut dilafalkan </w:t>
      </w:r>
      <w:r w:rsidRPr="00191EA7">
        <w:rPr>
          <w:rFonts w:cs="Times New Roman"/>
          <w:szCs w:val="24"/>
        </w:rPr>
        <w:t>seperti itu. K</w:t>
      </w:r>
      <w:r>
        <w:rPr>
          <w:rFonts w:cs="Times New Roman"/>
          <w:szCs w:val="24"/>
        </w:rPr>
        <w:t xml:space="preserve">ita barangkali </w:t>
      </w:r>
      <w:r w:rsidRPr="00191EA7">
        <w:rPr>
          <w:rFonts w:cs="Times New Roman"/>
          <w:szCs w:val="24"/>
        </w:rPr>
        <w:t>cenderung mengucapkan nama-nama bahasa Inggris dan juga tempat bahasa Inggris dengan bantuan asosiasi fonemik latar belakang atau ejaan konvensional sehubungan dengan bagaimana sebagian besar le</w:t>
      </w:r>
      <w:r>
        <w:rPr>
          <w:rFonts w:cs="Times New Roman"/>
          <w:szCs w:val="24"/>
        </w:rPr>
        <w:t>ksikon bahasa Inggris diucapkan</w:t>
      </w:r>
      <w:r w:rsidRPr="00191EA7">
        <w:rPr>
          <w:rFonts w:cs="Times New Roman"/>
          <w:szCs w:val="24"/>
        </w:rPr>
        <w:t>. Mereka yang berbicara dan belajar bahasa Inggris sebagai bahasa kedua mungkin tidak memiliki banyak eksposur linguistik dalam hal sosio-budaya, latar belakang pengetahuan, dll. Meskipun k</w:t>
      </w:r>
      <w:r>
        <w:rPr>
          <w:rFonts w:cs="Times New Roman"/>
          <w:szCs w:val="24"/>
        </w:rPr>
        <w:t>ita</w:t>
      </w:r>
      <w:r w:rsidRPr="00191EA7">
        <w:rPr>
          <w:rFonts w:cs="Times New Roman"/>
          <w:szCs w:val="24"/>
        </w:rPr>
        <w:t xml:space="preserve"> telah tinggal di negara berbahasa Inggris selama beberapa waktu, jenis kesalahan seperti itu masih mungkin terjadi.</w:t>
      </w:r>
    </w:p>
    <w:p w:rsidR="00D56970" w:rsidRPr="00D56970" w:rsidRDefault="00D56970" w:rsidP="00D56970">
      <w:pPr>
        <w:ind w:firstLine="720"/>
        <w:jc w:val="both"/>
        <w:rPr>
          <w:rFonts w:cs="Times New Roman"/>
          <w:szCs w:val="24"/>
        </w:rPr>
      </w:pPr>
      <w:r>
        <w:rPr>
          <w:rFonts w:cs="Times New Roman"/>
          <w:szCs w:val="24"/>
        </w:rPr>
        <w:t xml:space="preserve">Yang terakhir yang layak dibahas dari hasil performa fonetik segmental adalah terkait dengan tidak dibunyikannya fonem bagian akhir. </w:t>
      </w:r>
      <w:r w:rsidRPr="00D56970">
        <w:rPr>
          <w:rFonts w:cs="Times New Roman"/>
          <w:szCs w:val="24"/>
        </w:rPr>
        <w:t xml:space="preserve">Fonem terakhir dalam kata-kata sering kali diabaikan karena </w:t>
      </w:r>
      <w:r>
        <w:rPr>
          <w:rFonts w:cs="Times New Roman"/>
          <w:szCs w:val="24"/>
        </w:rPr>
        <w:t>penutur yang barangkali</w:t>
      </w:r>
      <w:r w:rsidRPr="00D56970">
        <w:rPr>
          <w:rFonts w:cs="Times New Roman"/>
          <w:szCs w:val="24"/>
        </w:rPr>
        <w:t xml:space="preserve"> menganggapnya biasa. Sebagian besar akhiran yang sering diabaikan adalah berbentuk kata kerja terutama</w:t>
      </w:r>
      <w:r>
        <w:rPr>
          <w:rFonts w:cs="Times New Roman"/>
          <w:szCs w:val="24"/>
        </w:rPr>
        <w:t xml:space="preserve"> pada bentuk </w:t>
      </w:r>
      <w:r w:rsidRPr="00D56970">
        <w:rPr>
          <w:rFonts w:cs="Times New Roman"/>
          <w:i/>
          <w:szCs w:val="24"/>
        </w:rPr>
        <w:t>past-participle</w:t>
      </w:r>
      <w:r w:rsidRPr="00D56970">
        <w:rPr>
          <w:rFonts w:cs="Times New Roman"/>
          <w:szCs w:val="24"/>
        </w:rPr>
        <w:t xml:space="preserve"> (diakhiri dengan bunyi / d /, / t /, atau / </w:t>
      </w:r>
      <w:proofErr w:type="gramStart"/>
      <w:r w:rsidRPr="00D56970">
        <w:rPr>
          <w:rFonts w:cs="Times New Roman"/>
          <w:szCs w:val="24"/>
        </w:rPr>
        <w:t>ed</w:t>
      </w:r>
      <w:proofErr w:type="gramEnd"/>
      <w:r w:rsidRPr="00D56970">
        <w:rPr>
          <w:rFonts w:cs="Times New Roman"/>
          <w:szCs w:val="24"/>
        </w:rPr>
        <w:t xml:space="preserve"> /), dalam s / es / (s / z / ɪz). Sedangkan untuk kelompok bunyi pertama / d /, / t /, atau / </w:t>
      </w:r>
      <w:proofErr w:type="gramStart"/>
      <w:r w:rsidRPr="00D56970">
        <w:rPr>
          <w:rFonts w:cs="Times New Roman"/>
          <w:szCs w:val="24"/>
        </w:rPr>
        <w:t>ed</w:t>
      </w:r>
      <w:proofErr w:type="gramEnd"/>
      <w:r w:rsidRPr="00D56970">
        <w:rPr>
          <w:rFonts w:cs="Times New Roman"/>
          <w:szCs w:val="24"/>
        </w:rPr>
        <w:t xml:space="preserve"> / sering kali digeneralisasikan menjadi hanya bunyi ed, sedangkan kelompok kedua bunyi penutup s / z / ɪz sering digeneralisa</w:t>
      </w:r>
      <w:r>
        <w:rPr>
          <w:rFonts w:cs="Times New Roman"/>
          <w:szCs w:val="24"/>
        </w:rPr>
        <w:t>sikan hanya sebagai bunyi / s /</w:t>
      </w:r>
      <w:r w:rsidRPr="00D56970">
        <w:rPr>
          <w:rFonts w:cs="Times New Roman"/>
          <w:szCs w:val="24"/>
        </w:rPr>
        <w:t xml:space="preserve">. Apakah sebuah kata diakhiri dengan suara bersuara (z / iz) atau tidak tampaknya tidak mendapat perhatian </w:t>
      </w:r>
      <w:proofErr w:type="gramStart"/>
      <w:r w:rsidRPr="00D56970">
        <w:rPr>
          <w:rFonts w:cs="Times New Roman"/>
          <w:szCs w:val="24"/>
        </w:rPr>
        <w:t>sama</w:t>
      </w:r>
      <w:proofErr w:type="gramEnd"/>
      <w:r w:rsidRPr="00D56970">
        <w:rPr>
          <w:rFonts w:cs="Times New Roman"/>
          <w:szCs w:val="24"/>
        </w:rPr>
        <w:t xml:space="preserve"> sekali. Selain itu, akhiran terakhir / k / dan / ŋ / sering salah diucapkan secara bergantian paling baik dicontohkan oleh kata benda dan pikir. Fonem akhir / t / juga begitu sering diabaikan, dan tetap tidak masuk akal seperti dalam </w:t>
      </w:r>
      <w:proofErr w:type="gramStart"/>
      <w:r w:rsidRPr="00D56970">
        <w:rPr>
          <w:rFonts w:cs="Times New Roman"/>
          <w:szCs w:val="24"/>
        </w:rPr>
        <w:t>surat</w:t>
      </w:r>
      <w:proofErr w:type="gramEnd"/>
      <w:r w:rsidRPr="00D56970">
        <w:rPr>
          <w:rFonts w:cs="Times New Roman"/>
          <w:szCs w:val="24"/>
        </w:rPr>
        <w:t xml:space="preserve"> bisu seper</w:t>
      </w:r>
      <w:r>
        <w:rPr>
          <w:rFonts w:cs="Times New Roman"/>
          <w:szCs w:val="24"/>
        </w:rPr>
        <w:t xml:space="preserve">ti pada kata </w:t>
      </w:r>
      <w:r w:rsidRPr="00D56970">
        <w:rPr>
          <w:rFonts w:cs="Times New Roman"/>
          <w:i/>
          <w:szCs w:val="24"/>
        </w:rPr>
        <w:t>tint, abduct</w:t>
      </w:r>
      <w:r w:rsidRPr="00D56970">
        <w:rPr>
          <w:rFonts w:cs="Times New Roman"/>
          <w:i/>
          <w:szCs w:val="24"/>
        </w:rPr>
        <w:t>, product</w:t>
      </w:r>
      <w:r w:rsidRPr="00D56970">
        <w:rPr>
          <w:rFonts w:cs="Times New Roman"/>
          <w:szCs w:val="24"/>
        </w:rPr>
        <w:t>, dan sebagainya.</w:t>
      </w:r>
    </w:p>
    <w:p w:rsidR="00D56970" w:rsidRDefault="00D56970" w:rsidP="00D56970">
      <w:pPr>
        <w:ind w:firstLine="720"/>
        <w:jc w:val="both"/>
        <w:rPr>
          <w:rFonts w:cs="Times New Roman"/>
          <w:szCs w:val="24"/>
        </w:rPr>
      </w:pPr>
      <w:r w:rsidRPr="00D56970">
        <w:rPr>
          <w:rFonts w:cs="Times New Roman"/>
          <w:szCs w:val="24"/>
        </w:rPr>
        <w:lastRenderedPageBreak/>
        <w:t xml:space="preserve">Pertanyaannya adalah apakah masalah seperti itu mempengaruhi </w:t>
      </w:r>
      <w:r>
        <w:rPr>
          <w:rFonts w:cs="Times New Roman"/>
          <w:szCs w:val="24"/>
        </w:rPr>
        <w:t xml:space="preserve">inteligibilitas </w:t>
      </w:r>
      <w:r w:rsidRPr="00D56970">
        <w:rPr>
          <w:rFonts w:cs="Times New Roman"/>
          <w:szCs w:val="24"/>
        </w:rPr>
        <w:t xml:space="preserve">seseorang, jawabannya adalah ya. Banyak fonem yang tidak terdengar dalam sebuah kalimat pasti </w:t>
      </w:r>
      <w:proofErr w:type="gramStart"/>
      <w:r w:rsidRPr="00D56970">
        <w:rPr>
          <w:rFonts w:cs="Times New Roman"/>
          <w:szCs w:val="24"/>
        </w:rPr>
        <w:t>akan</w:t>
      </w:r>
      <w:proofErr w:type="gramEnd"/>
      <w:r w:rsidRPr="00D56970">
        <w:rPr>
          <w:rFonts w:cs="Times New Roman"/>
          <w:szCs w:val="24"/>
        </w:rPr>
        <w:t xml:space="preserve"> merusak kejelasan pengucapan seseorang. Juga, masalah seperti itu tidak bisa begitu saja dikesampingkan. Fenomena ini pernah dikemukakan oleh Odlin (1989) sebagai pengaruh linguistik lintas budaya dalam hal identifikasi antarbahasa. Namun, saya lebih suka berbagi pemikiran yang berbeda. Saya lebih suka melihat masalah dari</w:t>
      </w:r>
      <w:r>
        <w:rPr>
          <w:rFonts w:cs="Times New Roman"/>
          <w:szCs w:val="24"/>
        </w:rPr>
        <w:t xml:space="preserve"> sudut pandang kurangnya latihan</w:t>
      </w:r>
      <w:r w:rsidRPr="00D56970">
        <w:rPr>
          <w:rFonts w:cs="Times New Roman"/>
          <w:szCs w:val="24"/>
        </w:rPr>
        <w:t xml:space="preserve"> daripada faktor transfer bahasa seperti itu. Fonem akhir yang tidak beralasan menurut saya terjadi karena beberapa orang mungkin merasa tidak perlu melakukannya. Alasannya adalah karena sebuah kata dibunyikan sebagai kata yang utuh, baru selesai. Misalnya, </w:t>
      </w:r>
      <w:proofErr w:type="gramStart"/>
      <w:r w:rsidRPr="00D56970">
        <w:rPr>
          <w:rFonts w:cs="Times New Roman"/>
          <w:szCs w:val="24"/>
        </w:rPr>
        <w:t>bantu</w:t>
      </w:r>
      <w:proofErr w:type="gramEnd"/>
      <w:r w:rsidRPr="00D56970">
        <w:rPr>
          <w:rFonts w:cs="Times New Roman"/>
          <w:szCs w:val="24"/>
        </w:rPr>
        <w:t xml:space="preserve"> negatif tidak sering diucapkan sebagai / doʊn / hanya tanpa fonem / t / di akhirnya. Beberapa orang mungkin menganggap bahwa satu-satunya / doʊn / sudah cukup untuk membuat sebuah kata bekerja tanpa harus mengartikulasikan akhirannya / t / </w:t>
      </w:r>
      <w:proofErr w:type="gramStart"/>
      <w:r w:rsidRPr="00D56970">
        <w:rPr>
          <w:rFonts w:cs="Times New Roman"/>
          <w:szCs w:val="24"/>
        </w:rPr>
        <w:t>sama</w:t>
      </w:r>
      <w:proofErr w:type="gramEnd"/>
      <w:r w:rsidRPr="00D56970">
        <w:rPr>
          <w:rFonts w:cs="Times New Roman"/>
          <w:szCs w:val="24"/>
        </w:rPr>
        <w:t xml:space="preserve"> sekali. Hal ini juga didukung dengan pernyataan salah satu peserta saya yang mengaku tidak peduli suara ending tidak dibunyikan oleh semua siswa.</w:t>
      </w:r>
    </w:p>
    <w:p w:rsidR="008374EB" w:rsidRDefault="008374EB" w:rsidP="007017E7">
      <w:pPr>
        <w:jc w:val="both"/>
        <w:rPr>
          <w:rFonts w:cs="Times New Roman"/>
          <w:szCs w:val="24"/>
        </w:rPr>
      </w:pPr>
    </w:p>
    <w:p w:rsidR="00D56970" w:rsidRPr="00BF776F" w:rsidRDefault="00D56970" w:rsidP="00BF776F">
      <w:pPr>
        <w:pStyle w:val="ListParagraph"/>
        <w:numPr>
          <w:ilvl w:val="0"/>
          <w:numId w:val="5"/>
        </w:numPr>
        <w:jc w:val="both"/>
        <w:rPr>
          <w:rFonts w:cs="Times New Roman"/>
          <w:b/>
          <w:szCs w:val="24"/>
        </w:rPr>
      </w:pPr>
      <w:r w:rsidRPr="00BF776F">
        <w:rPr>
          <w:rFonts w:cs="Times New Roman"/>
          <w:b/>
          <w:szCs w:val="24"/>
        </w:rPr>
        <w:t>KESIMPULAN</w:t>
      </w:r>
    </w:p>
    <w:p w:rsidR="008374EB" w:rsidRDefault="008374EB" w:rsidP="008374EB">
      <w:pPr>
        <w:ind w:firstLine="720"/>
        <w:jc w:val="both"/>
        <w:rPr>
          <w:rFonts w:cs="Times New Roman"/>
          <w:szCs w:val="24"/>
        </w:rPr>
      </w:pPr>
      <w:r w:rsidRPr="008374EB">
        <w:rPr>
          <w:rFonts w:cs="Times New Roman"/>
          <w:szCs w:val="24"/>
        </w:rPr>
        <w:t xml:space="preserve">Dari segi </w:t>
      </w:r>
      <w:r w:rsidR="00531AEA">
        <w:rPr>
          <w:rFonts w:cs="Times New Roman"/>
          <w:szCs w:val="24"/>
        </w:rPr>
        <w:t>performa dan pengucapan dalam</w:t>
      </w:r>
      <w:r>
        <w:rPr>
          <w:rFonts w:cs="Times New Roman"/>
          <w:szCs w:val="24"/>
        </w:rPr>
        <w:t xml:space="preserve"> fitur-fitur</w:t>
      </w:r>
      <w:r w:rsidRPr="008374EB">
        <w:rPr>
          <w:rFonts w:cs="Times New Roman"/>
          <w:szCs w:val="24"/>
        </w:rPr>
        <w:t xml:space="preserve"> segmental, penampilan fonologis peserta dianalisis dengan menggunakan serangkaian tes pelafalan. Hasil analisis segmental menunjukkan bahwa semua guru yang berpartisipasi tampaknya memiliki sejumlah kesalahan yang </w:t>
      </w:r>
      <w:proofErr w:type="gramStart"/>
      <w:r w:rsidRPr="008374EB">
        <w:rPr>
          <w:rFonts w:cs="Times New Roman"/>
          <w:szCs w:val="24"/>
        </w:rPr>
        <w:t>sama</w:t>
      </w:r>
      <w:proofErr w:type="gramEnd"/>
      <w:r w:rsidRPr="008374EB">
        <w:rPr>
          <w:rFonts w:cs="Times New Roman"/>
          <w:szCs w:val="24"/>
        </w:rPr>
        <w:t xml:space="preserve">. Pertama mereka mengalami kesulitan untuk mengartikulasikan kata apapun yang mengandung frikatif </w:t>
      </w:r>
      <w:r>
        <w:rPr>
          <w:rFonts w:cs="Times New Roman"/>
          <w:szCs w:val="24"/>
        </w:rPr>
        <w:t>dental</w:t>
      </w:r>
      <w:r w:rsidRPr="008374EB">
        <w:rPr>
          <w:rFonts w:cs="Times New Roman"/>
          <w:szCs w:val="24"/>
        </w:rPr>
        <w:t xml:space="preserve"> / ð / dan / θ /, oleh karena itu kedua frikatif tersebut agak terdistorsi menjadi / d / atau / t / sounds. Kedua, masalah timbal balik mereka terletak pada vokal terbuka / æ, / / ​​ʌ /, / ɑː /, dan / ɒ / di mana vokal-vokal itu sering disalahgunakan secara bergantian, dan satu suara terkadang terdistorsi menjadi suara lain. Ketiga, mereka tampaknya tidak memperhatikan fonem terakhir dalam sebuah kata di mana bunyi akhir seperti bentuk past-participle atau past-participle (terdengar di / d / atau / id / / t /) paling sering diterjemahkan sebagai semata-mata / d /, kelompok kedua dari bunyi akhir s / z / ɪz digeneralisasikan hanya sebagai bunyi / s /, ujung terakhir / k / dan / ŋ / sering salah diucapkan secara bergantian, fonem terakhir / t / juga sangat sering diabaikan, dan tetap tidak masuk akal seperti dalam surat bisu.</w:t>
      </w:r>
    </w:p>
    <w:p w:rsidR="00D56970" w:rsidRDefault="008374EB" w:rsidP="008374EB">
      <w:pPr>
        <w:ind w:firstLine="720"/>
        <w:jc w:val="both"/>
        <w:rPr>
          <w:rFonts w:cs="Times New Roman"/>
          <w:szCs w:val="24"/>
        </w:rPr>
      </w:pPr>
      <w:r>
        <w:rPr>
          <w:rFonts w:cs="Times New Roman"/>
          <w:szCs w:val="24"/>
        </w:rPr>
        <w:t>Kemudian</w:t>
      </w:r>
      <w:r w:rsidRPr="008374EB">
        <w:rPr>
          <w:rFonts w:cs="Times New Roman"/>
          <w:szCs w:val="24"/>
        </w:rPr>
        <w:t xml:space="preserve">, semua guru bahasa Inggris bukan penutur asli memiliki masalah besar dengan suku kata, sehingga banyak kata yang menerima lebih banyak suku kata </w:t>
      </w:r>
      <w:r w:rsidR="007017E7">
        <w:rPr>
          <w:rFonts w:cs="Times New Roman"/>
          <w:szCs w:val="24"/>
        </w:rPr>
        <w:t>yang dibutuhkan</w:t>
      </w:r>
      <w:r w:rsidRPr="008374EB">
        <w:rPr>
          <w:rFonts w:cs="Times New Roman"/>
          <w:szCs w:val="24"/>
        </w:rPr>
        <w:t xml:space="preserve">. Kelima, peserta secara keseluruhan tampak mengalami kesulitan dalam mengenali huruf bisu dalam kata-kata, sehingga banyak dijumpai </w:t>
      </w:r>
      <w:r w:rsidR="007017E7">
        <w:rPr>
          <w:rFonts w:cs="Times New Roman"/>
          <w:szCs w:val="24"/>
        </w:rPr>
        <w:t>huruf bisu (silent letters)</w:t>
      </w:r>
      <w:r w:rsidRPr="008374EB">
        <w:rPr>
          <w:rFonts w:cs="Times New Roman"/>
          <w:szCs w:val="24"/>
        </w:rPr>
        <w:t xml:space="preserve"> yang tidak perlu dibunyikan. Keenam, masalah yang </w:t>
      </w:r>
      <w:proofErr w:type="gramStart"/>
      <w:r w:rsidRPr="008374EB">
        <w:rPr>
          <w:rFonts w:cs="Times New Roman"/>
          <w:szCs w:val="24"/>
        </w:rPr>
        <w:t>sama</w:t>
      </w:r>
      <w:proofErr w:type="gramEnd"/>
      <w:r w:rsidRPr="008374EB">
        <w:rPr>
          <w:rFonts w:cs="Times New Roman"/>
          <w:szCs w:val="24"/>
        </w:rPr>
        <w:t xml:space="preserve"> terjadi karena apa yang disebut kontraintuitif terhadap ejaan yang disebabkan oleh heteronim dalam sejumlah nama bahasa Inggris di mana para guru yang berpartisipasi secara salah menemukan beberapa nama bahasa Inggris untuk pengucapan mereka yang benar. Ketujuh, </w:t>
      </w:r>
      <w:r w:rsidRPr="008374EB">
        <w:rPr>
          <w:rFonts w:cs="Times New Roman"/>
          <w:szCs w:val="24"/>
        </w:rPr>
        <w:lastRenderedPageBreak/>
        <w:t>generalisasi fonemik yang berlebihan juga terjadi. Terakhir, perubahan fonemik dan distorsi kadang-kadang ditemukan dalam pidato mereka di mana beberapa kata terdengar berbeda dari yang seharusnya karena terjadinya perubahan fonemik dalam kata-kata. Sejujurnya, sejauh ini, saya belum melihat kesalahan individu yang signifikan pada tingkat segmental karena semuanya secara mengejutkan berbagi masalah yang sangat mirip.</w:t>
      </w:r>
      <w:r>
        <w:rPr>
          <w:rFonts w:cs="Times New Roman"/>
          <w:szCs w:val="24"/>
        </w:rPr>
        <w:t xml:space="preserve"> Dengan kata lain, ketiga peserta memiliki inteligibilitas pengucapan bahasa inggris yang tidak memadai dalam segi segmentasi dikarenakan adanya sejumlah kesalahan yang bervariasi terkait fitur-fitur fonetik segmentasi.</w:t>
      </w:r>
    </w:p>
    <w:p w:rsidR="007017E7" w:rsidRDefault="007017E7" w:rsidP="008374EB">
      <w:pPr>
        <w:ind w:firstLine="720"/>
        <w:jc w:val="both"/>
        <w:rPr>
          <w:rFonts w:cs="Times New Roman"/>
          <w:b/>
          <w:szCs w:val="24"/>
        </w:rPr>
      </w:pPr>
    </w:p>
    <w:p w:rsidR="007017E7" w:rsidRDefault="007017E7" w:rsidP="008374EB">
      <w:pPr>
        <w:ind w:firstLine="720"/>
        <w:jc w:val="both"/>
        <w:rPr>
          <w:rFonts w:cs="Times New Roman"/>
          <w:b/>
          <w:szCs w:val="24"/>
        </w:rPr>
      </w:pPr>
    </w:p>
    <w:p w:rsidR="007017E7" w:rsidRDefault="007017E7" w:rsidP="007017E7">
      <w:pPr>
        <w:jc w:val="both"/>
        <w:rPr>
          <w:rFonts w:cs="Times New Roman"/>
          <w:b/>
          <w:szCs w:val="24"/>
        </w:rPr>
      </w:pPr>
      <w:bookmarkStart w:id="0" w:name="_GoBack"/>
      <w:bookmarkEnd w:id="0"/>
    </w:p>
    <w:p w:rsidR="007017E7" w:rsidRDefault="007017E7" w:rsidP="008374EB">
      <w:pPr>
        <w:ind w:firstLine="720"/>
        <w:jc w:val="both"/>
        <w:rPr>
          <w:rFonts w:cs="Times New Roman"/>
          <w:b/>
          <w:szCs w:val="24"/>
        </w:rPr>
      </w:pPr>
    </w:p>
    <w:p w:rsidR="007017E7" w:rsidRPr="007017E7" w:rsidRDefault="00934520" w:rsidP="007017E7">
      <w:pPr>
        <w:ind w:firstLine="720"/>
        <w:jc w:val="center"/>
        <w:rPr>
          <w:rFonts w:cs="Times New Roman"/>
          <w:b/>
          <w:szCs w:val="24"/>
        </w:rPr>
      </w:pPr>
      <w:r w:rsidRPr="007017E7">
        <w:rPr>
          <w:rFonts w:cs="Times New Roman"/>
          <w:b/>
          <w:szCs w:val="24"/>
        </w:rPr>
        <w:t>DAFTAR PUSTAKA</w:t>
      </w:r>
    </w:p>
    <w:p w:rsidR="007017E7" w:rsidRPr="006C57F6" w:rsidRDefault="007017E7" w:rsidP="007017E7">
      <w:pPr>
        <w:spacing w:after="160" w:line="240" w:lineRule="auto"/>
        <w:ind w:left="426" w:hanging="426"/>
        <w:jc w:val="both"/>
        <w:rPr>
          <w:rFonts w:eastAsia="Calibri" w:cs="Times New Roman"/>
          <w:szCs w:val="24"/>
        </w:rPr>
      </w:pPr>
      <w:r w:rsidRPr="006C57F6">
        <w:rPr>
          <w:rFonts w:eastAsia="Calibri" w:cs="Times New Roman"/>
          <w:szCs w:val="24"/>
        </w:rPr>
        <w:t xml:space="preserve">Aliaga García, C. (2007). The role of phonetic training in L2 speech learning. </w:t>
      </w:r>
      <w:r w:rsidRPr="006C57F6">
        <w:rPr>
          <w:rFonts w:eastAsia="Calibri" w:cs="Times New Roman"/>
          <w:i/>
          <w:szCs w:val="24"/>
        </w:rPr>
        <w:t>Proceedings of the Phonetics Teaching and Learning Conference (PTLC2007</w:t>
      </w:r>
      <w:r w:rsidRPr="006C57F6">
        <w:rPr>
          <w:rFonts w:eastAsia="Calibri" w:cs="Times New Roman"/>
          <w:szCs w:val="24"/>
        </w:rPr>
        <w:t xml:space="preserve">), University College London. Available at </w:t>
      </w:r>
      <w:hyperlink r:id="rId7" w:history="1">
        <w:r w:rsidRPr="006C57F6">
          <w:rPr>
            <w:rFonts w:eastAsia="Calibri" w:cs="Times New Roman"/>
            <w:color w:val="0563C1" w:themeColor="hyperlink"/>
            <w:szCs w:val="24"/>
            <w:u w:val="single"/>
          </w:rPr>
          <w:t>http://www.phon.ucl.ac.uk/ptlc/ptlc2007_web_procindex.html</w:t>
        </w:r>
      </w:hyperlink>
      <w:r w:rsidRPr="006C57F6">
        <w:rPr>
          <w:rFonts w:eastAsia="Calibri" w:cs="Times New Roman"/>
          <w:szCs w:val="24"/>
        </w:rPr>
        <w:t>.</w:t>
      </w:r>
    </w:p>
    <w:p w:rsidR="007017E7" w:rsidRPr="006C57F6" w:rsidRDefault="007017E7" w:rsidP="007017E7">
      <w:pPr>
        <w:spacing w:after="120" w:line="240" w:lineRule="auto"/>
        <w:ind w:left="426" w:hanging="426"/>
        <w:jc w:val="both"/>
        <w:rPr>
          <w:rFonts w:eastAsia="Calibri" w:cs="Times New Roman"/>
          <w:noProof/>
        </w:rPr>
      </w:pPr>
      <w:r>
        <w:rPr>
          <w:rFonts w:eastAsia="Calibri" w:cs="Times New Roman"/>
          <w:noProof/>
        </w:rPr>
        <w:t>Alwasilah, C. (20</w:t>
      </w:r>
      <w:r w:rsidRPr="006C57F6">
        <w:rPr>
          <w:rFonts w:eastAsia="Calibri" w:cs="Times New Roman"/>
          <w:noProof/>
        </w:rPr>
        <w:t xml:space="preserve">11). </w:t>
      </w:r>
      <w:r w:rsidRPr="006C57F6">
        <w:rPr>
          <w:rFonts w:eastAsia="Calibri" w:cs="Times New Roman"/>
          <w:i/>
          <w:iCs/>
          <w:noProof/>
        </w:rPr>
        <w:t>Pokoknya kualitatif: Dasar-dasar merancang dan melakukan penelitian kualitatif.</w:t>
      </w:r>
      <w:r w:rsidRPr="006C57F6">
        <w:rPr>
          <w:rFonts w:eastAsia="Calibri" w:cs="Times New Roman"/>
          <w:noProof/>
        </w:rPr>
        <w:t xml:space="preserve"> Jakarta: Pustaka Jaya.</w:t>
      </w:r>
    </w:p>
    <w:p w:rsidR="007017E7" w:rsidRPr="006C57F6" w:rsidRDefault="007017E7" w:rsidP="007017E7">
      <w:pPr>
        <w:spacing w:line="240" w:lineRule="auto"/>
        <w:ind w:left="425" w:hanging="425"/>
        <w:jc w:val="both"/>
      </w:pPr>
      <w:r w:rsidRPr="006C57F6">
        <w:t>Baker, A. A. (2011). ESL teachers and pronunciation pedagogy: Exploring the development of teachers’ cognitions and classroom practices. In J. Levis, &amp; K. LeVille (Eds.), </w:t>
      </w:r>
      <w:r w:rsidRPr="006C57F6">
        <w:rPr>
          <w:i/>
          <w:iCs/>
        </w:rPr>
        <w:t>Proceedings of the 4</w:t>
      </w:r>
      <w:r w:rsidRPr="006C57F6">
        <w:t> </w:t>
      </w:r>
      <w:proofErr w:type="gramStart"/>
      <w:r w:rsidRPr="006C57F6">
        <w:rPr>
          <w:i/>
          <w:iCs/>
          <w:vertAlign w:val="superscript"/>
        </w:rPr>
        <w:t>th</w:t>
      </w:r>
      <w:proofErr w:type="gramEnd"/>
      <w:r w:rsidRPr="006C57F6">
        <w:t> </w:t>
      </w:r>
      <w:r w:rsidRPr="006C57F6">
        <w:rPr>
          <w:i/>
          <w:iCs/>
        </w:rPr>
        <w:t>Pronunciation in Second Language Learning and Teaching Conference. Aug. 2012</w:t>
      </w:r>
      <w:r w:rsidRPr="006C57F6">
        <w:t> (pp. 82-94). Ames, IA: Iowa State University.</w:t>
      </w:r>
    </w:p>
    <w:p w:rsidR="007017E7" w:rsidRPr="006C57F6" w:rsidRDefault="007017E7" w:rsidP="007017E7">
      <w:pPr>
        <w:spacing w:after="160" w:line="259" w:lineRule="auto"/>
        <w:ind w:left="450" w:hanging="450"/>
        <w:jc w:val="both"/>
        <w:rPr>
          <w:rFonts w:eastAsia="Calibri" w:cs="Times New Roman"/>
          <w:szCs w:val="24"/>
        </w:rPr>
      </w:pPr>
      <w:r w:rsidRPr="006C57F6">
        <w:rPr>
          <w:rFonts w:eastAsia="Calibri" w:cs="Times New Roman"/>
          <w:szCs w:val="24"/>
        </w:rPr>
        <w:t xml:space="preserve">Baker, A.A. (2011). Discourse prosody and teachers’ stated beliefs and practices, </w:t>
      </w:r>
      <w:r w:rsidRPr="006C57F6">
        <w:rPr>
          <w:rFonts w:eastAsia="Calibri" w:cs="Times New Roman"/>
          <w:i/>
          <w:szCs w:val="24"/>
        </w:rPr>
        <w:t>TESOL Journal</w:t>
      </w:r>
      <w:r w:rsidRPr="006C57F6">
        <w:rPr>
          <w:rFonts w:eastAsia="Calibri" w:cs="Times New Roman"/>
          <w:szCs w:val="24"/>
        </w:rPr>
        <w:t>, 2(3), pp. 263-292.</w:t>
      </w:r>
    </w:p>
    <w:p w:rsidR="007017E7" w:rsidRPr="006C57F6" w:rsidRDefault="007017E7" w:rsidP="007017E7">
      <w:pPr>
        <w:spacing w:after="160" w:line="259" w:lineRule="auto"/>
        <w:ind w:left="450" w:hanging="450"/>
        <w:jc w:val="both"/>
        <w:rPr>
          <w:rFonts w:eastAsia="Calibri" w:cs="Times New Roman"/>
          <w:szCs w:val="24"/>
        </w:rPr>
      </w:pPr>
      <w:r w:rsidRPr="006C57F6">
        <w:rPr>
          <w:rFonts w:eastAsia="Calibri" w:cs="Times New Roman"/>
          <w:szCs w:val="24"/>
        </w:rPr>
        <w:t xml:space="preserve">Brinton, D.M. (2012). Pronunciation Instruction in Burns, A. and Richards, J.C. (eds.) </w:t>
      </w:r>
      <w:proofErr w:type="gramStart"/>
      <w:r w:rsidRPr="006C57F6">
        <w:rPr>
          <w:rFonts w:eastAsia="Calibri" w:cs="Times New Roman"/>
          <w:i/>
          <w:szCs w:val="24"/>
        </w:rPr>
        <w:t>The</w:t>
      </w:r>
      <w:proofErr w:type="gramEnd"/>
      <w:r w:rsidRPr="006C57F6">
        <w:rPr>
          <w:rFonts w:eastAsia="Calibri" w:cs="Times New Roman"/>
          <w:i/>
          <w:szCs w:val="24"/>
        </w:rPr>
        <w:t xml:space="preserve"> Cambridge Guide to Pedagogy and Practice in Second Language Teaching</w:t>
      </w:r>
      <w:r w:rsidRPr="006C57F6">
        <w:rPr>
          <w:rFonts w:eastAsia="Calibri" w:cs="Times New Roman"/>
          <w:szCs w:val="24"/>
        </w:rPr>
        <w:t>. Cambridge: Cambridge University Press, pp. 246-257</w:t>
      </w:r>
    </w:p>
    <w:p w:rsidR="007017E7" w:rsidRPr="006C57F6" w:rsidRDefault="007017E7" w:rsidP="007017E7">
      <w:pPr>
        <w:spacing w:after="160" w:line="259" w:lineRule="auto"/>
        <w:ind w:left="450" w:hanging="450"/>
        <w:jc w:val="both"/>
        <w:rPr>
          <w:rFonts w:eastAsia="Calibri" w:cs="Times New Roman"/>
          <w:szCs w:val="24"/>
        </w:rPr>
      </w:pPr>
      <w:r w:rsidRPr="006C57F6">
        <w:rPr>
          <w:rFonts w:eastAsia="Calibri" w:cs="Times New Roman"/>
          <w:szCs w:val="24"/>
        </w:rPr>
        <w:t xml:space="preserve">Brinton, D.M. (2012). Pronunciation instruction’ in Burns, A. and Richards, J.C. (eds.) </w:t>
      </w:r>
      <w:r w:rsidRPr="006C57F6">
        <w:rPr>
          <w:rFonts w:eastAsia="Calibri" w:cs="Times New Roman"/>
          <w:i/>
          <w:szCs w:val="24"/>
        </w:rPr>
        <w:t>The Cambridge Guide to Pedagogy and Practice in Second Language Teaching</w:t>
      </w:r>
      <w:r w:rsidRPr="006C57F6">
        <w:rPr>
          <w:rFonts w:eastAsia="Calibri" w:cs="Times New Roman"/>
          <w:szCs w:val="24"/>
        </w:rPr>
        <w:t>. Cambridge: Cambridge University Press, pp. 246-257.</w:t>
      </w:r>
    </w:p>
    <w:p w:rsidR="007017E7" w:rsidRPr="006C57F6" w:rsidRDefault="007017E7" w:rsidP="007017E7">
      <w:pPr>
        <w:spacing w:after="120" w:line="240" w:lineRule="auto"/>
        <w:ind w:left="426" w:hanging="426"/>
        <w:jc w:val="both"/>
        <w:rPr>
          <w:rFonts w:eastAsia="Calibri" w:cs="Times New Roman"/>
          <w:noProof/>
        </w:rPr>
      </w:pPr>
      <w:r w:rsidRPr="006C57F6">
        <w:rPr>
          <w:rFonts w:eastAsia="Calibri" w:cs="Times New Roman"/>
          <w:noProof/>
        </w:rPr>
        <w:t xml:space="preserve">Cameron, S. (2018). </w:t>
      </w:r>
      <w:r w:rsidRPr="006C57F6">
        <w:rPr>
          <w:rFonts w:eastAsia="Calibri" w:cs="Times New Roman"/>
          <w:i/>
          <w:noProof/>
        </w:rPr>
        <w:t>Perfecting your English pronunciation</w:t>
      </w:r>
      <w:r w:rsidRPr="006C57F6">
        <w:rPr>
          <w:rFonts w:eastAsia="Calibri" w:cs="Times New Roman"/>
          <w:noProof/>
        </w:rPr>
        <w:t>. MFA Yale University: McGraw Hill Education.</w:t>
      </w:r>
    </w:p>
    <w:p w:rsidR="007017E7" w:rsidRPr="006C57F6" w:rsidRDefault="007017E7" w:rsidP="007017E7">
      <w:pPr>
        <w:spacing w:after="160" w:line="240" w:lineRule="auto"/>
        <w:ind w:left="426" w:hanging="426"/>
        <w:jc w:val="both"/>
        <w:rPr>
          <w:rFonts w:eastAsia="Calibri" w:cs="Times New Roman"/>
          <w:szCs w:val="24"/>
        </w:rPr>
      </w:pPr>
      <w:r w:rsidRPr="006C57F6">
        <w:rPr>
          <w:rFonts w:eastAsia="Calibri" w:cs="Times New Roman"/>
          <w:szCs w:val="24"/>
        </w:rPr>
        <w:t xml:space="preserve">Celce-Murcia, M., &amp; Goodwin, J. M. (1991). Teaching pronunciation. In M. Celce-Murcia (Ed.) </w:t>
      </w:r>
      <w:r w:rsidRPr="006C57F6">
        <w:rPr>
          <w:rFonts w:eastAsia="Calibri" w:cs="Times New Roman"/>
          <w:i/>
          <w:szCs w:val="24"/>
        </w:rPr>
        <w:t>Teaching English as a Second or Foreign Language</w:t>
      </w:r>
      <w:r w:rsidRPr="006C57F6">
        <w:rPr>
          <w:rFonts w:eastAsia="Calibri" w:cs="Times New Roman"/>
          <w:szCs w:val="24"/>
        </w:rPr>
        <w:t>, 136-153. New York: Newbury House.</w:t>
      </w:r>
    </w:p>
    <w:p w:rsidR="007017E7" w:rsidRPr="006C57F6" w:rsidRDefault="007017E7" w:rsidP="007017E7">
      <w:pPr>
        <w:spacing w:after="160" w:line="240" w:lineRule="auto"/>
        <w:ind w:left="448" w:hanging="448"/>
        <w:jc w:val="both"/>
        <w:rPr>
          <w:rFonts w:eastAsia="Calibri" w:cs="Times New Roman"/>
          <w:szCs w:val="24"/>
        </w:rPr>
      </w:pPr>
      <w:r w:rsidRPr="006C57F6">
        <w:rPr>
          <w:rFonts w:eastAsia="Calibri" w:cs="Times New Roman"/>
          <w:szCs w:val="24"/>
        </w:rPr>
        <w:t xml:space="preserve">Celce-Murcia, M., Brinton, D.M. and Goodwin, J.M. (1996). </w:t>
      </w:r>
      <w:r w:rsidRPr="006C57F6">
        <w:rPr>
          <w:rFonts w:eastAsia="Calibri" w:cs="Times New Roman"/>
          <w:i/>
          <w:szCs w:val="24"/>
        </w:rPr>
        <w:t>Teaching pronunciation: A reference for teachers of English to speakers of other languages</w:t>
      </w:r>
      <w:r w:rsidRPr="006C57F6">
        <w:rPr>
          <w:rFonts w:eastAsia="Calibri" w:cs="Times New Roman"/>
          <w:szCs w:val="24"/>
        </w:rPr>
        <w:t>. New York: Cambridge University Press.</w:t>
      </w:r>
    </w:p>
    <w:p w:rsidR="007017E7" w:rsidRPr="006C57F6" w:rsidRDefault="007017E7" w:rsidP="007017E7">
      <w:pPr>
        <w:spacing w:after="160" w:line="259" w:lineRule="auto"/>
        <w:ind w:left="450" w:hanging="450"/>
        <w:jc w:val="both"/>
        <w:rPr>
          <w:rFonts w:eastAsia="Calibri" w:cs="Times New Roman"/>
          <w:szCs w:val="24"/>
        </w:rPr>
      </w:pPr>
      <w:r w:rsidRPr="006C57F6">
        <w:rPr>
          <w:rFonts w:eastAsia="Calibri" w:cs="Times New Roman"/>
          <w:szCs w:val="24"/>
        </w:rPr>
        <w:t xml:space="preserve">Cook, V. (2008). </w:t>
      </w:r>
      <w:r w:rsidRPr="006C57F6">
        <w:rPr>
          <w:rFonts w:eastAsia="Calibri" w:cs="Times New Roman"/>
          <w:i/>
          <w:szCs w:val="24"/>
        </w:rPr>
        <w:t>Second language learning and language teaching</w:t>
      </w:r>
      <w:r w:rsidRPr="006C57F6">
        <w:rPr>
          <w:rFonts w:eastAsia="Calibri" w:cs="Times New Roman"/>
          <w:szCs w:val="24"/>
        </w:rPr>
        <w:t>. London: Routledge</w:t>
      </w:r>
    </w:p>
    <w:p w:rsidR="007017E7" w:rsidRPr="006C57F6" w:rsidRDefault="007017E7" w:rsidP="007017E7">
      <w:pPr>
        <w:spacing w:after="120" w:line="240" w:lineRule="auto"/>
        <w:ind w:left="426" w:hanging="426"/>
        <w:jc w:val="both"/>
        <w:rPr>
          <w:rFonts w:eastAsia="Calibri" w:cs="Times New Roman"/>
          <w:noProof/>
        </w:rPr>
      </w:pPr>
      <w:r w:rsidRPr="006C57F6">
        <w:rPr>
          <w:rFonts w:eastAsia="Calibri" w:cs="Times New Roman"/>
          <w:noProof/>
        </w:rPr>
        <w:t xml:space="preserve">Creswell, J. W. (2009). </w:t>
      </w:r>
      <w:r w:rsidRPr="006C57F6">
        <w:rPr>
          <w:rFonts w:eastAsia="Calibri" w:cs="Times New Roman"/>
          <w:i/>
          <w:iCs/>
          <w:noProof/>
        </w:rPr>
        <w:t>Research design: Qualitative, quantitative, and mixed methods approaches.</w:t>
      </w:r>
      <w:r w:rsidRPr="006C57F6">
        <w:rPr>
          <w:rFonts w:eastAsia="Calibri" w:cs="Times New Roman"/>
          <w:noProof/>
        </w:rPr>
        <w:t xml:space="preserve"> Thousand Oaks, CA: SAGE Publication, Inc.</w:t>
      </w:r>
    </w:p>
    <w:p w:rsidR="007017E7" w:rsidRPr="006C57F6" w:rsidRDefault="007017E7" w:rsidP="007017E7">
      <w:pPr>
        <w:spacing w:after="120" w:line="240" w:lineRule="auto"/>
        <w:ind w:left="426" w:hanging="426"/>
        <w:jc w:val="both"/>
        <w:rPr>
          <w:rFonts w:eastAsia="Calibri" w:cs="Times New Roman"/>
          <w:noProof/>
        </w:rPr>
      </w:pPr>
      <w:r w:rsidRPr="006C57F6">
        <w:rPr>
          <w:rFonts w:eastAsia="Calibri" w:cs="Times New Roman"/>
          <w:noProof/>
        </w:rPr>
        <w:t xml:space="preserve">Creswell, J. W. (2012). </w:t>
      </w:r>
      <w:r w:rsidRPr="006C57F6">
        <w:rPr>
          <w:rFonts w:eastAsia="Calibri" w:cs="Times New Roman"/>
          <w:i/>
          <w:iCs/>
          <w:noProof/>
        </w:rPr>
        <w:t>Educational research: Planning, conducting, and evaluating quantitative and qualitative research</w:t>
      </w:r>
      <w:r w:rsidRPr="006C57F6">
        <w:rPr>
          <w:rFonts w:eastAsia="Calibri" w:cs="Times New Roman"/>
          <w:noProof/>
        </w:rPr>
        <w:t xml:space="preserve"> (4th ed.). Boston, MA: Pearson Education, Inc.</w:t>
      </w:r>
    </w:p>
    <w:p w:rsidR="007017E7" w:rsidRPr="006C57F6" w:rsidRDefault="007017E7" w:rsidP="007017E7">
      <w:pPr>
        <w:spacing w:after="160" w:line="240" w:lineRule="auto"/>
        <w:ind w:left="540" w:hanging="540"/>
        <w:jc w:val="both"/>
        <w:rPr>
          <w:rFonts w:eastAsia="Calibri" w:cs="Times New Roman"/>
          <w:i/>
          <w:szCs w:val="24"/>
        </w:rPr>
      </w:pPr>
      <w:r w:rsidRPr="006C57F6">
        <w:rPr>
          <w:rFonts w:eastAsia="Calibri" w:cs="Times New Roman"/>
          <w:szCs w:val="24"/>
        </w:rPr>
        <w:lastRenderedPageBreak/>
        <w:t xml:space="preserve">De Bot, K., Lowie, W., and Verspoor, M. (2005). </w:t>
      </w:r>
      <w:r w:rsidRPr="006C57F6">
        <w:rPr>
          <w:rFonts w:eastAsia="Calibri" w:cs="Times New Roman"/>
          <w:i/>
          <w:szCs w:val="24"/>
        </w:rPr>
        <w:t>Second language acquisition, an advanced</w:t>
      </w:r>
      <w:r w:rsidRPr="006C57F6">
        <w:rPr>
          <w:rFonts w:ascii="Calibri" w:eastAsia="Calibri" w:hAnsi="Calibri" w:cs="Times New Roman"/>
          <w:sz w:val="22"/>
        </w:rPr>
        <w:t xml:space="preserve"> </w:t>
      </w:r>
      <w:r w:rsidRPr="006C57F6">
        <w:rPr>
          <w:rFonts w:eastAsia="Calibri" w:cs="Times New Roman"/>
          <w:i/>
          <w:szCs w:val="24"/>
        </w:rPr>
        <w:t>resource book. London: Routledge.</w:t>
      </w:r>
    </w:p>
    <w:p w:rsidR="007017E7" w:rsidRPr="006C57F6" w:rsidRDefault="007017E7" w:rsidP="007017E7">
      <w:pPr>
        <w:spacing w:line="240" w:lineRule="auto"/>
        <w:ind w:left="425" w:hanging="425"/>
      </w:pPr>
      <w:r w:rsidRPr="006C57F6">
        <w:t xml:space="preserve">Derwing, T.M. &amp; Munro, M.J. (2005). Second language accent and pronunciation teaching: A Research-Based Approach. </w:t>
      </w:r>
      <w:r w:rsidRPr="006C57F6">
        <w:rPr>
          <w:i/>
        </w:rPr>
        <w:t>TESOL Quarterly</w:t>
      </w:r>
      <w:r w:rsidRPr="006C57F6">
        <w:t>, 39(3), pp. 379-397.</w:t>
      </w:r>
    </w:p>
    <w:p w:rsidR="007017E7" w:rsidRPr="006C57F6" w:rsidRDefault="007017E7" w:rsidP="007017E7">
      <w:pPr>
        <w:spacing w:after="120" w:line="240" w:lineRule="auto"/>
        <w:ind w:left="426" w:hanging="426"/>
        <w:jc w:val="both"/>
        <w:rPr>
          <w:rFonts w:eastAsia="Calibri" w:cs="Times New Roman"/>
          <w:noProof/>
        </w:rPr>
      </w:pPr>
      <w:r w:rsidRPr="006C57F6">
        <w:rPr>
          <w:rFonts w:eastAsia="Calibri" w:cs="Times New Roman"/>
          <w:noProof/>
        </w:rPr>
        <w:t xml:space="preserve">Fraenkel, J. R., Wallen, N. E., &amp; Hyun, H. H. (2012). </w:t>
      </w:r>
      <w:r w:rsidRPr="006C57F6">
        <w:rPr>
          <w:rFonts w:eastAsia="Calibri" w:cs="Times New Roman"/>
          <w:i/>
          <w:iCs/>
          <w:noProof/>
        </w:rPr>
        <w:t>How to design and evaluate research in education</w:t>
      </w:r>
      <w:r w:rsidRPr="006C57F6">
        <w:rPr>
          <w:rFonts w:eastAsia="Calibri" w:cs="Times New Roman"/>
          <w:noProof/>
        </w:rPr>
        <w:t xml:space="preserve"> (8th ed.). New York, NY: McGraw-Hill Companies, Inc.</w:t>
      </w:r>
    </w:p>
    <w:p w:rsidR="007017E7" w:rsidRPr="006C57F6" w:rsidRDefault="007017E7" w:rsidP="007017E7">
      <w:pPr>
        <w:spacing w:line="240" w:lineRule="auto"/>
        <w:ind w:left="357" w:hanging="357"/>
        <w:jc w:val="both"/>
        <w:rPr>
          <w:szCs w:val="24"/>
        </w:rPr>
      </w:pPr>
      <w:r w:rsidRPr="006C57F6">
        <w:rPr>
          <w:szCs w:val="24"/>
        </w:rPr>
        <w:t xml:space="preserve">Fraser, H. (2001). Teaching pronunciation: </w:t>
      </w:r>
      <w:r w:rsidRPr="006C57F6">
        <w:rPr>
          <w:i/>
          <w:szCs w:val="24"/>
        </w:rPr>
        <w:t>A handbook for teachers and trainers</w:t>
      </w:r>
      <w:r w:rsidRPr="006C57F6">
        <w:rPr>
          <w:szCs w:val="24"/>
        </w:rPr>
        <w:t>. Canberra, Department of Education Training and Youth Affairs (DETYA). Retrievedfrom</w:t>
      </w:r>
      <w:hyperlink r:id="rId8" w:history="1">
        <w:r w:rsidRPr="006C57F6">
          <w:rPr>
            <w:color w:val="0563C1" w:themeColor="hyperlink"/>
            <w:szCs w:val="24"/>
            <w:u w:val="single"/>
          </w:rPr>
          <w:t>http://www.eslmania.com/teacher/esl_teacher_talk/Pronunciation_Handbook.pdf</w:t>
        </w:r>
      </w:hyperlink>
      <w:r w:rsidRPr="006C57F6">
        <w:rPr>
          <w:szCs w:val="24"/>
        </w:rPr>
        <w:t>.</w:t>
      </w:r>
    </w:p>
    <w:p w:rsidR="007017E7" w:rsidRPr="006C57F6" w:rsidRDefault="007017E7" w:rsidP="007017E7">
      <w:pPr>
        <w:spacing w:after="120" w:line="240" w:lineRule="auto"/>
        <w:ind w:left="284" w:hanging="284"/>
        <w:jc w:val="both"/>
        <w:rPr>
          <w:rFonts w:eastAsia="Calibri" w:cs="Times New Roman"/>
          <w:noProof/>
        </w:rPr>
      </w:pPr>
      <w:r w:rsidRPr="006C57F6">
        <w:rPr>
          <w:rFonts w:eastAsia="Calibri" w:cs="Times New Roman"/>
          <w:noProof/>
        </w:rPr>
        <w:t xml:space="preserve">Freeman, D. (2009). What makes research 'qualitative'? In J. Heigham, &amp; R. A. Croker, </w:t>
      </w:r>
      <w:r w:rsidRPr="006C57F6">
        <w:rPr>
          <w:rFonts w:eastAsia="Calibri" w:cs="Times New Roman"/>
          <w:i/>
          <w:iCs/>
          <w:noProof/>
        </w:rPr>
        <w:t>Qualitative research in applied linguistics: A practical introduction</w:t>
      </w:r>
      <w:r w:rsidRPr="006C57F6">
        <w:rPr>
          <w:rFonts w:eastAsia="Calibri" w:cs="Times New Roman"/>
          <w:noProof/>
        </w:rPr>
        <w:t xml:space="preserve"> (pp. 25-41). New York, NY: Macmillian Publishers Limited.</w:t>
      </w:r>
    </w:p>
    <w:p w:rsidR="007017E7" w:rsidRPr="006C57F6" w:rsidRDefault="007017E7" w:rsidP="007017E7">
      <w:pPr>
        <w:spacing w:after="120" w:line="240" w:lineRule="auto"/>
        <w:ind w:left="426" w:hanging="426"/>
        <w:jc w:val="both"/>
        <w:rPr>
          <w:rFonts w:eastAsia="Calibri" w:cs="Times New Roman"/>
          <w:noProof/>
        </w:rPr>
      </w:pPr>
      <w:r w:rsidRPr="006C57F6">
        <w:rPr>
          <w:rFonts w:eastAsia="Calibri" w:cs="Times New Roman"/>
          <w:noProof/>
        </w:rPr>
        <w:t xml:space="preserve">Gay, L. R., Mills, G. E., &amp; Airasian, P. (2009). </w:t>
      </w:r>
      <w:r w:rsidRPr="006C57F6">
        <w:rPr>
          <w:rFonts w:eastAsia="Calibri" w:cs="Times New Roman"/>
          <w:i/>
          <w:iCs/>
          <w:noProof/>
        </w:rPr>
        <w:t>Educational research: Competencies for analysis and applications</w:t>
      </w:r>
      <w:r w:rsidRPr="006C57F6">
        <w:rPr>
          <w:rFonts w:eastAsia="Calibri" w:cs="Times New Roman"/>
          <w:noProof/>
        </w:rPr>
        <w:t xml:space="preserve"> (9th ed.). Upper Saddler River, NJ: Pearson.</w:t>
      </w:r>
    </w:p>
    <w:p w:rsidR="007017E7" w:rsidRPr="006C57F6" w:rsidRDefault="007017E7" w:rsidP="007017E7">
      <w:pPr>
        <w:spacing w:line="240" w:lineRule="auto"/>
        <w:ind w:left="425" w:hanging="425"/>
        <w:jc w:val="both"/>
        <w:rPr>
          <w:i/>
        </w:rPr>
      </w:pPr>
      <w:r w:rsidRPr="006C57F6">
        <w:t xml:space="preserve">Gilakjani. A.P. (2012). A study of factors affecting EFL Learners' English pronunciation learning and the strategies for Instruction. </w:t>
      </w:r>
      <w:r w:rsidRPr="006C57F6">
        <w:rPr>
          <w:i/>
        </w:rPr>
        <w:t>International Journal of Humanities and Social Science Vol. 2 No. 3.</w:t>
      </w:r>
    </w:p>
    <w:p w:rsidR="007017E7" w:rsidRPr="006C57F6" w:rsidRDefault="007017E7" w:rsidP="007017E7">
      <w:pPr>
        <w:spacing w:after="160" w:line="259" w:lineRule="auto"/>
        <w:ind w:left="450" w:hanging="450"/>
        <w:jc w:val="both"/>
        <w:rPr>
          <w:rFonts w:eastAsia="Calibri" w:cs="Times New Roman"/>
          <w:szCs w:val="24"/>
        </w:rPr>
      </w:pPr>
      <w:r w:rsidRPr="006C57F6">
        <w:rPr>
          <w:rFonts w:eastAsia="Calibri" w:cs="Times New Roman"/>
          <w:szCs w:val="24"/>
        </w:rPr>
        <w:t xml:space="preserve">Gilbert, J. (2010). Pronunciation as orphan: What can be done? </w:t>
      </w:r>
      <w:proofErr w:type="gramStart"/>
      <w:r w:rsidRPr="006C57F6">
        <w:rPr>
          <w:rFonts w:eastAsia="Calibri" w:cs="Times New Roman"/>
          <w:szCs w:val="24"/>
        </w:rPr>
        <w:t>as</w:t>
      </w:r>
      <w:proofErr w:type="gramEnd"/>
      <w:r w:rsidRPr="006C57F6">
        <w:rPr>
          <w:rFonts w:eastAsia="Calibri" w:cs="Times New Roman"/>
          <w:szCs w:val="24"/>
        </w:rPr>
        <w:t xml:space="preserve"> we speak. </w:t>
      </w:r>
      <w:r w:rsidRPr="006C57F6">
        <w:rPr>
          <w:rFonts w:eastAsia="Calibri" w:cs="Times New Roman"/>
          <w:i/>
          <w:szCs w:val="24"/>
        </w:rPr>
        <w:t>Newsletter of TESOL SPLIS</w:t>
      </w:r>
      <w:r w:rsidRPr="006C57F6">
        <w:rPr>
          <w:rFonts w:eastAsia="Calibri" w:cs="Times New Roman"/>
          <w:szCs w:val="24"/>
        </w:rPr>
        <w:t>, pp. 1-9.</w:t>
      </w:r>
    </w:p>
    <w:p w:rsidR="007017E7" w:rsidRPr="006C57F6" w:rsidRDefault="007017E7" w:rsidP="007017E7">
      <w:pPr>
        <w:spacing w:line="240" w:lineRule="auto"/>
        <w:ind w:left="357" w:hanging="357"/>
        <w:jc w:val="both"/>
        <w:rPr>
          <w:szCs w:val="24"/>
        </w:rPr>
      </w:pPr>
      <w:r w:rsidRPr="006C57F6">
        <w:rPr>
          <w:szCs w:val="24"/>
        </w:rPr>
        <w:t xml:space="preserve">Harmer, J. (2007) </w:t>
      </w:r>
      <w:proofErr w:type="gramStart"/>
      <w:r w:rsidRPr="006C57F6">
        <w:rPr>
          <w:i/>
          <w:szCs w:val="24"/>
        </w:rPr>
        <w:t>The</w:t>
      </w:r>
      <w:proofErr w:type="gramEnd"/>
      <w:r w:rsidRPr="006C57F6">
        <w:rPr>
          <w:i/>
          <w:szCs w:val="24"/>
        </w:rPr>
        <w:t xml:space="preserve"> practice of English language teaching</w:t>
      </w:r>
      <w:r w:rsidRPr="006C57F6">
        <w:rPr>
          <w:szCs w:val="24"/>
        </w:rPr>
        <w:t>. 4th ed. Harlow: Pearson Education Limited.</w:t>
      </w:r>
    </w:p>
    <w:p w:rsidR="007017E7" w:rsidRPr="006C57F6" w:rsidRDefault="007017E7" w:rsidP="007017E7">
      <w:pPr>
        <w:spacing w:after="160" w:line="240" w:lineRule="auto"/>
        <w:ind w:left="426" w:hanging="426"/>
        <w:jc w:val="both"/>
        <w:rPr>
          <w:rFonts w:eastAsia="Calibri" w:cs="Times New Roman"/>
          <w:szCs w:val="24"/>
        </w:rPr>
      </w:pPr>
      <w:r w:rsidRPr="006C57F6">
        <w:rPr>
          <w:rFonts w:eastAsia="Calibri" w:cs="Times New Roman"/>
          <w:szCs w:val="24"/>
        </w:rPr>
        <w:t xml:space="preserve">Hewing, M. (2014). </w:t>
      </w:r>
      <w:r w:rsidRPr="006C57F6">
        <w:rPr>
          <w:rFonts w:eastAsia="Calibri" w:cs="Times New Roman"/>
          <w:i/>
          <w:szCs w:val="24"/>
        </w:rPr>
        <w:t>Pronunciation practice activities: A resource book for teaching English pronunciation</w:t>
      </w:r>
      <w:r w:rsidRPr="006C57F6">
        <w:rPr>
          <w:rFonts w:eastAsia="Calibri" w:cs="Times New Roman"/>
          <w:szCs w:val="24"/>
        </w:rPr>
        <w:t>. Cambridge: Cambridge University Press.</w:t>
      </w:r>
    </w:p>
    <w:p w:rsidR="007017E7" w:rsidRPr="006C57F6" w:rsidRDefault="007017E7" w:rsidP="007017E7">
      <w:pPr>
        <w:spacing w:line="240" w:lineRule="auto"/>
        <w:ind w:left="425" w:hanging="425"/>
        <w:jc w:val="both"/>
      </w:pPr>
      <w:r w:rsidRPr="006C57F6">
        <w:t>Hismanoglu. M. (2010). Language teachers’ preferences of pronunciation teaching techniques: traditional or modern</w:t>
      </w:r>
      <w:proofErr w:type="gramStart"/>
      <w:r w:rsidRPr="006C57F6">
        <w:t>?.</w:t>
      </w:r>
      <w:proofErr w:type="gramEnd"/>
      <w:r w:rsidRPr="006C57F6">
        <w:t xml:space="preserve"> </w:t>
      </w:r>
      <w:r w:rsidRPr="006C57F6">
        <w:rPr>
          <w:i/>
        </w:rPr>
        <w:t>Procedia Social and Behavioral Sciences 2</w:t>
      </w:r>
      <w:r w:rsidRPr="006C57F6">
        <w:t xml:space="preserve"> (2010) 983–989.</w:t>
      </w:r>
    </w:p>
    <w:p w:rsidR="007017E7" w:rsidRDefault="007017E7" w:rsidP="007017E7">
      <w:pPr>
        <w:spacing w:after="160" w:line="259" w:lineRule="auto"/>
        <w:ind w:left="450" w:hanging="450"/>
        <w:jc w:val="both"/>
        <w:rPr>
          <w:rFonts w:eastAsia="Calibri" w:cs="Times New Roman"/>
          <w:szCs w:val="24"/>
        </w:rPr>
      </w:pPr>
      <w:r w:rsidRPr="006C57F6">
        <w:rPr>
          <w:rFonts w:eastAsia="Calibri" w:cs="Times New Roman"/>
          <w:szCs w:val="24"/>
        </w:rPr>
        <w:t xml:space="preserve">Jenkins, J. (2000). </w:t>
      </w:r>
      <w:r w:rsidRPr="006C57F6">
        <w:rPr>
          <w:rFonts w:eastAsia="Calibri" w:cs="Times New Roman"/>
          <w:i/>
          <w:szCs w:val="24"/>
        </w:rPr>
        <w:t>The phonology of English as an international language</w:t>
      </w:r>
      <w:r w:rsidRPr="006C57F6">
        <w:rPr>
          <w:rFonts w:eastAsia="Calibri" w:cs="Times New Roman"/>
          <w:szCs w:val="24"/>
        </w:rPr>
        <w:t>. Oxford: Oxford University Press.</w:t>
      </w:r>
    </w:p>
    <w:p w:rsidR="007017E7" w:rsidRPr="006C57F6" w:rsidRDefault="007017E7" w:rsidP="007017E7">
      <w:pPr>
        <w:spacing w:after="160" w:line="259" w:lineRule="auto"/>
        <w:ind w:left="450" w:hanging="450"/>
        <w:jc w:val="both"/>
        <w:rPr>
          <w:rFonts w:eastAsia="Calibri" w:cs="Times New Roman"/>
          <w:szCs w:val="24"/>
        </w:rPr>
      </w:pPr>
      <w:r w:rsidRPr="006C57F6">
        <w:rPr>
          <w:rFonts w:eastAsia="Calibri" w:cs="Times New Roman"/>
          <w:szCs w:val="24"/>
        </w:rPr>
        <w:t xml:space="preserve">Jenkins, J. (2006). Global intelligibility and local diversity: possibility or paradox? In R. Rubdy, &amp; M. Saraceni (Eds.), </w:t>
      </w:r>
      <w:r w:rsidRPr="006C57F6">
        <w:rPr>
          <w:rFonts w:eastAsia="Calibri" w:cs="Times New Roman"/>
          <w:i/>
          <w:szCs w:val="24"/>
        </w:rPr>
        <w:t>English in the world. Global rules, global roles</w:t>
      </w:r>
      <w:r w:rsidRPr="006C57F6">
        <w:rPr>
          <w:rFonts w:eastAsia="Calibri" w:cs="Times New Roman"/>
          <w:szCs w:val="24"/>
        </w:rPr>
        <w:t xml:space="preserve"> (pp. 32-39). London: Continuum.</w:t>
      </w:r>
    </w:p>
    <w:p w:rsidR="007017E7" w:rsidRPr="006C57F6" w:rsidRDefault="007017E7" w:rsidP="007017E7">
      <w:pPr>
        <w:spacing w:after="120" w:line="240" w:lineRule="auto"/>
        <w:ind w:left="426" w:hanging="426"/>
        <w:jc w:val="both"/>
        <w:rPr>
          <w:rFonts w:eastAsia="Calibri" w:cs="Times New Roman"/>
          <w:noProof/>
        </w:rPr>
      </w:pPr>
      <w:r w:rsidRPr="006C57F6">
        <w:rPr>
          <w:rFonts w:eastAsia="Calibri" w:cs="Times New Roman"/>
          <w:noProof/>
        </w:rPr>
        <w:t xml:space="preserve">Jones, D. (1997). </w:t>
      </w:r>
      <w:r w:rsidRPr="006C57F6">
        <w:rPr>
          <w:rFonts w:eastAsia="Calibri" w:cs="Times New Roman"/>
          <w:i/>
          <w:noProof/>
        </w:rPr>
        <w:t>English pronouncing dictionary</w:t>
      </w:r>
      <w:r w:rsidRPr="006C57F6">
        <w:rPr>
          <w:rFonts w:eastAsia="Calibri" w:cs="Times New Roman"/>
          <w:noProof/>
        </w:rPr>
        <w:t>. Everyman’s Reference Library: J.M. Dent &amp; Son Ltd.</w:t>
      </w:r>
    </w:p>
    <w:p w:rsidR="007017E7" w:rsidRPr="006C57F6" w:rsidRDefault="007017E7" w:rsidP="007017E7">
      <w:pPr>
        <w:spacing w:line="240" w:lineRule="auto"/>
        <w:ind w:left="357" w:hanging="357"/>
        <w:jc w:val="both"/>
        <w:rPr>
          <w:szCs w:val="24"/>
        </w:rPr>
      </w:pPr>
      <w:r w:rsidRPr="006C57F6">
        <w:rPr>
          <w:szCs w:val="24"/>
        </w:rPr>
        <w:t xml:space="preserve">Jones, R.H. (2002). Beyond ‘listen and repeat’: Pronunciation teaching materials and theories of second language acquisition’ in Richards, J.C. and Renandya, W.A. (eds.) </w:t>
      </w:r>
      <w:r w:rsidRPr="006C57F6">
        <w:rPr>
          <w:i/>
          <w:szCs w:val="24"/>
        </w:rPr>
        <w:t>Methodology in Language Teaching: An Anthology of Current Practice</w:t>
      </w:r>
      <w:r w:rsidRPr="006C57F6">
        <w:rPr>
          <w:szCs w:val="24"/>
        </w:rPr>
        <w:t>, New York: Cambridge University Press, pp. 178-187.</w:t>
      </w:r>
    </w:p>
    <w:p w:rsidR="007017E7" w:rsidRPr="00EF529E" w:rsidRDefault="007017E7" w:rsidP="007017E7">
      <w:pPr>
        <w:spacing w:after="160" w:line="259" w:lineRule="auto"/>
        <w:ind w:left="567" w:hanging="567"/>
        <w:jc w:val="both"/>
        <w:rPr>
          <w:rFonts w:cs="Times New Roman"/>
          <w:szCs w:val="24"/>
        </w:rPr>
      </w:pPr>
      <w:r w:rsidRPr="006C57F6">
        <w:rPr>
          <w:rFonts w:cs="Times New Roman"/>
          <w:szCs w:val="24"/>
        </w:rPr>
        <w:t xml:space="preserve">Larsen-Freeman, D., &amp; Anderson, M. (2011). </w:t>
      </w:r>
      <w:r w:rsidRPr="006C57F6">
        <w:rPr>
          <w:rFonts w:cs="Times New Roman"/>
          <w:i/>
          <w:iCs/>
          <w:szCs w:val="24"/>
        </w:rPr>
        <w:t>Techniques and principles in language teaching</w:t>
      </w:r>
      <w:r w:rsidRPr="006C57F6">
        <w:rPr>
          <w:rFonts w:cs="Times New Roman"/>
          <w:szCs w:val="24"/>
        </w:rPr>
        <w:t xml:space="preserve"> (3rd </w:t>
      </w:r>
      <w:proofErr w:type="gramStart"/>
      <w:r w:rsidRPr="006C57F6">
        <w:rPr>
          <w:rFonts w:cs="Times New Roman"/>
          <w:szCs w:val="24"/>
        </w:rPr>
        <w:t>ed</w:t>
      </w:r>
      <w:proofErr w:type="gramEnd"/>
      <w:r w:rsidRPr="006C57F6">
        <w:rPr>
          <w:rFonts w:cs="Times New Roman"/>
          <w:szCs w:val="24"/>
        </w:rPr>
        <w:t>). Oxford ; New York: Oxford University Press.</w:t>
      </w:r>
    </w:p>
    <w:p w:rsidR="007017E7" w:rsidRPr="00EF529E" w:rsidRDefault="007017E7" w:rsidP="007017E7">
      <w:pPr>
        <w:spacing w:after="160" w:line="240" w:lineRule="auto"/>
        <w:ind w:left="426" w:hanging="426"/>
        <w:jc w:val="both"/>
        <w:rPr>
          <w:rFonts w:eastAsia="Calibri" w:cs="Times New Roman"/>
          <w:szCs w:val="24"/>
        </w:rPr>
      </w:pPr>
      <w:r w:rsidRPr="006C57F6">
        <w:rPr>
          <w:rFonts w:eastAsia="Calibri" w:cs="Times New Roman"/>
          <w:szCs w:val="24"/>
        </w:rPr>
        <w:t>Mikuláštíková, J. (2012).</w:t>
      </w:r>
      <w:r w:rsidRPr="006C57F6">
        <w:t xml:space="preserve"> </w:t>
      </w:r>
      <w:r w:rsidRPr="006C57F6">
        <w:rPr>
          <w:rFonts w:eastAsia="Calibri" w:cs="Times New Roman"/>
          <w:szCs w:val="24"/>
        </w:rPr>
        <w:t xml:space="preserve">Teaching pronunciation at secondary level. </w:t>
      </w:r>
      <w:r w:rsidRPr="006C57F6">
        <w:rPr>
          <w:rFonts w:eastAsia="Calibri" w:cs="Times New Roman"/>
          <w:i/>
          <w:szCs w:val="24"/>
        </w:rPr>
        <w:t xml:space="preserve">Master Thesis Katedra anglistiky </w:t>
      </w:r>
      <w:proofErr w:type="gramStart"/>
      <w:r w:rsidRPr="006C57F6">
        <w:rPr>
          <w:rFonts w:eastAsia="Calibri" w:cs="Times New Roman"/>
          <w:i/>
          <w:szCs w:val="24"/>
        </w:rPr>
        <w:t>a</w:t>
      </w:r>
      <w:proofErr w:type="gramEnd"/>
      <w:r w:rsidRPr="006C57F6">
        <w:rPr>
          <w:rFonts w:eastAsia="Calibri" w:cs="Times New Roman"/>
          <w:i/>
          <w:szCs w:val="24"/>
        </w:rPr>
        <w:t xml:space="preserve"> amerikanistiky Filozofická fakulta. </w:t>
      </w:r>
      <w:r w:rsidRPr="006C57F6">
        <w:rPr>
          <w:rFonts w:eastAsia="Calibri" w:cs="Times New Roman"/>
          <w:szCs w:val="24"/>
        </w:rPr>
        <w:t>Univerzita Palackého v Olomouci.</w:t>
      </w:r>
    </w:p>
    <w:p w:rsidR="007017E7" w:rsidRPr="006C57F6" w:rsidRDefault="007017E7" w:rsidP="007017E7">
      <w:pPr>
        <w:spacing w:line="240" w:lineRule="auto"/>
        <w:ind w:left="425" w:hanging="425"/>
        <w:jc w:val="both"/>
      </w:pPr>
      <w:r w:rsidRPr="006C57F6">
        <w:t>Nowacka, M. (2006). Progress in pronunciation: Mission (im</w:t>
      </w:r>
      <w:proofErr w:type="gramStart"/>
      <w:r w:rsidRPr="006C57F6">
        <w:t>)possible</w:t>
      </w:r>
      <w:proofErr w:type="gramEnd"/>
      <w:r w:rsidRPr="006C57F6">
        <w:t>? A longitudinal study of college students’ phonetic performance. In W. Sobkowiak &amp; E. Waniek-Klimczak (Eds.), </w:t>
      </w:r>
      <w:r w:rsidRPr="006C57F6">
        <w:rPr>
          <w:i/>
          <w:iCs/>
        </w:rPr>
        <w:t>Dydaktyka fonetyki języka obcego w Polsce</w:t>
      </w:r>
      <w:r w:rsidRPr="006C57F6">
        <w:t> (pp. 101-120). Konin. Wydawnictwo Państwowej Wyższej Szkoły Zawodowej w Koninie.</w:t>
      </w:r>
    </w:p>
    <w:p w:rsidR="007017E7" w:rsidRPr="006C57F6" w:rsidRDefault="007017E7" w:rsidP="007017E7">
      <w:pPr>
        <w:spacing w:line="240" w:lineRule="auto"/>
        <w:ind w:left="425" w:hanging="425"/>
        <w:jc w:val="both"/>
      </w:pPr>
    </w:p>
    <w:p w:rsidR="007017E7" w:rsidRPr="00EF529E" w:rsidRDefault="007017E7" w:rsidP="007017E7">
      <w:pPr>
        <w:spacing w:line="240" w:lineRule="auto"/>
        <w:ind w:left="425" w:hanging="425"/>
        <w:jc w:val="both"/>
      </w:pPr>
      <w:r w:rsidRPr="006C57F6">
        <w:lastRenderedPageBreak/>
        <w:t>Pawlak, M. (2013b). The effect of explicit and implicit corrective feedback on eliminating pronunciation errors. In E. Waniek-Klimczak &amp; L. Shockey (Eds.), </w:t>
      </w:r>
      <w:r w:rsidRPr="006C57F6">
        <w:rPr>
          <w:i/>
          <w:iCs/>
        </w:rPr>
        <w:t>Teaching and researching English accents in native and non-native speakers</w:t>
      </w:r>
      <w:r w:rsidRPr="006C57F6">
        <w:t> (pp. 85-101). Heidelberg – New York: Springer.</w:t>
      </w:r>
    </w:p>
    <w:p w:rsidR="007017E7" w:rsidRPr="006C57F6" w:rsidRDefault="007017E7" w:rsidP="007017E7">
      <w:pPr>
        <w:spacing w:after="160" w:line="240" w:lineRule="auto"/>
        <w:ind w:left="360" w:hanging="360"/>
        <w:jc w:val="both"/>
        <w:rPr>
          <w:rFonts w:eastAsia="Calibri" w:cs="Times New Roman"/>
          <w:szCs w:val="24"/>
        </w:rPr>
      </w:pPr>
      <w:r w:rsidRPr="006C57F6">
        <w:rPr>
          <w:rFonts w:eastAsia="Calibri" w:cs="Times New Roman"/>
          <w:szCs w:val="24"/>
        </w:rPr>
        <w:t>Porzuczek, A. (2015). Handling global and local English pronunciation errors. In Waniek-Klimczak, E. &amp; Pawlak, M. (Eds</w:t>
      </w:r>
      <w:r w:rsidRPr="006C57F6">
        <w:rPr>
          <w:rFonts w:eastAsia="Calibri" w:cs="Times New Roman"/>
          <w:szCs w:val="24"/>
          <w:lang w:val="id-ID"/>
        </w:rPr>
        <w:t>.</w:t>
      </w:r>
      <w:r w:rsidRPr="006C57F6">
        <w:rPr>
          <w:rFonts w:eastAsia="Calibri" w:cs="Times New Roman"/>
          <w:szCs w:val="24"/>
        </w:rPr>
        <w:t>)</w:t>
      </w:r>
      <w:r w:rsidRPr="006C57F6">
        <w:rPr>
          <w:rFonts w:eastAsia="Calibri" w:cs="Times New Roman"/>
          <w:szCs w:val="24"/>
          <w:lang w:val="id-ID"/>
        </w:rPr>
        <w:t>,</w:t>
      </w:r>
      <w:r w:rsidRPr="006C57F6">
        <w:rPr>
          <w:rFonts w:eastAsia="Calibri" w:cs="Times New Roman"/>
          <w:szCs w:val="24"/>
        </w:rPr>
        <w:t xml:space="preserve"> </w:t>
      </w:r>
      <w:proofErr w:type="gramStart"/>
      <w:r w:rsidRPr="006C57F6">
        <w:rPr>
          <w:rFonts w:eastAsia="Calibri" w:cs="Times New Roman"/>
          <w:i/>
          <w:szCs w:val="24"/>
        </w:rPr>
        <w:t>Teaching</w:t>
      </w:r>
      <w:proofErr w:type="gramEnd"/>
      <w:r w:rsidRPr="006C57F6">
        <w:rPr>
          <w:rFonts w:eastAsia="Calibri" w:cs="Times New Roman"/>
          <w:i/>
          <w:szCs w:val="24"/>
        </w:rPr>
        <w:t xml:space="preserve"> and researching the pronunciation of English</w:t>
      </w:r>
      <w:r w:rsidRPr="006C57F6">
        <w:rPr>
          <w:rFonts w:eastAsia="Calibri" w:cs="Times New Roman"/>
          <w:szCs w:val="24"/>
        </w:rPr>
        <w:t xml:space="preserve"> (pp. 169-187). New York: Springer.</w:t>
      </w:r>
    </w:p>
    <w:p w:rsidR="007017E7" w:rsidRPr="006C57F6" w:rsidRDefault="007017E7" w:rsidP="007017E7">
      <w:pPr>
        <w:spacing w:after="160" w:line="240" w:lineRule="auto"/>
        <w:ind w:left="426" w:hanging="426"/>
        <w:jc w:val="both"/>
        <w:rPr>
          <w:rFonts w:eastAsia="Calibri" w:cs="Times New Roman"/>
          <w:szCs w:val="24"/>
        </w:rPr>
      </w:pPr>
      <w:r w:rsidRPr="006C57F6">
        <w:rPr>
          <w:rFonts w:eastAsia="Calibri" w:cs="Times New Roman"/>
          <w:szCs w:val="24"/>
        </w:rPr>
        <w:t xml:space="preserve">Pourhosein Gilakjani, A. (2011). A study on the situation of pronunciation instruction in ESL/EFL classrooms. </w:t>
      </w:r>
      <w:r w:rsidRPr="006C57F6">
        <w:rPr>
          <w:rFonts w:eastAsia="Calibri" w:cs="Times New Roman"/>
          <w:i/>
          <w:szCs w:val="24"/>
        </w:rPr>
        <w:t>Journal of Studies in Education</w:t>
      </w:r>
      <w:r w:rsidRPr="006C57F6">
        <w:rPr>
          <w:rFonts w:eastAsia="Calibri" w:cs="Times New Roman"/>
          <w:szCs w:val="24"/>
        </w:rPr>
        <w:t>, 1(1), 1-15.</w:t>
      </w:r>
    </w:p>
    <w:p w:rsidR="007017E7" w:rsidRPr="006C57F6" w:rsidRDefault="007017E7" w:rsidP="007017E7">
      <w:pPr>
        <w:spacing w:line="240" w:lineRule="auto"/>
        <w:ind w:left="357" w:hanging="357"/>
        <w:jc w:val="both"/>
        <w:rPr>
          <w:szCs w:val="24"/>
        </w:rPr>
      </w:pPr>
      <w:r w:rsidRPr="006C57F6">
        <w:rPr>
          <w:szCs w:val="24"/>
        </w:rPr>
        <w:t>Przedlacka, J. (2005). Models and myth: updating the (</w:t>
      </w:r>
      <w:proofErr w:type="gramStart"/>
      <w:r w:rsidRPr="006C57F6">
        <w:rPr>
          <w:szCs w:val="24"/>
        </w:rPr>
        <w:t>non)</w:t>
      </w:r>
      <w:proofErr w:type="gramEnd"/>
      <w:r w:rsidRPr="006C57F6">
        <w:rPr>
          <w:szCs w:val="24"/>
        </w:rPr>
        <w:t xml:space="preserve">standard accents. In K. Dziubalska-Kolaczyk &amp; J. Przedlacka (eds.), </w:t>
      </w:r>
      <w:r w:rsidRPr="006C57F6">
        <w:rPr>
          <w:i/>
          <w:szCs w:val="24"/>
        </w:rPr>
        <w:t>English Pronunciation Models: A Changing Scene</w:t>
      </w:r>
      <w:r w:rsidRPr="006C57F6">
        <w:rPr>
          <w:szCs w:val="24"/>
        </w:rPr>
        <w:t>. Bern: Peter Lang, 17-35.</w:t>
      </w:r>
    </w:p>
    <w:p w:rsidR="007017E7" w:rsidRPr="006C57F6" w:rsidRDefault="007017E7" w:rsidP="007017E7">
      <w:pPr>
        <w:spacing w:line="240" w:lineRule="auto"/>
        <w:jc w:val="both"/>
        <w:rPr>
          <w:szCs w:val="24"/>
        </w:rPr>
      </w:pPr>
    </w:p>
    <w:p w:rsidR="007017E7" w:rsidRPr="00EF529E" w:rsidRDefault="007017E7" w:rsidP="007017E7">
      <w:pPr>
        <w:spacing w:after="160" w:line="240" w:lineRule="auto"/>
        <w:ind w:left="360" w:hanging="360"/>
        <w:jc w:val="both"/>
        <w:rPr>
          <w:rFonts w:eastAsia="Calibri" w:cs="Times New Roman"/>
          <w:szCs w:val="24"/>
        </w:rPr>
      </w:pPr>
      <w:r w:rsidRPr="006C57F6">
        <w:rPr>
          <w:rFonts w:eastAsia="Calibri" w:cs="Times New Roman"/>
          <w:szCs w:val="24"/>
        </w:rPr>
        <w:t>Scheuer, S. (2015). What to teach and what not to teach, yet again: On the elusive priorities for L2 English phonetics. In Waniek-Klimczak, E. &amp; Pawlak, M. (Eds</w:t>
      </w:r>
      <w:r w:rsidRPr="006C57F6">
        <w:rPr>
          <w:rFonts w:eastAsia="Calibri" w:cs="Times New Roman"/>
          <w:szCs w:val="24"/>
          <w:lang w:val="id-ID"/>
        </w:rPr>
        <w:t>.</w:t>
      </w:r>
      <w:r w:rsidRPr="006C57F6">
        <w:rPr>
          <w:rFonts w:eastAsia="Calibri" w:cs="Times New Roman"/>
          <w:szCs w:val="24"/>
        </w:rPr>
        <w:t>)</w:t>
      </w:r>
      <w:r w:rsidRPr="006C57F6">
        <w:rPr>
          <w:rFonts w:eastAsia="Calibri" w:cs="Times New Roman"/>
          <w:szCs w:val="24"/>
          <w:lang w:val="id-ID"/>
        </w:rPr>
        <w:t>,</w:t>
      </w:r>
      <w:r w:rsidRPr="006C57F6">
        <w:rPr>
          <w:rFonts w:eastAsia="Calibri" w:cs="Times New Roman"/>
          <w:szCs w:val="24"/>
        </w:rPr>
        <w:t xml:space="preserve"> </w:t>
      </w:r>
      <w:proofErr w:type="gramStart"/>
      <w:r w:rsidRPr="006C57F6">
        <w:rPr>
          <w:rFonts w:eastAsia="Calibri" w:cs="Times New Roman"/>
          <w:i/>
          <w:szCs w:val="24"/>
        </w:rPr>
        <w:t>Teaching</w:t>
      </w:r>
      <w:proofErr w:type="gramEnd"/>
      <w:r w:rsidRPr="006C57F6">
        <w:rPr>
          <w:rFonts w:eastAsia="Calibri" w:cs="Times New Roman"/>
          <w:i/>
          <w:szCs w:val="24"/>
        </w:rPr>
        <w:t xml:space="preserve"> and researching the pronunciation of English</w:t>
      </w:r>
      <w:r w:rsidRPr="006C57F6">
        <w:rPr>
          <w:rFonts w:eastAsia="Calibri" w:cs="Times New Roman"/>
          <w:szCs w:val="24"/>
        </w:rPr>
        <w:t>. (pp. 139-151). New York: Springer.</w:t>
      </w:r>
    </w:p>
    <w:p w:rsidR="007017E7" w:rsidRPr="006C57F6" w:rsidRDefault="007017E7" w:rsidP="007017E7">
      <w:pPr>
        <w:spacing w:after="160" w:line="240" w:lineRule="auto"/>
        <w:ind w:left="448" w:hanging="448"/>
        <w:jc w:val="both"/>
        <w:rPr>
          <w:rFonts w:eastAsia="Calibri" w:cs="Times New Roman"/>
          <w:szCs w:val="24"/>
        </w:rPr>
      </w:pPr>
      <w:r w:rsidRPr="006C57F6">
        <w:rPr>
          <w:rFonts w:eastAsia="Calibri" w:cs="Times New Roman"/>
          <w:szCs w:val="24"/>
        </w:rPr>
        <w:t>Subtirelu, N. (2013). ‘What do learners want</w:t>
      </w:r>
      <w:proofErr w:type="gramStart"/>
      <w:r w:rsidRPr="006C57F6">
        <w:rPr>
          <w:rFonts w:eastAsia="Calibri" w:cs="Times New Roman"/>
          <w:szCs w:val="24"/>
        </w:rPr>
        <w:t>?:</w:t>
      </w:r>
      <w:proofErr w:type="gramEnd"/>
      <w:r w:rsidRPr="006C57F6">
        <w:rPr>
          <w:rFonts w:eastAsia="Calibri" w:cs="Times New Roman"/>
          <w:szCs w:val="24"/>
        </w:rPr>
        <w:t xml:space="preserve"> a re-examination of the issue of learner preferences regarding the use of ‘native’ speaker norms in English Language Teaching’, </w:t>
      </w:r>
      <w:r w:rsidRPr="006C57F6">
        <w:rPr>
          <w:rFonts w:eastAsia="Calibri" w:cs="Times New Roman"/>
          <w:i/>
          <w:szCs w:val="24"/>
        </w:rPr>
        <w:t>Language Awareness</w:t>
      </w:r>
      <w:r w:rsidRPr="006C57F6">
        <w:rPr>
          <w:rFonts w:eastAsia="Calibri" w:cs="Times New Roman"/>
          <w:szCs w:val="24"/>
        </w:rPr>
        <w:t>, 22(3), pp. 270-291.</w:t>
      </w:r>
    </w:p>
    <w:p w:rsidR="007017E7" w:rsidRPr="00EF529E" w:rsidRDefault="007017E7" w:rsidP="007017E7">
      <w:pPr>
        <w:spacing w:after="160" w:line="240" w:lineRule="auto"/>
        <w:ind w:left="360" w:hanging="360"/>
        <w:jc w:val="both"/>
        <w:rPr>
          <w:rFonts w:eastAsia="Calibri" w:cs="Times New Roman"/>
          <w:szCs w:val="24"/>
        </w:rPr>
      </w:pPr>
      <w:r w:rsidRPr="006C57F6">
        <w:rPr>
          <w:rFonts w:eastAsia="Calibri" w:cs="Times New Roman"/>
          <w:szCs w:val="24"/>
        </w:rPr>
        <w:t xml:space="preserve">Szpyra-Kozlowska, J. (2013). On the irrelevance of sounds and prosody in foreign-accented English. In E. Waniek-Klimczak, &amp; L. Shockey (Eds.), </w:t>
      </w:r>
      <w:r w:rsidRPr="006C57F6">
        <w:rPr>
          <w:rFonts w:eastAsia="Calibri" w:cs="Times New Roman"/>
          <w:i/>
          <w:szCs w:val="24"/>
        </w:rPr>
        <w:t>Teaching and researching English accents in native and non-native speakers</w:t>
      </w:r>
      <w:r w:rsidRPr="006C57F6">
        <w:rPr>
          <w:rFonts w:eastAsia="Calibri" w:cs="Times New Roman"/>
          <w:szCs w:val="24"/>
        </w:rPr>
        <w:t xml:space="preserve">. </w:t>
      </w:r>
      <w:r w:rsidRPr="006C57F6">
        <w:rPr>
          <w:rFonts w:eastAsia="Calibri" w:cs="Times New Roman"/>
          <w:i/>
          <w:szCs w:val="24"/>
        </w:rPr>
        <w:t>Second language learning and teaching</w:t>
      </w:r>
      <w:r w:rsidRPr="006C57F6">
        <w:rPr>
          <w:rFonts w:eastAsia="Calibri" w:cs="Times New Roman"/>
          <w:szCs w:val="24"/>
        </w:rPr>
        <w:t xml:space="preserve"> (pp. 15-29). Berlin Heidelberg: Springer-Verlag.</w:t>
      </w:r>
    </w:p>
    <w:p w:rsidR="007017E7" w:rsidRPr="006C57F6" w:rsidRDefault="007017E7" w:rsidP="007017E7">
      <w:pPr>
        <w:spacing w:after="160" w:line="240" w:lineRule="auto"/>
        <w:ind w:left="360" w:hanging="360"/>
        <w:jc w:val="both"/>
        <w:rPr>
          <w:rFonts w:eastAsia="Calibri" w:cs="Times New Roman"/>
          <w:szCs w:val="24"/>
        </w:rPr>
      </w:pPr>
      <w:r w:rsidRPr="006C57F6">
        <w:rPr>
          <w:rFonts w:eastAsia="Calibri" w:cs="Times New Roman"/>
          <w:szCs w:val="24"/>
        </w:rPr>
        <w:t xml:space="preserve">Szpyra-Kozlowska, J., &amp; Stasiak, S. (2010). From focus on words in English pronunciation instruction. </w:t>
      </w:r>
      <w:r w:rsidRPr="006C57F6">
        <w:rPr>
          <w:rFonts w:eastAsia="Calibri" w:cs="Times New Roman"/>
          <w:i/>
          <w:szCs w:val="24"/>
        </w:rPr>
        <w:t>Research in Language</w:t>
      </w:r>
      <w:r w:rsidRPr="006C57F6">
        <w:rPr>
          <w:rFonts w:eastAsia="Calibri" w:cs="Times New Roman"/>
          <w:szCs w:val="24"/>
        </w:rPr>
        <w:t xml:space="preserve">, </w:t>
      </w:r>
      <w:r w:rsidRPr="006C57F6">
        <w:rPr>
          <w:rFonts w:eastAsia="Calibri" w:cs="Times New Roman"/>
          <w:i/>
          <w:szCs w:val="24"/>
        </w:rPr>
        <w:t>8</w:t>
      </w:r>
      <w:r w:rsidRPr="006C57F6">
        <w:rPr>
          <w:rFonts w:eastAsia="Calibri" w:cs="Times New Roman"/>
          <w:szCs w:val="24"/>
        </w:rPr>
        <w:t>, 163-177.</w:t>
      </w:r>
    </w:p>
    <w:p w:rsidR="007017E7" w:rsidRPr="006C57F6" w:rsidRDefault="007017E7" w:rsidP="007017E7">
      <w:pPr>
        <w:spacing w:after="160" w:line="240" w:lineRule="auto"/>
        <w:ind w:left="360" w:hanging="360"/>
        <w:jc w:val="both"/>
        <w:rPr>
          <w:rFonts w:eastAsia="Calibri" w:cs="Times New Roman"/>
          <w:szCs w:val="24"/>
        </w:rPr>
      </w:pPr>
      <w:r w:rsidRPr="006C57F6">
        <w:rPr>
          <w:rFonts w:eastAsia="Calibri" w:cs="Times New Roman"/>
          <w:szCs w:val="24"/>
        </w:rPr>
        <w:t xml:space="preserve">Szpyza-Kozlowska, J. (2012). Mispronounced lexical items in Polish English of advanced learners. </w:t>
      </w:r>
      <w:r w:rsidRPr="006C57F6">
        <w:rPr>
          <w:rFonts w:eastAsia="Calibri" w:cs="Times New Roman"/>
          <w:i/>
          <w:szCs w:val="24"/>
        </w:rPr>
        <w:t>Research in Language, 10(2)</w:t>
      </w:r>
      <w:r w:rsidRPr="006C57F6">
        <w:rPr>
          <w:rFonts w:eastAsia="Calibri" w:cs="Times New Roman"/>
          <w:szCs w:val="24"/>
        </w:rPr>
        <w:t>, 243-256.</w:t>
      </w:r>
    </w:p>
    <w:p w:rsidR="007017E7" w:rsidRPr="006C57F6" w:rsidRDefault="007017E7" w:rsidP="007017E7">
      <w:pPr>
        <w:spacing w:line="240" w:lineRule="auto"/>
        <w:ind w:left="284" w:hanging="284"/>
        <w:jc w:val="both"/>
      </w:pPr>
      <w:r>
        <w:t>Szyszka, M. (2018</w:t>
      </w:r>
      <w:r w:rsidRPr="006C57F6">
        <w:t xml:space="preserve">). Foreign language anxiety and self-perceived English pronunciation competence. </w:t>
      </w:r>
      <w:r w:rsidRPr="006C57F6">
        <w:rPr>
          <w:i/>
        </w:rPr>
        <w:t>Studies in Second Language Learning and Teaching, 1</w:t>
      </w:r>
      <w:r w:rsidRPr="006C57F6">
        <w:t>, 283-300.</w:t>
      </w:r>
    </w:p>
    <w:p w:rsidR="007017E7" w:rsidRPr="00EF529E" w:rsidRDefault="007017E7" w:rsidP="007017E7">
      <w:pPr>
        <w:spacing w:after="160" w:line="240" w:lineRule="auto"/>
        <w:ind w:left="448" w:hanging="448"/>
        <w:jc w:val="both"/>
        <w:rPr>
          <w:rFonts w:eastAsia="Calibri" w:cs="Times New Roman"/>
          <w:szCs w:val="24"/>
        </w:rPr>
      </w:pPr>
      <w:r w:rsidRPr="006C57F6">
        <w:rPr>
          <w:rFonts w:eastAsia="Calibri" w:cs="Times New Roman"/>
          <w:szCs w:val="24"/>
        </w:rPr>
        <w:t xml:space="preserve">Tergujeff, E. (2013). Learner perspective on English pronunciation teaching in an EFL context. </w:t>
      </w:r>
      <w:r w:rsidRPr="006C57F6">
        <w:rPr>
          <w:rFonts w:eastAsia="Calibri" w:cs="Times New Roman"/>
          <w:i/>
          <w:szCs w:val="24"/>
        </w:rPr>
        <w:t>Research in Language</w:t>
      </w:r>
      <w:r w:rsidRPr="006C57F6">
        <w:rPr>
          <w:rFonts w:eastAsia="Calibri" w:cs="Times New Roman"/>
          <w:szCs w:val="24"/>
        </w:rPr>
        <w:t>, 11(1), pp. 81-95.</w:t>
      </w:r>
    </w:p>
    <w:p w:rsidR="007017E7" w:rsidRPr="006C57F6" w:rsidRDefault="007017E7" w:rsidP="007017E7">
      <w:pPr>
        <w:spacing w:line="240" w:lineRule="auto"/>
        <w:ind w:left="357" w:hanging="357"/>
        <w:jc w:val="both"/>
        <w:rPr>
          <w:szCs w:val="24"/>
        </w:rPr>
      </w:pPr>
      <w:r w:rsidRPr="006C57F6">
        <w:rPr>
          <w:i/>
          <w:szCs w:val="24"/>
        </w:rPr>
        <w:t>Webster’s new world college dictionary</w:t>
      </w:r>
      <w:r w:rsidRPr="006C57F6">
        <w:rPr>
          <w:szCs w:val="24"/>
        </w:rPr>
        <w:t>, Third Edition. (1996). New York: McMillan General Reference.</w:t>
      </w:r>
    </w:p>
    <w:p w:rsidR="007017E7" w:rsidRPr="006C57F6" w:rsidRDefault="007017E7" w:rsidP="007017E7">
      <w:pPr>
        <w:spacing w:after="160" w:line="240" w:lineRule="auto"/>
        <w:ind w:left="360" w:hanging="360"/>
        <w:jc w:val="both"/>
        <w:rPr>
          <w:rFonts w:eastAsia="Calibri" w:cs="Times New Roman"/>
          <w:szCs w:val="24"/>
        </w:rPr>
      </w:pPr>
      <w:r w:rsidRPr="006C57F6">
        <w:rPr>
          <w:rFonts w:eastAsia="Calibri" w:cs="Times New Roman"/>
          <w:szCs w:val="24"/>
        </w:rPr>
        <w:t>Zajac, M. (2015). Compiling a corpus-based list of words commonly mispronounced. In Waniek</w:t>
      </w:r>
      <w:proofErr w:type="gramStart"/>
      <w:r w:rsidRPr="006C57F6">
        <w:rPr>
          <w:rFonts w:eastAsia="Calibri" w:cs="Times New Roman"/>
          <w:szCs w:val="24"/>
        </w:rPr>
        <w:t>-  Klimczak</w:t>
      </w:r>
      <w:proofErr w:type="gramEnd"/>
      <w:r w:rsidRPr="006C57F6">
        <w:rPr>
          <w:rFonts w:eastAsia="Calibri" w:cs="Times New Roman"/>
          <w:szCs w:val="24"/>
        </w:rPr>
        <w:t>, E. &amp; Pawlak, M. (Eds</w:t>
      </w:r>
      <w:r w:rsidRPr="006C57F6">
        <w:rPr>
          <w:rFonts w:eastAsia="Calibri" w:cs="Times New Roman"/>
          <w:szCs w:val="24"/>
          <w:lang w:val="id-ID"/>
        </w:rPr>
        <w:t>.</w:t>
      </w:r>
      <w:r w:rsidRPr="006C57F6">
        <w:rPr>
          <w:rFonts w:eastAsia="Calibri" w:cs="Times New Roman"/>
          <w:szCs w:val="24"/>
        </w:rPr>
        <w:t>)</w:t>
      </w:r>
      <w:r w:rsidRPr="006C57F6">
        <w:rPr>
          <w:rFonts w:eastAsia="Calibri" w:cs="Times New Roman"/>
          <w:szCs w:val="24"/>
          <w:lang w:val="id-ID"/>
        </w:rPr>
        <w:t>,</w:t>
      </w:r>
      <w:r w:rsidRPr="006C57F6">
        <w:rPr>
          <w:rFonts w:eastAsia="Calibri" w:cs="Times New Roman"/>
          <w:szCs w:val="24"/>
        </w:rPr>
        <w:t xml:space="preserve"> </w:t>
      </w:r>
      <w:r w:rsidRPr="006C57F6">
        <w:rPr>
          <w:rFonts w:eastAsia="Calibri" w:cs="Times New Roman"/>
          <w:i/>
          <w:szCs w:val="24"/>
        </w:rPr>
        <w:t>Teaching and researching the pronunciation of English</w:t>
      </w:r>
      <w:r w:rsidRPr="006C57F6">
        <w:rPr>
          <w:rFonts w:eastAsia="Calibri" w:cs="Times New Roman"/>
          <w:szCs w:val="24"/>
        </w:rPr>
        <w:t>. (pp. 153-167). New York: Springer.</w:t>
      </w:r>
    </w:p>
    <w:p w:rsidR="007017E7" w:rsidRDefault="007017E7" w:rsidP="007017E7">
      <w:pPr>
        <w:ind w:firstLine="720"/>
        <w:jc w:val="both"/>
      </w:pPr>
    </w:p>
    <w:p w:rsidR="007017E7" w:rsidRDefault="007017E7" w:rsidP="007017E7">
      <w:pPr>
        <w:ind w:firstLine="720"/>
        <w:jc w:val="both"/>
      </w:pPr>
    </w:p>
    <w:p w:rsidR="007017E7" w:rsidRDefault="007017E7" w:rsidP="007017E7">
      <w:pPr>
        <w:ind w:firstLine="720"/>
        <w:jc w:val="both"/>
      </w:pPr>
    </w:p>
    <w:p w:rsidR="007017E7" w:rsidRDefault="007017E7" w:rsidP="007017E7">
      <w:pPr>
        <w:ind w:firstLine="720"/>
        <w:jc w:val="both"/>
      </w:pPr>
    </w:p>
    <w:p w:rsidR="007017E7" w:rsidRDefault="007017E7" w:rsidP="007017E7">
      <w:pPr>
        <w:ind w:firstLine="720"/>
        <w:jc w:val="both"/>
      </w:pPr>
    </w:p>
    <w:p w:rsidR="007017E7" w:rsidRPr="00D56970" w:rsidRDefault="007017E7" w:rsidP="008374EB">
      <w:pPr>
        <w:ind w:firstLine="720"/>
        <w:jc w:val="both"/>
        <w:rPr>
          <w:rFonts w:cs="Times New Roman"/>
          <w:szCs w:val="24"/>
        </w:rPr>
      </w:pPr>
    </w:p>
    <w:sectPr w:rsidR="007017E7" w:rsidRPr="00D56970" w:rsidSect="00585CF6">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133A4"/>
    <w:multiLevelType w:val="multilevel"/>
    <w:tmpl w:val="A1D6F5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C735B7A"/>
    <w:multiLevelType w:val="hybridMultilevel"/>
    <w:tmpl w:val="57C0E504"/>
    <w:lvl w:ilvl="0" w:tplc="61F20D8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7A1214"/>
    <w:multiLevelType w:val="multilevel"/>
    <w:tmpl w:val="1DCEEF7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89229BD"/>
    <w:multiLevelType w:val="hybridMultilevel"/>
    <w:tmpl w:val="AF9219E8"/>
    <w:lvl w:ilvl="0" w:tplc="84A091D2">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5D38738D"/>
    <w:multiLevelType w:val="multilevel"/>
    <w:tmpl w:val="5900E8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77F71074"/>
    <w:multiLevelType w:val="hybridMultilevel"/>
    <w:tmpl w:val="DD5E240E"/>
    <w:lvl w:ilvl="0" w:tplc="66EE19B0">
      <w:start w:val="1"/>
      <w:numFmt w:val="upperRoman"/>
      <w:lvlText w:val="%1."/>
      <w:lvlJc w:val="lef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8634DD9"/>
    <w:multiLevelType w:val="hybridMultilevel"/>
    <w:tmpl w:val="2B222606"/>
    <w:lvl w:ilvl="0" w:tplc="B41AFA9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3"/>
  </w:num>
  <w:num w:numId="3">
    <w:abstractNumId w:val="1"/>
  </w:num>
  <w:num w:numId="4">
    <w:abstractNumId w:val="2"/>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D9C"/>
    <w:rsid w:val="000060BA"/>
    <w:rsid w:val="00190CDA"/>
    <w:rsid w:val="00191EA7"/>
    <w:rsid w:val="00206402"/>
    <w:rsid w:val="00396956"/>
    <w:rsid w:val="0044241A"/>
    <w:rsid w:val="00531AEA"/>
    <w:rsid w:val="00585CF6"/>
    <w:rsid w:val="00615B58"/>
    <w:rsid w:val="006F17FC"/>
    <w:rsid w:val="007017E7"/>
    <w:rsid w:val="007E6BE7"/>
    <w:rsid w:val="008374EB"/>
    <w:rsid w:val="008D0E28"/>
    <w:rsid w:val="00934520"/>
    <w:rsid w:val="00B7647F"/>
    <w:rsid w:val="00BF776F"/>
    <w:rsid w:val="00C40F3C"/>
    <w:rsid w:val="00CA1D9C"/>
    <w:rsid w:val="00D56970"/>
    <w:rsid w:val="00E72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7ECF8C-E197-4ECB-85CA-25802711B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60BA"/>
    <w:pPr>
      <w:ind w:left="720"/>
      <w:contextualSpacing/>
    </w:pPr>
  </w:style>
  <w:style w:type="character" w:styleId="Hyperlink">
    <w:name w:val="Hyperlink"/>
    <w:basedOn w:val="DefaultParagraphFont"/>
    <w:uiPriority w:val="99"/>
    <w:unhideWhenUsed/>
    <w:rsid w:val="00BF77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lmania.com/teacher/esl_teacher_talk/Pronunciation_Handbook.pdf" TargetMode="External"/><Relationship Id="rId3" Type="http://schemas.openxmlformats.org/officeDocument/2006/relationships/settings" Target="settings.xml"/><Relationship Id="rId7" Type="http://schemas.openxmlformats.org/officeDocument/2006/relationships/hyperlink" Target="http://www.phon.ucl.ac.uk/ptlc/ptlc2007_web_proc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antywirza@upi.edu" TargetMode="External"/><Relationship Id="rId5" Type="http://schemas.openxmlformats.org/officeDocument/2006/relationships/hyperlink" Target="mailto:dinmusthafa@upi.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15</Pages>
  <Words>5985</Words>
  <Characters>34119</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Anugrah</dc:creator>
  <cp:keywords/>
  <dc:description/>
  <cp:lastModifiedBy>Andre Anugrah</cp:lastModifiedBy>
  <cp:revision>3</cp:revision>
  <dcterms:created xsi:type="dcterms:W3CDTF">2020-08-25T01:41:00Z</dcterms:created>
  <dcterms:modified xsi:type="dcterms:W3CDTF">2020-08-25T07:27:00Z</dcterms:modified>
</cp:coreProperties>
</file>