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D5F83" w14:textId="26CA8A59" w:rsidR="007A2CA8" w:rsidRPr="00E037F2" w:rsidRDefault="007A2CA8" w:rsidP="007A2CA8">
      <w:pPr>
        <w:jc w:val="center"/>
        <w:rPr>
          <w:b/>
          <w:sz w:val="28"/>
          <w:szCs w:val="28"/>
          <w:lang w:val="id-ID"/>
        </w:rPr>
      </w:pPr>
      <w:r w:rsidRPr="00E037F2">
        <w:rPr>
          <w:b/>
          <w:sz w:val="28"/>
          <w:szCs w:val="28"/>
          <w:lang w:val="id-ID"/>
        </w:rPr>
        <w:t>Hubungan Kemandirian (</w:t>
      </w:r>
      <w:r w:rsidRPr="00E037F2">
        <w:rPr>
          <w:b/>
          <w:i/>
          <w:iCs/>
          <w:sz w:val="28"/>
          <w:szCs w:val="28"/>
          <w:lang w:val="id-ID"/>
        </w:rPr>
        <w:t>Basic</w:t>
      </w:r>
      <w:r w:rsidRPr="00E037F2">
        <w:rPr>
          <w:b/>
          <w:sz w:val="28"/>
          <w:szCs w:val="28"/>
          <w:lang w:val="id-ID"/>
        </w:rPr>
        <w:t xml:space="preserve"> dan </w:t>
      </w:r>
      <w:r w:rsidRPr="00E037F2">
        <w:rPr>
          <w:b/>
          <w:i/>
          <w:iCs/>
          <w:sz w:val="28"/>
          <w:szCs w:val="28"/>
          <w:lang w:val="id-ID"/>
        </w:rPr>
        <w:t>Instrumental Activities of Daily Living</w:t>
      </w:r>
      <w:r w:rsidRPr="00E037F2">
        <w:rPr>
          <w:b/>
          <w:sz w:val="28"/>
          <w:szCs w:val="28"/>
          <w:lang w:val="id-ID"/>
        </w:rPr>
        <w:t>) dengan Pendidikan,</w:t>
      </w:r>
      <w:r w:rsidR="0048321B" w:rsidRPr="00E037F2">
        <w:rPr>
          <w:b/>
          <w:sz w:val="28"/>
          <w:szCs w:val="28"/>
          <w:lang w:val="id-ID"/>
        </w:rPr>
        <w:t xml:space="preserve"> </w:t>
      </w:r>
      <w:r w:rsidRPr="00E037F2">
        <w:rPr>
          <w:b/>
          <w:sz w:val="28"/>
          <w:szCs w:val="28"/>
          <w:lang w:val="id-ID"/>
        </w:rPr>
        <w:t>Status Marital</w:t>
      </w:r>
      <w:r w:rsidR="0048321B" w:rsidRPr="00E037F2">
        <w:rPr>
          <w:b/>
          <w:sz w:val="28"/>
          <w:szCs w:val="28"/>
          <w:lang w:val="id-ID"/>
        </w:rPr>
        <w:t>, dan Demensia</w:t>
      </w:r>
      <w:r w:rsidRPr="00E037F2">
        <w:rPr>
          <w:b/>
          <w:sz w:val="28"/>
          <w:szCs w:val="28"/>
          <w:lang w:val="id-ID"/>
        </w:rPr>
        <w:t xml:space="preserve"> </w:t>
      </w:r>
    </w:p>
    <w:p w14:paraId="07160EEB" w14:textId="77777777" w:rsidR="007A2CA8" w:rsidRPr="00E037F2" w:rsidRDefault="007A2CA8" w:rsidP="007A2CA8">
      <w:pPr>
        <w:jc w:val="center"/>
        <w:rPr>
          <w:b/>
          <w:sz w:val="28"/>
          <w:szCs w:val="28"/>
          <w:lang w:val="id-ID"/>
        </w:rPr>
      </w:pPr>
      <w:r w:rsidRPr="00E037F2">
        <w:rPr>
          <w:b/>
          <w:sz w:val="28"/>
          <w:szCs w:val="28"/>
          <w:lang w:val="id-ID"/>
        </w:rPr>
        <w:t xml:space="preserve"> pada Lansia di Panti Wredha</w:t>
      </w:r>
    </w:p>
    <w:p w14:paraId="01C1E7A4" w14:textId="77777777" w:rsidR="00AB77B5" w:rsidRPr="00E037F2" w:rsidRDefault="00AB77B5" w:rsidP="00AB77B5">
      <w:pPr>
        <w:tabs>
          <w:tab w:val="left" w:pos="1800"/>
          <w:tab w:val="center" w:pos="4660"/>
        </w:tabs>
        <w:spacing w:after="0" w:line="240" w:lineRule="auto"/>
        <w:jc w:val="center"/>
        <w:rPr>
          <w:b/>
          <w:iCs/>
          <w:sz w:val="24"/>
        </w:rPr>
      </w:pPr>
    </w:p>
    <w:p w14:paraId="06E041F1" w14:textId="0970AF3B" w:rsidR="00AB77B5" w:rsidRPr="00E037F2" w:rsidRDefault="007A2CA8" w:rsidP="00D624B4">
      <w:pPr>
        <w:pStyle w:val="Subtitle"/>
        <w:jc w:val="center"/>
      </w:pPr>
      <w:r w:rsidRPr="00E037F2">
        <w:rPr>
          <w:rStyle w:val="Heading2Char"/>
          <w:rFonts w:cs="Times New Roman"/>
          <w:b/>
          <w:lang w:val="id-ID"/>
        </w:rPr>
        <w:t>Lisna Anisa Fitriana</w:t>
      </w:r>
      <w:r w:rsidRPr="00E037F2">
        <w:rPr>
          <w:vertAlign w:val="superscript"/>
        </w:rPr>
        <w:t xml:space="preserve">1 </w:t>
      </w:r>
      <w:r w:rsidR="002B1AE3" w:rsidRPr="00E037F2">
        <w:rPr>
          <w:rStyle w:val="Heading2Char"/>
          <w:rFonts w:cs="Times New Roman"/>
          <w:b/>
        </w:rPr>
        <w:t>*</w:t>
      </w:r>
      <w:r w:rsidR="00734C37" w:rsidRPr="00E037F2">
        <w:rPr>
          <w:rStyle w:val="Heading2Char"/>
          <w:rFonts w:cs="Times New Roman"/>
          <w:b/>
        </w:rPr>
        <w:t xml:space="preserve">, </w:t>
      </w:r>
      <w:r w:rsidRPr="00E037F2">
        <w:rPr>
          <w:rStyle w:val="Heading2Char"/>
          <w:rFonts w:cs="Times New Roman"/>
          <w:b/>
          <w:lang w:val="id-ID"/>
        </w:rPr>
        <w:t>Setiawan</w:t>
      </w:r>
      <w:r w:rsidRPr="00E037F2">
        <w:rPr>
          <w:vertAlign w:val="superscript"/>
          <w:lang w:val="id-ID"/>
        </w:rPr>
        <w:t>2</w:t>
      </w:r>
      <w:r w:rsidR="00734C37" w:rsidRPr="00E037F2">
        <w:rPr>
          <w:rStyle w:val="Heading2Char"/>
          <w:rFonts w:cs="Times New Roman"/>
          <w:b/>
        </w:rPr>
        <w:t>,</w:t>
      </w:r>
      <w:r w:rsidRPr="00E037F2">
        <w:rPr>
          <w:rStyle w:val="Heading2Char"/>
          <w:rFonts w:cs="Times New Roman"/>
          <w:b/>
          <w:lang w:val="id-ID"/>
        </w:rPr>
        <w:t xml:space="preserve"> Kusnandar Anggadiredja</w:t>
      </w:r>
      <w:r w:rsidRPr="00E037F2">
        <w:rPr>
          <w:vertAlign w:val="superscript"/>
          <w:lang w:val="id-ID"/>
        </w:rPr>
        <w:t>3</w:t>
      </w:r>
      <w:r w:rsidRPr="00E037F2">
        <w:rPr>
          <w:rStyle w:val="Heading2Char"/>
          <w:rFonts w:cs="Times New Roman"/>
          <w:b/>
          <w:lang w:val="id-ID"/>
        </w:rPr>
        <w:t>, I Ketut Adnyana</w:t>
      </w:r>
      <w:r w:rsidRPr="00E037F2">
        <w:rPr>
          <w:vertAlign w:val="superscript"/>
          <w:lang w:val="id-ID"/>
        </w:rPr>
        <w:t>3</w:t>
      </w:r>
      <w:r w:rsidR="00734C37" w:rsidRPr="00E037F2">
        <w:rPr>
          <w:rStyle w:val="Heading2Char"/>
          <w:rFonts w:cs="Times New Roman"/>
          <w:b/>
        </w:rPr>
        <w:t xml:space="preserve"> </w:t>
      </w:r>
    </w:p>
    <w:p w14:paraId="695FB1C0" w14:textId="41C3EF0A" w:rsidR="00FA4109" w:rsidRPr="00E037F2" w:rsidRDefault="00FA4109" w:rsidP="0001669D">
      <w:pPr>
        <w:pStyle w:val="Heading3"/>
        <w:rPr>
          <w:rFonts w:cs="Times New Roman"/>
          <w:i w:val="0"/>
          <w:lang w:val="id-ID"/>
        </w:rPr>
      </w:pPr>
      <w:r w:rsidRPr="00E037F2">
        <w:rPr>
          <w:rFonts w:cs="Times New Roman"/>
          <w:i w:val="0"/>
          <w:vertAlign w:val="superscript"/>
        </w:rPr>
        <w:t>1</w:t>
      </w:r>
      <w:r w:rsidR="00D624B4" w:rsidRPr="00E037F2">
        <w:rPr>
          <w:rFonts w:cs="Times New Roman"/>
          <w:i w:val="0"/>
          <w:vertAlign w:val="superscript"/>
        </w:rPr>
        <w:t xml:space="preserve"> </w:t>
      </w:r>
      <w:r w:rsidR="007A2CA8" w:rsidRPr="00E037F2">
        <w:rPr>
          <w:rFonts w:cs="Times New Roman"/>
          <w:i w:val="0"/>
          <w:lang w:val="id-ID"/>
        </w:rPr>
        <w:t>Prodi Keperawatan</w:t>
      </w:r>
      <w:r w:rsidRPr="00E037F2">
        <w:rPr>
          <w:rFonts w:cs="Times New Roman"/>
          <w:i w:val="0"/>
        </w:rPr>
        <w:t xml:space="preserve">, </w:t>
      </w:r>
      <w:proofErr w:type="spellStart"/>
      <w:r w:rsidRPr="00E037F2">
        <w:rPr>
          <w:rFonts w:cs="Times New Roman"/>
          <w:i w:val="0"/>
        </w:rPr>
        <w:t>Fakultas</w:t>
      </w:r>
      <w:proofErr w:type="spellEnd"/>
      <w:r w:rsidR="007A2CA8" w:rsidRPr="00E037F2">
        <w:rPr>
          <w:rFonts w:cs="Times New Roman"/>
          <w:i w:val="0"/>
          <w:lang w:val="id-ID"/>
        </w:rPr>
        <w:t xml:space="preserve"> Pendidikan Olahraga dan Kesehatan</w:t>
      </w:r>
      <w:r w:rsidRPr="00E037F2">
        <w:rPr>
          <w:rFonts w:cs="Times New Roman"/>
          <w:i w:val="0"/>
        </w:rPr>
        <w:t xml:space="preserve">, </w:t>
      </w:r>
      <w:proofErr w:type="spellStart"/>
      <w:r w:rsidRPr="00E037F2">
        <w:rPr>
          <w:rFonts w:cs="Times New Roman"/>
          <w:i w:val="0"/>
        </w:rPr>
        <w:t>Universitas</w:t>
      </w:r>
      <w:proofErr w:type="spellEnd"/>
      <w:r w:rsidR="007A2CA8" w:rsidRPr="00E037F2">
        <w:rPr>
          <w:rFonts w:cs="Times New Roman"/>
          <w:i w:val="0"/>
          <w:lang w:val="id-ID"/>
        </w:rPr>
        <w:t xml:space="preserve"> Pendidikan Indonesia</w:t>
      </w:r>
      <w:r w:rsidRPr="00E037F2">
        <w:rPr>
          <w:rFonts w:cs="Times New Roman"/>
          <w:i w:val="0"/>
        </w:rPr>
        <w:t xml:space="preserve">, </w:t>
      </w:r>
      <w:r w:rsidR="007A2CA8" w:rsidRPr="00E037F2">
        <w:rPr>
          <w:rFonts w:cs="Times New Roman"/>
          <w:i w:val="0"/>
          <w:lang w:val="id-ID"/>
        </w:rPr>
        <w:t>Bandung</w:t>
      </w:r>
      <w:r w:rsidRPr="00E037F2">
        <w:rPr>
          <w:rFonts w:cs="Times New Roman"/>
          <w:i w:val="0"/>
        </w:rPr>
        <w:t xml:space="preserve">, </w:t>
      </w:r>
      <w:r w:rsidR="007A2CA8" w:rsidRPr="00E037F2">
        <w:rPr>
          <w:rFonts w:cs="Times New Roman"/>
          <w:i w:val="0"/>
          <w:lang w:val="id-ID"/>
        </w:rPr>
        <w:t>Indonesia</w:t>
      </w:r>
    </w:p>
    <w:p w14:paraId="1462A9BF" w14:textId="5FB8696F" w:rsidR="00FA4109" w:rsidRPr="00E037F2" w:rsidRDefault="00D624B4" w:rsidP="0001669D">
      <w:pPr>
        <w:pStyle w:val="Heading3"/>
        <w:rPr>
          <w:rFonts w:cs="Times New Roman"/>
          <w:i w:val="0"/>
          <w:lang w:val="id-ID"/>
        </w:rPr>
      </w:pPr>
      <w:r w:rsidRPr="00E037F2">
        <w:rPr>
          <w:rFonts w:cs="Times New Roman"/>
          <w:i w:val="0"/>
          <w:vertAlign w:val="superscript"/>
        </w:rPr>
        <w:t xml:space="preserve">2 </w:t>
      </w:r>
      <w:r w:rsidR="007A2CA8" w:rsidRPr="00E037F2">
        <w:rPr>
          <w:rFonts w:cs="Times New Roman"/>
          <w:i w:val="0"/>
          <w:lang w:val="id-ID"/>
        </w:rPr>
        <w:t>De</w:t>
      </w:r>
      <w:proofErr w:type="spellStart"/>
      <w:r w:rsidR="00FA4109" w:rsidRPr="00E037F2">
        <w:rPr>
          <w:rFonts w:cs="Times New Roman"/>
          <w:i w:val="0"/>
        </w:rPr>
        <w:t>partemen</w:t>
      </w:r>
      <w:proofErr w:type="spellEnd"/>
      <w:r w:rsidR="007A2CA8" w:rsidRPr="00E037F2">
        <w:rPr>
          <w:rFonts w:cs="Times New Roman"/>
          <w:i w:val="0"/>
          <w:lang w:val="id-ID"/>
        </w:rPr>
        <w:t xml:space="preserve"> Fisiologi</w:t>
      </w:r>
      <w:r w:rsidR="00FA4109" w:rsidRPr="00E037F2">
        <w:rPr>
          <w:rFonts w:cs="Times New Roman"/>
          <w:i w:val="0"/>
        </w:rPr>
        <w:t xml:space="preserve">, </w:t>
      </w:r>
      <w:proofErr w:type="spellStart"/>
      <w:r w:rsidR="00FA4109" w:rsidRPr="00E037F2">
        <w:rPr>
          <w:rFonts w:cs="Times New Roman"/>
          <w:i w:val="0"/>
        </w:rPr>
        <w:t>Fakultas</w:t>
      </w:r>
      <w:proofErr w:type="spellEnd"/>
      <w:r w:rsidR="007A2CA8" w:rsidRPr="00E037F2">
        <w:rPr>
          <w:rFonts w:cs="Times New Roman"/>
          <w:i w:val="0"/>
          <w:lang w:val="id-ID"/>
        </w:rPr>
        <w:t xml:space="preserve"> Kedokteran</w:t>
      </w:r>
      <w:r w:rsidR="00FA4109" w:rsidRPr="00E037F2">
        <w:rPr>
          <w:rFonts w:cs="Times New Roman"/>
          <w:i w:val="0"/>
        </w:rPr>
        <w:t xml:space="preserve">, </w:t>
      </w:r>
      <w:proofErr w:type="spellStart"/>
      <w:r w:rsidR="00FA4109" w:rsidRPr="00E037F2">
        <w:rPr>
          <w:rFonts w:cs="Times New Roman"/>
          <w:i w:val="0"/>
        </w:rPr>
        <w:t>Universitas</w:t>
      </w:r>
      <w:proofErr w:type="spellEnd"/>
      <w:r w:rsidR="007A2CA8" w:rsidRPr="00E037F2">
        <w:rPr>
          <w:rFonts w:cs="Times New Roman"/>
          <w:i w:val="0"/>
          <w:lang w:val="id-ID"/>
        </w:rPr>
        <w:t xml:space="preserve"> Padjadjaran</w:t>
      </w:r>
      <w:r w:rsidR="00FA4109" w:rsidRPr="00E037F2">
        <w:rPr>
          <w:rFonts w:cs="Times New Roman"/>
          <w:i w:val="0"/>
        </w:rPr>
        <w:t xml:space="preserve">, </w:t>
      </w:r>
      <w:r w:rsidR="007A2CA8" w:rsidRPr="00E037F2">
        <w:rPr>
          <w:rFonts w:cs="Times New Roman"/>
          <w:i w:val="0"/>
          <w:lang w:val="id-ID"/>
        </w:rPr>
        <w:t>Bandung</w:t>
      </w:r>
      <w:r w:rsidR="00FA4109" w:rsidRPr="00E037F2">
        <w:rPr>
          <w:rFonts w:cs="Times New Roman"/>
          <w:i w:val="0"/>
        </w:rPr>
        <w:t xml:space="preserve">, </w:t>
      </w:r>
      <w:r w:rsidR="007A2CA8" w:rsidRPr="00E037F2">
        <w:rPr>
          <w:rFonts w:cs="Times New Roman"/>
          <w:i w:val="0"/>
          <w:lang w:val="id-ID"/>
        </w:rPr>
        <w:t>Indonesia</w:t>
      </w:r>
    </w:p>
    <w:p w14:paraId="34E5FBC0" w14:textId="275E6835" w:rsidR="00FA4109" w:rsidRPr="00E037F2" w:rsidRDefault="00D624B4" w:rsidP="0001669D">
      <w:pPr>
        <w:pStyle w:val="Heading3"/>
        <w:rPr>
          <w:rFonts w:cs="Times New Roman"/>
          <w:i w:val="0"/>
          <w:lang w:val="id-ID"/>
        </w:rPr>
      </w:pPr>
      <w:r w:rsidRPr="00E037F2">
        <w:rPr>
          <w:rFonts w:cs="Times New Roman"/>
          <w:i w:val="0"/>
          <w:vertAlign w:val="superscript"/>
        </w:rPr>
        <w:t xml:space="preserve">3 </w:t>
      </w:r>
      <w:r w:rsidR="007A2CA8" w:rsidRPr="00E037F2">
        <w:rPr>
          <w:rFonts w:cs="Times New Roman"/>
          <w:i w:val="0"/>
          <w:lang w:val="id-ID"/>
        </w:rPr>
        <w:t>KK Farmakologi dan Farmasi Klinik</w:t>
      </w:r>
      <w:r w:rsidR="00FA4109" w:rsidRPr="00E037F2">
        <w:rPr>
          <w:rFonts w:cs="Times New Roman"/>
          <w:i w:val="0"/>
        </w:rPr>
        <w:t xml:space="preserve">, </w:t>
      </w:r>
      <w:r w:rsidR="007A2CA8" w:rsidRPr="00E037F2">
        <w:rPr>
          <w:rFonts w:cs="Times New Roman"/>
          <w:i w:val="0"/>
          <w:lang w:val="id-ID"/>
        </w:rPr>
        <w:t>Sekolah Farmasi</w:t>
      </w:r>
      <w:r w:rsidR="00FA4109" w:rsidRPr="00E037F2">
        <w:rPr>
          <w:rFonts w:cs="Times New Roman"/>
          <w:i w:val="0"/>
        </w:rPr>
        <w:t xml:space="preserve">, </w:t>
      </w:r>
      <w:r w:rsidR="007A2CA8" w:rsidRPr="00E037F2">
        <w:rPr>
          <w:rFonts w:cs="Times New Roman"/>
          <w:i w:val="0"/>
          <w:lang w:val="id-ID"/>
        </w:rPr>
        <w:t>Institut Teknologi Bandung, Bandung, Indonesia</w:t>
      </w:r>
    </w:p>
    <w:p w14:paraId="3191F7AE" w14:textId="2068ECF6" w:rsidR="00AB77B5" w:rsidRPr="00E037F2" w:rsidRDefault="0001669D" w:rsidP="0001669D">
      <w:pPr>
        <w:pStyle w:val="Heading3"/>
        <w:rPr>
          <w:rFonts w:cs="Times New Roman"/>
          <w:i w:val="0"/>
          <w:lang w:val="id-ID"/>
        </w:rPr>
      </w:pPr>
      <w:r w:rsidRPr="00E037F2">
        <w:rPr>
          <w:rFonts w:cs="Times New Roman"/>
          <w:i w:val="0"/>
        </w:rPr>
        <w:t>*</w:t>
      </w:r>
      <w:r w:rsidR="002B1AE3" w:rsidRPr="00E037F2">
        <w:rPr>
          <w:rFonts w:cs="Times New Roman"/>
          <w:i w:val="0"/>
        </w:rPr>
        <w:t xml:space="preserve">Email </w:t>
      </w:r>
      <w:proofErr w:type="spellStart"/>
      <w:r w:rsidR="002B1AE3" w:rsidRPr="00E037F2">
        <w:rPr>
          <w:rFonts w:cs="Times New Roman"/>
          <w:i w:val="0"/>
        </w:rPr>
        <w:t>Korespondensi</w:t>
      </w:r>
      <w:proofErr w:type="spellEnd"/>
      <w:r w:rsidR="00801208" w:rsidRPr="00E037F2">
        <w:rPr>
          <w:rFonts w:cs="Times New Roman"/>
          <w:i w:val="0"/>
        </w:rPr>
        <w:t xml:space="preserve">: </w:t>
      </w:r>
      <w:r w:rsidR="007A2CA8" w:rsidRPr="00E037F2">
        <w:rPr>
          <w:rFonts w:cs="Times New Roman"/>
          <w:i w:val="0"/>
          <w:lang w:val="id-ID"/>
        </w:rPr>
        <w:t>lisna@upi.edu</w:t>
      </w:r>
    </w:p>
    <w:p w14:paraId="1A1B91FB" w14:textId="6080B229" w:rsidR="00AB77B5" w:rsidRPr="00E037F2" w:rsidRDefault="00AB77B5" w:rsidP="00801208">
      <w:pPr>
        <w:widowControl w:val="0"/>
        <w:autoSpaceDE w:val="0"/>
        <w:autoSpaceDN w:val="0"/>
        <w:adjustRightInd w:val="0"/>
        <w:spacing w:after="0" w:line="240" w:lineRule="auto"/>
        <w:rPr>
          <w:sz w:val="20"/>
          <w:lang w:val="id-ID"/>
        </w:rPr>
      </w:pPr>
    </w:p>
    <w:p w14:paraId="65F48930" w14:textId="2F22AE2D" w:rsidR="0001669D" w:rsidRPr="00E037F2" w:rsidRDefault="0001669D" w:rsidP="00AB77B5">
      <w:pPr>
        <w:widowControl w:val="0"/>
        <w:autoSpaceDE w:val="0"/>
        <w:autoSpaceDN w:val="0"/>
        <w:adjustRightInd w:val="0"/>
        <w:spacing w:after="0" w:line="240" w:lineRule="auto"/>
        <w:rPr>
          <w:lang w:val="id-ID"/>
        </w:rPr>
      </w:pPr>
    </w:p>
    <w:p w14:paraId="381A439A" w14:textId="1543E15B" w:rsidR="00AB77B5" w:rsidRPr="00E037F2" w:rsidRDefault="00AB77B5" w:rsidP="00153BEA">
      <w:pPr>
        <w:pStyle w:val="Title"/>
      </w:pPr>
      <w:r w:rsidRPr="00E037F2">
        <w:t>ABSTRAK</w:t>
      </w:r>
    </w:p>
    <w:p w14:paraId="37A9F9A5" w14:textId="347E8736" w:rsidR="00AB77B5" w:rsidRPr="00E037F2" w:rsidRDefault="00E037F2" w:rsidP="007A2CA8">
      <w:pPr>
        <w:tabs>
          <w:tab w:val="left" w:pos="1560"/>
          <w:tab w:val="left" w:pos="2694"/>
        </w:tabs>
        <w:ind w:firstLine="0"/>
      </w:pPr>
      <w:bookmarkStart w:id="0" w:name="_Hlk513204766"/>
      <w:r>
        <w:rPr>
          <w:lang w:val="id-ID"/>
        </w:rPr>
        <w:t>Penurunan daya ingat dan k</w:t>
      </w:r>
      <w:r w:rsidR="007A2CA8" w:rsidRPr="00E037F2">
        <w:rPr>
          <w:lang w:val="id-ID"/>
        </w:rPr>
        <w:t>etidakmampuan dalam melakukan aktivitas sehari-hari menjadi salah satu alasan lansia dikirim ke panti wredha.</w:t>
      </w:r>
      <w:r w:rsidR="007A2CA8" w:rsidRPr="00E037F2">
        <w:t xml:space="preserve"> </w:t>
      </w:r>
      <w:proofErr w:type="spellStart"/>
      <w:r w:rsidR="007A2CA8" w:rsidRPr="00E037F2">
        <w:t>Adapun</w:t>
      </w:r>
      <w:proofErr w:type="spellEnd"/>
      <w:r w:rsidR="007A2CA8" w:rsidRPr="00E037F2">
        <w:t xml:space="preserve"> </w:t>
      </w:r>
      <w:proofErr w:type="spellStart"/>
      <w:r w:rsidR="007A2CA8" w:rsidRPr="00E037F2">
        <w:t>tujuan</w:t>
      </w:r>
      <w:proofErr w:type="spellEnd"/>
      <w:r w:rsidR="007A2CA8" w:rsidRPr="00E037F2">
        <w:t xml:space="preserve"> </w:t>
      </w:r>
      <w:proofErr w:type="spellStart"/>
      <w:r w:rsidR="007A2CA8" w:rsidRPr="00E037F2">
        <w:t>penelitian</w:t>
      </w:r>
      <w:proofErr w:type="spellEnd"/>
      <w:r w:rsidR="007A2CA8" w:rsidRPr="00E037F2">
        <w:t xml:space="preserve"> </w:t>
      </w:r>
      <w:proofErr w:type="spellStart"/>
      <w:r w:rsidR="007A2CA8" w:rsidRPr="00E037F2">
        <w:t>ini</w:t>
      </w:r>
      <w:proofErr w:type="spellEnd"/>
      <w:r w:rsidR="007A2CA8" w:rsidRPr="00E037F2">
        <w:t xml:space="preserve"> </w:t>
      </w:r>
      <w:proofErr w:type="spellStart"/>
      <w:r w:rsidR="007A2CA8" w:rsidRPr="00E037F2">
        <w:t>untuk</w:t>
      </w:r>
      <w:proofErr w:type="spellEnd"/>
      <w:r w:rsidR="007A2CA8" w:rsidRPr="00E037F2">
        <w:t xml:space="preserve"> </w:t>
      </w:r>
      <w:r w:rsidR="007A2CA8" w:rsidRPr="00E037F2">
        <w:rPr>
          <w:lang w:val="id-ID"/>
        </w:rPr>
        <w:t xml:space="preserve">mengetahui </w:t>
      </w:r>
      <w:r w:rsidR="003733CD">
        <w:rPr>
          <w:lang w:val="id-ID"/>
        </w:rPr>
        <w:t>hubungan</w:t>
      </w:r>
      <w:r>
        <w:rPr>
          <w:lang w:val="id-ID"/>
        </w:rPr>
        <w:t xml:space="preserve"> sosiodemografi dan demensia</w:t>
      </w:r>
      <w:r w:rsidR="007A2CA8" w:rsidRPr="00E037F2">
        <w:rPr>
          <w:lang w:val="id-ID"/>
        </w:rPr>
        <w:t xml:space="preserve"> </w:t>
      </w:r>
      <w:r w:rsidR="003733CD">
        <w:rPr>
          <w:lang w:val="id-ID"/>
        </w:rPr>
        <w:t>dengan</w:t>
      </w:r>
      <w:r w:rsidR="007A2CA8" w:rsidRPr="00E037F2">
        <w:rPr>
          <w:lang w:val="id-ID"/>
        </w:rPr>
        <w:t xml:space="preserve"> kemandirian lansia dalam memenuhi </w:t>
      </w:r>
      <w:r w:rsidR="003733CD">
        <w:rPr>
          <w:lang w:val="id-ID"/>
        </w:rPr>
        <w:t>aktivitas</w:t>
      </w:r>
      <w:r w:rsidR="007A2CA8" w:rsidRPr="00E037F2">
        <w:rPr>
          <w:lang w:val="id-ID"/>
        </w:rPr>
        <w:t xml:space="preserve"> dasar dan instrumental di panti wredha. </w:t>
      </w:r>
      <w:proofErr w:type="spellStart"/>
      <w:r w:rsidR="007A2CA8" w:rsidRPr="00E037F2">
        <w:t>Desain</w:t>
      </w:r>
      <w:proofErr w:type="spellEnd"/>
      <w:r w:rsidR="007A2CA8" w:rsidRPr="00E037F2">
        <w:rPr>
          <w:lang w:val="id-ID"/>
        </w:rPr>
        <w:t xml:space="preserve"> </w:t>
      </w:r>
      <w:proofErr w:type="spellStart"/>
      <w:r w:rsidR="007A2CA8" w:rsidRPr="00E037F2">
        <w:t>penelitian</w:t>
      </w:r>
      <w:proofErr w:type="spellEnd"/>
      <w:r w:rsidR="007A2CA8" w:rsidRPr="00E037F2">
        <w:rPr>
          <w:lang w:val="id-ID"/>
        </w:rPr>
        <w:t xml:space="preserve"> ini adalah cross sectional</w:t>
      </w:r>
      <w:r w:rsidR="007A2CA8" w:rsidRPr="00E037F2">
        <w:t xml:space="preserve">. </w:t>
      </w:r>
      <w:r w:rsidR="0009610F">
        <w:rPr>
          <w:lang w:val="id-ID"/>
        </w:rPr>
        <w:t>Alat pengumpulan data</w:t>
      </w:r>
      <w:r w:rsidR="007A2CA8" w:rsidRPr="00E037F2">
        <w:rPr>
          <w:lang w:val="id-ID"/>
        </w:rPr>
        <w:t xml:space="preserve"> menggunakan </w:t>
      </w:r>
      <w:r w:rsidR="0009610F">
        <w:rPr>
          <w:lang w:val="id-ID"/>
        </w:rPr>
        <w:t xml:space="preserve">kuisioner </w:t>
      </w:r>
      <w:r w:rsidR="007A2CA8" w:rsidRPr="00E037F2">
        <w:rPr>
          <w:lang w:val="id-ID"/>
        </w:rPr>
        <w:t>BADL (</w:t>
      </w:r>
      <w:r w:rsidR="007A2CA8" w:rsidRPr="00E037F2">
        <w:rPr>
          <w:i/>
          <w:iCs/>
          <w:lang w:val="id-ID"/>
        </w:rPr>
        <w:t>Basic Activities of Daily Living</w:t>
      </w:r>
      <w:r w:rsidR="007A2CA8" w:rsidRPr="00E037F2">
        <w:rPr>
          <w:lang w:val="id-ID"/>
        </w:rPr>
        <w:t>)</w:t>
      </w:r>
      <w:r w:rsidR="00B14ACB">
        <w:rPr>
          <w:lang w:val="id-ID"/>
        </w:rPr>
        <w:t>,</w:t>
      </w:r>
      <w:r w:rsidR="007A2CA8" w:rsidRPr="00E037F2">
        <w:rPr>
          <w:lang w:val="id-ID"/>
        </w:rPr>
        <w:t xml:space="preserve"> IADL (</w:t>
      </w:r>
      <w:r w:rsidR="007A2CA8" w:rsidRPr="00E037F2">
        <w:rPr>
          <w:i/>
          <w:iCs/>
          <w:lang w:val="id-ID"/>
        </w:rPr>
        <w:t>Instrumental Activities of Daily Living</w:t>
      </w:r>
      <w:r w:rsidR="007A2CA8" w:rsidRPr="00E037F2">
        <w:rPr>
          <w:lang w:val="id-ID"/>
        </w:rPr>
        <w:t>) dan MMSE (</w:t>
      </w:r>
      <w:r w:rsidR="007A2CA8" w:rsidRPr="00E037F2">
        <w:rPr>
          <w:i/>
          <w:iCs/>
          <w:lang w:val="id-ID"/>
        </w:rPr>
        <w:t>Mini Mental State Examination</w:t>
      </w:r>
      <w:r w:rsidR="007A2CA8" w:rsidRPr="00E037F2">
        <w:rPr>
          <w:lang w:val="id-ID"/>
        </w:rPr>
        <w:t xml:space="preserve">). </w:t>
      </w:r>
      <w:r w:rsidR="007A2CA8" w:rsidRPr="00E037F2">
        <w:t>S</w:t>
      </w:r>
      <w:r w:rsidR="007A2CA8" w:rsidRPr="00E037F2">
        <w:rPr>
          <w:lang w:val="id-ID"/>
        </w:rPr>
        <w:t>ampel</w:t>
      </w:r>
      <w:r w:rsidR="007A2CA8" w:rsidRPr="00E037F2">
        <w:t xml:space="preserve"> </w:t>
      </w:r>
      <w:r w:rsidR="007A2CA8" w:rsidRPr="00E037F2">
        <w:rPr>
          <w:lang w:val="id-ID"/>
        </w:rPr>
        <w:t>penelitian</w:t>
      </w:r>
      <w:r w:rsidR="007A2CA8" w:rsidRPr="00E037F2">
        <w:t xml:space="preserve"> </w:t>
      </w:r>
      <w:r w:rsidR="007A2CA8" w:rsidRPr="00E037F2">
        <w:rPr>
          <w:lang w:val="id-ID"/>
        </w:rPr>
        <w:t xml:space="preserve">berjumlah 166 lansia berusia &gt; 60 tahun yang tinggal di 3 panti wredha Bandung dan Garut. Analisa data menggunakan uji independent sample t-test. Hasil penelitian </w:t>
      </w:r>
      <w:proofErr w:type="spellStart"/>
      <w:r w:rsidR="007A2CA8" w:rsidRPr="00E037F2">
        <w:t>menunjukkan</w:t>
      </w:r>
      <w:proofErr w:type="spellEnd"/>
      <w:r w:rsidR="007A2CA8" w:rsidRPr="00E037F2">
        <w:t xml:space="preserve"> </w:t>
      </w:r>
      <w:r w:rsidR="007A2CA8" w:rsidRPr="00E037F2">
        <w:rPr>
          <w:lang w:val="id-ID"/>
        </w:rPr>
        <w:t xml:space="preserve">dari 166 lansia dengan rata-rata usia 74,3 ± 8,46 tahun yang mengalami demensia sebanyak 109 orang (65,7%), </w:t>
      </w:r>
      <w:r w:rsidR="007A2CA8" w:rsidRPr="00E037F2">
        <w:rPr>
          <w:bCs/>
          <w:lang w:val="id-ID"/>
        </w:rPr>
        <w:t xml:space="preserve">118 orang (71,1%) adalah wanita, 142 orang (85,5%) berpendidikan rendah, dan 153 orang (92,2%) tidak menikah. </w:t>
      </w:r>
      <w:r w:rsidR="007A2CA8" w:rsidRPr="00E037F2">
        <w:rPr>
          <w:lang w:val="id-ID"/>
        </w:rPr>
        <w:t xml:space="preserve">Analisis menunjukkan terdapat hubungan yang signifikan antara pendidikan, status marital, dan demensia dengan BADL dan IADL pada lansia di panti wredha (p&lt;0,05). </w:t>
      </w:r>
      <w:bookmarkEnd w:id="0"/>
      <w:r w:rsidR="001967AC">
        <w:rPr>
          <w:lang w:val="id-ID"/>
        </w:rPr>
        <w:t>Upaya yang komprehensif perlu dilakukan untuk meningkatkan kemandirian lansia baik yang ada di komunitas maupun di panti wredha.</w:t>
      </w:r>
    </w:p>
    <w:p w14:paraId="0EDAF168" w14:textId="77777777" w:rsidR="00AB77B5" w:rsidRPr="00E037F2" w:rsidRDefault="00AB77B5" w:rsidP="00BA405B">
      <w:pPr>
        <w:widowControl w:val="0"/>
        <w:autoSpaceDE w:val="0"/>
        <w:autoSpaceDN w:val="0"/>
        <w:adjustRightInd w:val="0"/>
        <w:spacing w:after="0" w:line="240" w:lineRule="auto"/>
        <w:ind w:right="590"/>
      </w:pPr>
    </w:p>
    <w:p w14:paraId="1A01FA07" w14:textId="13928819" w:rsidR="007A2CA8" w:rsidRPr="00E037F2" w:rsidRDefault="00AB77B5" w:rsidP="007A2CA8">
      <w:pPr>
        <w:ind w:firstLine="0"/>
      </w:pPr>
      <w:r w:rsidRPr="00E037F2">
        <w:rPr>
          <w:b/>
        </w:rPr>
        <w:t xml:space="preserve">Kata </w:t>
      </w:r>
      <w:proofErr w:type="spellStart"/>
      <w:r w:rsidRPr="00E037F2">
        <w:rPr>
          <w:b/>
        </w:rPr>
        <w:t>kunci</w:t>
      </w:r>
      <w:proofErr w:type="spellEnd"/>
      <w:r w:rsidRPr="00E037F2">
        <w:rPr>
          <w:b/>
        </w:rPr>
        <w:t>:</w:t>
      </w:r>
      <w:r w:rsidRPr="00E037F2">
        <w:t xml:space="preserve"> </w:t>
      </w:r>
      <w:r w:rsidR="00B14ACB">
        <w:rPr>
          <w:lang w:val="id-ID"/>
        </w:rPr>
        <w:t>ADL,</w:t>
      </w:r>
      <w:r w:rsidR="007A2CA8" w:rsidRPr="00E037F2">
        <w:rPr>
          <w:lang w:val="id-ID"/>
        </w:rPr>
        <w:t xml:space="preserve"> lansia, demensia, pendidikan, status marital</w:t>
      </w:r>
    </w:p>
    <w:p w14:paraId="44B10C05" w14:textId="77777777" w:rsidR="00AB77B5" w:rsidRPr="00E037F2" w:rsidRDefault="00AB77B5" w:rsidP="00BA405B">
      <w:pPr>
        <w:widowControl w:val="0"/>
        <w:autoSpaceDE w:val="0"/>
        <w:autoSpaceDN w:val="0"/>
        <w:adjustRightInd w:val="0"/>
        <w:spacing w:after="0" w:line="240" w:lineRule="auto"/>
        <w:rPr>
          <w:lang w:val="id-ID"/>
        </w:rPr>
      </w:pPr>
    </w:p>
    <w:p w14:paraId="682DA82E" w14:textId="77777777" w:rsidR="00AB77B5" w:rsidRPr="00E037F2" w:rsidRDefault="00AB77B5" w:rsidP="00BA405B">
      <w:pPr>
        <w:widowControl w:val="0"/>
        <w:autoSpaceDE w:val="0"/>
        <w:autoSpaceDN w:val="0"/>
        <w:adjustRightInd w:val="0"/>
        <w:spacing w:after="0" w:line="240" w:lineRule="auto"/>
        <w:rPr>
          <w:lang w:val="id-ID"/>
        </w:rPr>
      </w:pPr>
    </w:p>
    <w:p w14:paraId="5726E83E" w14:textId="77777777" w:rsidR="00AB77B5" w:rsidRPr="00E037F2" w:rsidRDefault="00AB77B5" w:rsidP="00153BEA">
      <w:pPr>
        <w:pStyle w:val="Title"/>
        <w:rPr>
          <w:i/>
        </w:rPr>
      </w:pPr>
      <w:r w:rsidRPr="00E037F2">
        <w:rPr>
          <w:i/>
        </w:rPr>
        <w:t>ABSTRACT</w:t>
      </w:r>
    </w:p>
    <w:p w14:paraId="29EC7532" w14:textId="77777777" w:rsidR="00153BEA" w:rsidRPr="00E037F2" w:rsidRDefault="00153BEA" w:rsidP="00BA405B">
      <w:pPr>
        <w:widowControl w:val="0"/>
        <w:autoSpaceDE w:val="0"/>
        <w:autoSpaceDN w:val="0"/>
        <w:adjustRightInd w:val="0"/>
        <w:spacing w:after="0" w:line="240" w:lineRule="auto"/>
        <w:jc w:val="center"/>
        <w:rPr>
          <w:b/>
          <w:bCs/>
          <w:i/>
          <w:iCs/>
          <w:lang w:val="id-ID"/>
        </w:rPr>
      </w:pPr>
    </w:p>
    <w:p w14:paraId="0FBA34ED" w14:textId="4F4B6FEA" w:rsidR="00DA6888" w:rsidRPr="00E037F2" w:rsidRDefault="001967AC" w:rsidP="00DA6888">
      <w:pPr>
        <w:ind w:firstLine="0"/>
        <w:rPr>
          <w:i/>
          <w:szCs w:val="24"/>
        </w:rPr>
      </w:pPr>
      <w:r w:rsidRPr="001967AC">
        <w:rPr>
          <w:i/>
          <w:szCs w:val="24"/>
        </w:rPr>
        <w:t>Dec</w:t>
      </w:r>
      <w:r>
        <w:rPr>
          <w:i/>
          <w:szCs w:val="24"/>
          <w:lang w:val="id-ID"/>
        </w:rPr>
        <w:t>lin</w:t>
      </w:r>
      <w:r w:rsidRPr="001967AC">
        <w:rPr>
          <w:i/>
          <w:szCs w:val="24"/>
        </w:rPr>
        <w:t xml:space="preserve">ed memory </w:t>
      </w:r>
      <w:proofErr w:type="gramStart"/>
      <w:r w:rsidRPr="001967AC">
        <w:rPr>
          <w:i/>
          <w:szCs w:val="24"/>
        </w:rPr>
        <w:t>and  inability</w:t>
      </w:r>
      <w:proofErr w:type="gramEnd"/>
      <w:r w:rsidRPr="001967AC">
        <w:rPr>
          <w:i/>
          <w:szCs w:val="24"/>
        </w:rPr>
        <w:t xml:space="preserve"> to </w:t>
      </w:r>
      <w:r>
        <w:rPr>
          <w:i/>
          <w:szCs w:val="24"/>
          <w:lang w:val="id-ID"/>
        </w:rPr>
        <w:t>doing</w:t>
      </w:r>
      <w:r w:rsidRPr="001967AC">
        <w:rPr>
          <w:i/>
          <w:szCs w:val="24"/>
        </w:rPr>
        <w:t xml:space="preserve"> activities </w:t>
      </w:r>
      <w:r>
        <w:rPr>
          <w:i/>
          <w:szCs w:val="24"/>
          <w:lang w:val="id-ID"/>
        </w:rPr>
        <w:t>of daily living bein</w:t>
      </w:r>
      <w:r w:rsidRPr="001967AC">
        <w:rPr>
          <w:i/>
          <w:szCs w:val="24"/>
        </w:rPr>
        <w:t xml:space="preserve">g the reasons </w:t>
      </w:r>
      <w:r>
        <w:rPr>
          <w:i/>
          <w:szCs w:val="24"/>
          <w:lang w:val="id-ID"/>
        </w:rPr>
        <w:t>for</w:t>
      </w:r>
      <w:r w:rsidRPr="001967AC">
        <w:rPr>
          <w:i/>
          <w:szCs w:val="24"/>
        </w:rPr>
        <w:t xml:space="preserve"> elderly  to</w:t>
      </w:r>
      <w:r>
        <w:rPr>
          <w:i/>
          <w:szCs w:val="24"/>
          <w:lang w:val="id-ID"/>
        </w:rPr>
        <w:t xml:space="preserve"> transfering</w:t>
      </w:r>
      <w:r w:rsidRPr="001967AC">
        <w:rPr>
          <w:i/>
          <w:szCs w:val="24"/>
        </w:rPr>
        <w:t xml:space="preserve"> </w:t>
      </w:r>
      <w:r>
        <w:rPr>
          <w:i/>
          <w:szCs w:val="24"/>
          <w:lang w:val="id-ID"/>
        </w:rPr>
        <w:t xml:space="preserve">to living in the </w:t>
      </w:r>
      <w:r w:rsidRPr="001967AC">
        <w:rPr>
          <w:i/>
          <w:szCs w:val="24"/>
        </w:rPr>
        <w:t xml:space="preserve">nursing homes. The purpose of this study was to determine the relationship of </w:t>
      </w:r>
      <w:proofErr w:type="spellStart"/>
      <w:r w:rsidRPr="001967AC">
        <w:rPr>
          <w:i/>
          <w:szCs w:val="24"/>
        </w:rPr>
        <w:t>sociodemography</w:t>
      </w:r>
      <w:proofErr w:type="spellEnd"/>
      <w:r w:rsidRPr="001967AC">
        <w:rPr>
          <w:i/>
          <w:szCs w:val="24"/>
        </w:rPr>
        <w:t xml:space="preserve"> and dementia with the independence of the elderly in fulfilling basic and instrumental activities in nursing homes. The design of this study was cross sectional. Data collection tools using BADL (Basic Activities of Daily Living)</w:t>
      </w:r>
      <w:r>
        <w:rPr>
          <w:i/>
          <w:szCs w:val="24"/>
          <w:lang w:val="id-ID"/>
        </w:rPr>
        <w:t xml:space="preserve">, </w:t>
      </w:r>
      <w:r w:rsidRPr="001967AC">
        <w:rPr>
          <w:i/>
          <w:szCs w:val="24"/>
        </w:rPr>
        <w:t xml:space="preserve">IADL (Instrumental Activities of Daily Living) and MMSE (Mini Mental State Examination) questionnaires. The research sample of 166 elderly aged&gt; 60 years who live in 3 nursing homes in Bandung and </w:t>
      </w:r>
      <w:proofErr w:type="spellStart"/>
      <w:r w:rsidRPr="001967AC">
        <w:rPr>
          <w:i/>
          <w:szCs w:val="24"/>
        </w:rPr>
        <w:t>Garut</w:t>
      </w:r>
      <w:proofErr w:type="spellEnd"/>
      <w:r w:rsidRPr="001967AC">
        <w:rPr>
          <w:i/>
          <w:szCs w:val="24"/>
        </w:rPr>
        <w:t>. Data analysis uses independent sample t-test. The results showed that of the 166 elderly with an average age of 74.3 ± 8.46 years who experienced dementia as many as 109 people (65.7%), 118 people (71.1%) were women, 142 people (85.5</w:t>
      </w:r>
      <w:proofErr w:type="gramStart"/>
      <w:r w:rsidRPr="001967AC">
        <w:rPr>
          <w:i/>
          <w:szCs w:val="24"/>
        </w:rPr>
        <w:t>% )</w:t>
      </w:r>
      <w:proofErr w:type="gramEnd"/>
      <w:r w:rsidRPr="001967AC">
        <w:rPr>
          <w:i/>
          <w:szCs w:val="24"/>
        </w:rPr>
        <w:t xml:space="preserve"> have low education, and 153 people (92.2%) are not married. Analysis showed that there was a significant relationship between education, marital status, and dementia with BADL and IADL in the elderly in nursing homes (p &lt;0.05). Comprehensive efforts need to improve the independence of the elderly both in the community and in nursing homes.</w:t>
      </w:r>
    </w:p>
    <w:p w14:paraId="4455F1D2" w14:textId="77777777" w:rsidR="00DA6888" w:rsidRPr="00E037F2" w:rsidRDefault="00DA6888" w:rsidP="00DA6888">
      <w:pPr>
        <w:spacing w:after="0" w:line="276" w:lineRule="auto"/>
        <w:ind w:firstLine="0"/>
        <w:rPr>
          <w:b/>
          <w:bCs/>
          <w:i/>
        </w:rPr>
      </w:pPr>
    </w:p>
    <w:p w14:paraId="30879B2C" w14:textId="5EED3EE5" w:rsidR="00B03641" w:rsidRPr="00B14ACB" w:rsidRDefault="00DA6888" w:rsidP="00DA6888">
      <w:pPr>
        <w:spacing w:after="0" w:line="276" w:lineRule="auto"/>
        <w:ind w:firstLine="0"/>
        <w:rPr>
          <w:b/>
          <w:i/>
          <w:iCs/>
          <w:lang w:val="id-ID" w:eastAsia="id-ID"/>
        </w:rPr>
      </w:pPr>
      <w:r w:rsidRPr="00E037F2">
        <w:rPr>
          <w:b/>
          <w:bCs/>
          <w:i/>
        </w:rPr>
        <w:t>Keywords</w:t>
      </w:r>
      <w:r w:rsidRPr="00E037F2">
        <w:rPr>
          <w:b/>
          <w:bCs/>
        </w:rPr>
        <w:t>:</w:t>
      </w:r>
      <w:r w:rsidRPr="00E037F2">
        <w:t xml:space="preserve"> </w:t>
      </w:r>
      <w:r w:rsidR="00B14ACB" w:rsidRPr="00B14ACB">
        <w:rPr>
          <w:i/>
          <w:iCs/>
          <w:lang w:val="id-ID"/>
        </w:rPr>
        <w:t>activities of daily living, elderly, dementia, education, marital status</w:t>
      </w:r>
    </w:p>
    <w:p w14:paraId="7753ED47" w14:textId="77777777" w:rsidR="002B1AE3" w:rsidRPr="00E037F2" w:rsidRDefault="002B1AE3" w:rsidP="00BA405B">
      <w:pPr>
        <w:spacing w:after="0" w:line="276" w:lineRule="auto"/>
        <w:rPr>
          <w:b/>
          <w:lang w:val="id-ID" w:eastAsia="id-ID"/>
        </w:rPr>
      </w:pPr>
    </w:p>
    <w:p w14:paraId="6CA8CD86" w14:textId="77777777" w:rsidR="002B1AE3" w:rsidRPr="00E037F2" w:rsidRDefault="002B1AE3" w:rsidP="00BA405B">
      <w:pPr>
        <w:spacing w:after="0" w:line="276" w:lineRule="auto"/>
        <w:rPr>
          <w:b/>
          <w:lang w:val="id-ID" w:eastAsia="id-ID"/>
        </w:rPr>
      </w:pPr>
    </w:p>
    <w:p w14:paraId="4678E78A" w14:textId="77777777" w:rsidR="00B447BD" w:rsidRPr="00E037F2" w:rsidRDefault="00B447BD" w:rsidP="00BA405B">
      <w:pPr>
        <w:spacing w:after="0" w:line="276" w:lineRule="auto"/>
        <w:rPr>
          <w:b/>
          <w:lang w:val="id-ID" w:eastAsia="id-ID"/>
        </w:rPr>
        <w:sectPr w:rsidR="00B447BD" w:rsidRPr="00E037F2" w:rsidSect="00801208">
          <w:headerReference w:type="even" r:id="rId8"/>
          <w:headerReference w:type="default" r:id="rId9"/>
          <w:footerReference w:type="even" r:id="rId10"/>
          <w:footerReference w:type="default" r:id="rId11"/>
          <w:footerReference w:type="first" r:id="rId12"/>
          <w:type w:val="continuous"/>
          <w:pgSz w:w="11909" w:h="16834" w:code="9"/>
          <w:pgMar w:top="1531" w:right="1418" w:bottom="1531" w:left="1418" w:header="794" w:footer="794" w:gutter="0"/>
          <w:pgNumType w:start="137"/>
          <w:cols w:space="720"/>
          <w:docGrid w:linePitch="360"/>
        </w:sectPr>
      </w:pPr>
    </w:p>
    <w:p w14:paraId="5A0F4AB2" w14:textId="77777777" w:rsidR="00AB77B5" w:rsidRPr="00271AA7" w:rsidRDefault="00AB77B5" w:rsidP="00271AA7">
      <w:pPr>
        <w:pStyle w:val="Title2"/>
        <w:spacing w:before="0"/>
        <w:rPr>
          <w:szCs w:val="22"/>
        </w:rPr>
      </w:pPr>
      <w:r w:rsidRPr="00271AA7">
        <w:rPr>
          <w:szCs w:val="22"/>
        </w:rPr>
        <w:t>PENDAHULUAN</w:t>
      </w:r>
    </w:p>
    <w:p w14:paraId="0841B380" w14:textId="77777777" w:rsidR="00353291" w:rsidRPr="00271AA7" w:rsidRDefault="00353291" w:rsidP="00271AA7">
      <w:pPr>
        <w:spacing w:before="0" w:after="0" w:line="360" w:lineRule="auto"/>
        <w:rPr>
          <w:color w:val="000000"/>
        </w:rPr>
        <w:sectPr w:rsidR="00353291" w:rsidRPr="00271AA7" w:rsidSect="00DA6888">
          <w:type w:val="continuous"/>
          <w:pgSz w:w="11909" w:h="16834" w:code="9"/>
          <w:pgMar w:top="1531" w:right="1418" w:bottom="1531" w:left="1418" w:header="794" w:footer="794" w:gutter="0"/>
          <w:pgNumType w:start="139"/>
          <w:cols w:space="902"/>
          <w:docGrid w:linePitch="360"/>
        </w:sectPr>
      </w:pPr>
    </w:p>
    <w:p w14:paraId="2C2C7458" w14:textId="77777777" w:rsidR="009F2CCF" w:rsidRPr="00271AA7" w:rsidRDefault="009F2CCF" w:rsidP="00271AA7">
      <w:pPr>
        <w:spacing w:before="0" w:after="0" w:line="360" w:lineRule="auto"/>
        <w:ind w:firstLine="426"/>
        <w:rPr>
          <w:lang w:val="id-ID"/>
        </w:rPr>
      </w:pPr>
      <w:r w:rsidRPr="00271AA7">
        <w:rPr>
          <w:lang w:val="id-ID"/>
        </w:rPr>
        <w:t>Saat ini penduduk Indonesia usia lebih dari 65 tahun (usia sudah tidak produktif) berjumlah 17,37 juta jiwa atau sebesar 6,51% dari total populasi dengan a</w:t>
      </w:r>
      <w:proofErr w:type="spellStart"/>
      <w:r w:rsidRPr="00271AA7">
        <w:t>ngka</w:t>
      </w:r>
      <w:proofErr w:type="spellEnd"/>
      <w:r w:rsidRPr="00271AA7">
        <w:t xml:space="preserve"> </w:t>
      </w:r>
      <w:proofErr w:type="spellStart"/>
      <w:r w:rsidRPr="00271AA7">
        <w:t>rasio</w:t>
      </w:r>
      <w:proofErr w:type="spellEnd"/>
      <w:r w:rsidRPr="00271AA7">
        <w:t xml:space="preserve"> </w:t>
      </w:r>
      <w:proofErr w:type="spellStart"/>
      <w:r w:rsidRPr="00271AA7">
        <w:t>ketergantungan</w:t>
      </w:r>
      <w:proofErr w:type="spellEnd"/>
      <w:r w:rsidRPr="00271AA7">
        <w:t xml:space="preserve"> </w:t>
      </w:r>
      <w:proofErr w:type="spellStart"/>
      <w:r w:rsidRPr="00271AA7">
        <w:t>penduduk</w:t>
      </w:r>
      <w:proofErr w:type="spellEnd"/>
      <w:r w:rsidRPr="00271AA7">
        <w:t xml:space="preserve"> </w:t>
      </w:r>
      <w:r w:rsidRPr="00271AA7">
        <w:rPr>
          <w:lang w:val="id-ID"/>
        </w:rPr>
        <w:t xml:space="preserve">Indonesia pada tahun 2019 yaitu 45,56% yang artinya setiap 100 orang usia produktif mempunyai tanggungan 46 orang usia tidak produktif </w:t>
      </w:r>
      <w:r w:rsidRPr="00271AA7">
        <w:rPr>
          <w:lang w:val="id-ID"/>
        </w:rPr>
        <w:fldChar w:fldCharType="begin" w:fldLock="1"/>
      </w:r>
      <w:r w:rsidRPr="00271AA7">
        <w:rPr>
          <w:lang w:val="id-ID"/>
        </w:rPr>
        <w:instrText>ADDIN CSL_CITATION {"citationItems":[{"id":"ITEM-1","itemData":{"abstract":"Berdasarkan survei penduduk antar sensus (Supas) 2015 jumlah penduduk Indonesia pada 2019 diproyeksikan mencapai 266,91 juta jiwa. Menurut jenis kelamin, jumlah tersebut terdiri atas 134 juta jiwa laki-laki dan 132,89 juta jiwa perempuan. Indonesia saat ini sedang menikmati masa bonus demografi di mana jumlah penduduk usia produktif lebih banyak dari usia tidak produktif, yakni lebih dari 68% dari total populasi. Adapun penduduk dengan kelompok umur 0-14 tahun (usia anak-anak) mencapai 66,17 juta jiwa atau sekitar 24,8% dari total populasi. Kemudian penduduk kelompok umur 15-64 tahun (usia produktif) sebanyak 183,36 juta jiwa atau sebesar 68,7% dan kelompok umur lebih dari 65 tahun (usia sudah tidak produktif) berjumlah 17,37 juta jiwa atau sebesar 6,51% dari total populasi. (Baca Databoks: Jumlah Penduduk Indonesia akan Mencapai Puncaknya pada 2062) Rasio ketergantungan (dependency ratio) penduduk Indonesia pada tahun ini mencapai 45,56%. Artinya setiap 100 orang yang berusia produktif (angkatan kerja) mempunyai tanggungan 46 penduduk tidak produktif (usia 0-14 tahun ditambah usia 65 tahun ke atas). Semakin tinggi rasio ketergantungan mengindikasikan semakin berat beban yang harus ditanggung oleh penduduk usia produktif untuk membiayai hidup penduduk tidak produktif","author":[{"dropping-particle":"","family":"Databoks","given":"","non-dropping-particle":"","parse-names":false,"suffix":""}],"container-title":"Dkatadata.co.id","id":"ITEM-1","issued":{"date-parts":[["2019"]]},"title":"Jumlah Penduduk Indonesia 2019 Mencapai 267 Juta Jiwa |","type":"article-journal"},"uris":["http://www.mendeley.com/documents/?uuid=72aff421-342d-46ec-91a1-3ee2034a6df0"]}],"mendeley":{"formattedCitation":"(Databoks, 2019)","plainTextFormattedCitation":"(Databoks, 2019)","previouslyFormattedCitation":"(Databoks, 2019)"},"properties":{"noteIndex":0},"schema":"https://github.com/citation-style-language/schema/raw/master/csl-citation.json"}</w:instrText>
      </w:r>
      <w:r w:rsidRPr="00271AA7">
        <w:rPr>
          <w:lang w:val="id-ID"/>
        </w:rPr>
        <w:fldChar w:fldCharType="separate"/>
      </w:r>
      <w:r w:rsidRPr="00271AA7">
        <w:rPr>
          <w:noProof/>
          <w:lang w:val="id-ID"/>
        </w:rPr>
        <w:t>(Databoks, 2019)</w:t>
      </w:r>
      <w:r w:rsidRPr="00271AA7">
        <w:rPr>
          <w:lang w:val="id-ID"/>
        </w:rPr>
        <w:fldChar w:fldCharType="end"/>
      </w:r>
      <w:r w:rsidRPr="00271AA7">
        <w:rPr>
          <w:lang w:val="id-ID"/>
        </w:rPr>
        <w:t xml:space="preserve">. Meningkatnya jumlah lansia memberikan dampak positif maupun negatif. Positif karena menunjukkan keberhasilan pembangunan kesehatan, namun di sisi lain akan menjadi beban pemerintah karena biaya pelayanan kesehatan semakin meningkat, menurunnya penghasilan, dan meningkatnya disabilitas </w:t>
      </w:r>
      <w:r w:rsidRPr="00271AA7">
        <w:rPr>
          <w:lang w:val="id-ID"/>
        </w:rPr>
        <w:fldChar w:fldCharType="begin" w:fldLock="1"/>
      </w:r>
      <w:r w:rsidRPr="00271AA7">
        <w:rPr>
          <w:lang w:val="id-ID"/>
        </w:rPr>
        <w:instrText>ADDIN CSL_CITATION {"citationItems":[{"id":"ITEM-1","itemData":{"abstract":"Besarnya jumlah penduduk lansia di Indonesia di masa depan membawa dampak positif maupun negatif. Berdampak positif, apabila penduduk lansia berada dalam keadaan sehat, aktif dan produktif. Disisi lain, besarnya jumlah penduduk lansia menjadi beban jika lansia memiliki masalah penurunan kesehatan yang berakibat pada peningkatan biaya pelayanan kesehatan, penurunan pendapatan/penghasilan, peningkatan disabilitas, tidak adanya dukungan sosial dan lingkungan yang tidak ramah terhadap penduduk lansia. Menurut Peraturan Pemerintah Republik Indonesia Nomor 43 Tahun 2004, lanjut usia adalah seseorang yang telah mencapai usia 60 (enam puluh) tahun ke atas. Komposisi penduduk tua bertambah dengan pesat baik di negara maju maupun negara berkembang, hal ini disebabkan oleh penurunan angka fertilitas (kelahiran) dan mortalitas (kematian), serta peningkatan angka harapan hidup (life expectancy), yang mengubah struktur penduduk secara keseluruhan. Proses terjadinya penuaan penduduk dipengaruhi oleh beberapa faktor, misalnya: peningkatan gizi, sanitasi, pelayanan kesehatan, hingga kemajuan tingkat pendidikan dan sosial ekonomi yang semakin baik. Secara global populasi lansia diprediksi terus mengalami peningkatan seper tampak pada gambar di bawah. Dari gambar juga menunjukkan bahwa baik secara global, Asia dan Indonesia dari tahun 2015 sudah memasuki era penduduk menua (ageing population) karena jumlah penduduknya yang berusia 60 tahun ke atas (penduduk lansia) melebihi angka 7 persen.","author":[{"dropping-particle":"","family":"Kemenkes RI","given":"","non-dropping-particle":"","parse-names":false,"suffix":""}],"container-title":"Pusat data dan informasi Kementerian Kesehatan RI","id":"ITEM-1","issued":{"date-parts":[["2017"]]},"title":"Analisis Lansia di Indonesia","type":"article-journal"},"uris":["http://www.mendeley.com/documents/?uuid=9d26e257-cb36-48a8-b250-89a284ad12f2"]}],"mendeley":{"formattedCitation":"(Kemenkes RI, 2017)","plainTextFormattedCitation":"(Kemenkes RI, 2017)","previouslyFormattedCitation":"(Kemenkes RI, 2017)"},"properties":{"noteIndex":0},"schema":"https://github.com/citation-style-language/schema/raw/master/csl-citation.json"}</w:instrText>
      </w:r>
      <w:r w:rsidRPr="00271AA7">
        <w:rPr>
          <w:lang w:val="id-ID"/>
        </w:rPr>
        <w:fldChar w:fldCharType="separate"/>
      </w:r>
      <w:r w:rsidRPr="00271AA7">
        <w:rPr>
          <w:noProof/>
          <w:lang w:val="id-ID"/>
        </w:rPr>
        <w:t>(Kemenkes RI, 2017)</w:t>
      </w:r>
      <w:r w:rsidRPr="00271AA7">
        <w:rPr>
          <w:lang w:val="id-ID"/>
        </w:rPr>
        <w:fldChar w:fldCharType="end"/>
      </w:r>
      <w:r w:rsidRPr="00271AA7">
        <w:rPr>
          <w:lang w:val="id-ID"/>
        </w:rPr>
        <w:t xml:space="preserve">. Secara Global, Asia, dan Indonesia dari tahun 2015 demografi penduduk sudah memasuki era penduduk menua karena usia lansia lebih dari 60 tahun sudah di atas 7% </w:t>
      </w:r>
      <w:r w:rsidRPr="00271AA7">
        <w:rPr>
          <w:lang w:val="id-ID"/>
        </w:rPr>
        <w:fldChar w:fldCharType="begin" w:fldLock="1"/>
      </w:r>
      <w:r w:rsidRPr="00271AA7">
        <w:rPr>
          <w:lang w:val="id-ID"/>
        </w:rPr>
        <w:instrText>ADDIN CSL_CITATION {"citationItems":[{"id":"ITEM-1","itemData":{"abstract":"Besarnya jumlah penduduk lansia di Indonesia di masa depan membawa dampak positif maupun negatif. Berdampak positif, apabila penduduk lansia berada dalam keadaan sehat, aktif dan produktif. Disisi lain, besarnya jumlah penduduk lansia menjadi beban jika lansia memiliki masalah penurunan kesehatan yang berakibat pada peningkatan biaya pelayanan kesehatan, penurunan pendapatan/penghasilan, peningkatan disabilitas, tidak adanya dukungan sosial dan lingkungan yang tidak ramah terhadap penduduk lansia. Menurut Peraturan Pemerintah Republik Indonesia Nomor 43 Tahun 2004, lanjut usia adalah seseorang yang telah mencapai usia 60 (enam puluh) tahun ke atas. Komposisi penduduk tua bertambah dengan pesat baik di negara maju maupun negara berkembang, hal ini disebabkan oleh penurunan angka fertilitas (kelahiran) dan mortalitas (kematian), serta peningkatan angka harapan hidup (life expectancy), yang mengubah struktur penduduk secara keseluruhan. Proses terjadinya penuaan penduduk dipengaruhi oleh beberapa faktor, misalnya: peningkatan gizi, sanitasi, pelayanan kesehatan, hingga kemajuan tingkat pendidikan dan sosial ekonomi yang semakin baik. Secara global populasi lansia diprediksi terus mengalami peningkatan seper tampak pada gambar di bawah. Dari gambar juga menunjukkan bahwa baik secara global, Asia dan Indonesia dari tahun 2015 sudah memasuki era penduduk menua (ageing population) karena jumlah penduduknya yang berusia 60 tahun ke atas (penduduk lansia) melebihi angka 7 persen.","author":[{"dropping-particle":"","family":"Kemenkes RI","given":"","non-dropping-particle":"","parse-names":false,"suffix":""}],"container-title":"Pusat data dan informasi Kementerian Kesehatan RI","id":"ITEM-1","issued":{"date-parts":[["2017"]]},"title":"Analisis Lansia di Indonesia","type":"article-journal"},"uris":["http://www.mendeley.com/documents/?uuid=9d26e257-cb36-48a8-b250-89a284ad12f2"]}],"mendeley":{"formattedCitation":"(Kemenkes RI, 2017)","plainTextFormattedCitation":"(Kemenkes RI, 2017)","previouslyFormattedCitation":"(Kemenkes RI, 2017)"},"properties":{"noteIndex":0},"schema":"https://github.com/citation-style-language/schema/raw/master/csl-citation.json"}</w:instrText>
      </w:r>
      <w:r w:rsidRPr="00271AA7">
        <w:rPr>
          <w:lang w:val="id-ID"/>
        </w:rPr>
        <w:fldChar w:fldCharType="separate"/>
      </w:r>
      <w:r w:rsidRPr="00271AA7">
        <w:rPr>
          <w:noProof/>
          <w:lang w:val="id-ID"/>
        </w:rPr>
        <w:t>(Kemenkes RI, 2017)</w:t>
      </w:r>
      <w:r w:rsidRPr="00271AA7">
        <w:rPr>
          <w:lang w:val="id-ID"/>
        </w:rPr>
        <w:fldChar w:fldCharType="end"/>
      </w:r>
      <w:r w:rsidRPr="00271AA7">
        <w:rPr>
          <w:lang w:val="id-ID"/>
        </w:rPr>
        <w:t>.</w:t>
      </w:r>
    </w:p>
    <w:p w14:paraId="586EEA53" w14:textId="3DF89C1E" w:rsidR="009F2CCF" w:rsidRPr="00271AA7" w:rsidRDefault="009F2CCF" w:rsidP="00271AA7">
      <w:pPr>
        <w:spacing w:before="0" w:after="0" w:line="360" w:lineRule="auto"/>
        <w:rPr>
          <w:lang w:val="id-ID"/>
        </w:rPr>
      </w:pPr>
      <w:r w:rsidRPr="00271AA7">
        <w:rPr>
          <w:lang w:val="id-ID"/>
        </w:rPr>
        <w:lastRenderedPageBreak/>
        <w:t xml:space="preserve">Kemandirian adalah perilaku lansia terhadap diri sendiri dan lingkungan yang berkaitan dengan kemampuan melakukan aktivitas kesehatan, ekonomi, dan sosial </w:t>
      </w:r>
      <w:r w:rsidRPr="00271AA7">
        <w:rPr>
          <w:lang w:val="id-ID"/>
        </w:rPr>
        <w:fldChar w:fldCharType="begin" w:fldLock="1"/>
      </w:r>
      <w:r w:rsidRPr="00271AA7">
        <w:rPr>
          <w:lang w:val="id-ID"/>
        </w:rPr>
        <w:instrText>ADDIN CSL_CITATION {"citationItems":[{"id":"ITEM-1","itemData":{"DOI":"10.1017/CBO9781107415324.004","ISBN":"9788578110796","ISSN":"1098-6596","PMID":"25246403","abstract":"Kemandirian lansia merupakan perilaku yang dilihat dari perlakuan lanjut usia terhadap diri sendiri dan lingkungan yang berkaitan dengan kemampuannya melakukan aktivitas kesehatan, aktivitas ekonomi, dan aktivitas sosial. Penelitian bertujuan mengetahui faktor-faktor yang mempengaruhi kemandirian lansia di PSTW Provinsi Gorontalo. Desain penelitian observasional dengan pendekatan Cross Sectional. Populasi dalam penelitian berjumlah 47 responden dan sampel berjumah 40 responden dengan teknik Purposive Sampling. Untuk analisisnya menggunakan uji chi-square test dengan derajat kemaknaan α = 0,05. Hasil penelitian menunjukkan terdapat pengaruh signifikan dari usia (p value = 0,000), kondisi kesehatan (p value = 0,000), kondisi sosial (p value = 0,005), dan kondisi ekonomi (p value = 0,010) terhadap kemandirian lansia (p &lt; 0,05 ; α = 0,05). Disimpulkan bahwa terdapat pengaruh usia, kondisi kesehatan, kondisi sosial, dan kondisi ekonomi terhadap kemandirian lansia di PSTW Provinsi Gorontalo. Diharapkan lansia dan masyarakat dapat meningkatkan kemandiriannya dengan memperhatikan faktor-faktor yang mempengaruhi kemandirian lansia yaitu usia, kondisi kesehatan, kondisi sosial, dan kondisi ekonomi.","author":[{"dropping-particle":"","family":"Ismail","given":"Sri Oktavianti","non-dropping-particle":"","parse-names":false,"suffix":""}],"container-title":"Fakultas Ilmu-Ilmu Kesehatan","id":"ITEM-1","issued":{"date-parts":[["2015"]]},"title":"Faktor-faktor yang Mempengaruhi Kemandirian Lansia","type":"article-journal"},"uris":["http://www.mendeley.com/documents/?uuid=0db7b2c4-102b-4e1f-81f3-ad97f0336d67"]}],"mendeley":{"formattedCitation":"(Ismail, 2015)","plainTextFormattedCitation":"(Ismail, 2015)","previouslyFormattedCitation":"(Ismail, 2015)"},"properties":{"noteIndex":0},"schema":"https://github.com/citation-style-language/schema/raw/master/csl-citation.json"}</w:instrText>
      </w:r>
      <w:r w:rsidRPr="00271AA7">
        <w:rPr>
          <w:lang w:val="id-ID"/>
        </w:rPr>
        <w:fldChar w:fldCharType="separate"/>
      </w:r>
      <w:r w:rsidRPr="00271AA7">
        <w:rPr>
          <w:noProof/>
          <w:lang w:val="id-ID"/>
        </w:rPr>
        <w:t>(Ismail, 2015)</w:t>
      </w:r>
      <w:r w:rsidRPr="00271AA7">
        <w:rPr>
          <w:lang w:val="id-ID"/>
        </w:rPr>
        <w:fldChar w:fldCharType="end"/>
      </w:r>
      <w:r w:rsidRPr="00271AA7">
        <w:rPr>
          <w:lang w:val="id-ID"/>
        </w:rPr>
        <w:t xml:space="preserve">. Pada lansia yang mengalami penurunan kognitif seperti demensia seringkali tidak dapat melakukan aktivitas sehari-hari baik dasar maupun instrumental. Aktivitas dasar </w:t>
      </w:r>
      <w:r w:rsidR="00E037F2" w:rsidRPr="00271AA7">
        <w:rPr>
          <w:lang w:val="id-ID"/>
        </w:rPr>
        <w:t xml:space="preserve">(BADL) </w:t>
      </w:r>
      <w:r w:rsidRPr="00271AA7">
        <w:rPr>
          <w:lang w:val="id-ID"/>
        </w:rPr>
        <w:t>yaitu melakukan kegiatan sehari-hari seperti mandi, makan, eliminasi BAB/BAK, berpindah tempat/berjalan, ke WC/toilet, dan menggunakan pakaian sendiri</w:t>
      </w:r>
      <w:r w:rsidR="00E037F2" w:rsidRPr="00271AA7">
        <w:rPr>
          <w:lang w:val="id-ID"/>
        </w:rPr>
        <w:t>,</w:t>
      </w:r>
      <w:r w:rsidRPr="00271AA7">
        <w:rPr>
          <w:lang w:val="id-ID"/>
        </w:rPr>
        <w:t xml:space="preserve"> sedangkan aktivitas instrumental </w:t>
      </w:r>
      <w:r w:rsidR="00E037F2" w:rsidRPr="00271AA7">
        <w:rPr>
          <w:lang w:val="id-ID"/>
        </w:rPr>
        <w:t xml:space="preserve">(IADL) </w:t>
      </w:r>
      <w:r w:rsidRPr="00271AA7">
        <w:rPr>
          <w:lang w:val="id-ID"/>
        </w:rPr>
        <w:t xml:space="preserve">yaitu kemampuan melakukan kegiatan sehari-hari seperti menggunakan telepon, berbelanja, menyiapkan makanan, mengatur rumah, mencuci, menggunakan transportasi, menyiapkan dan minum obat, dan mengatur keuangan </w:t>
      </w:r>
      <w:r w:rsidRPr="00271AA7">
        <w:rPr>
          <w:lang w:val="id-ID"/>
        </w:rPr>
        <w:fldChar w:fldCharType="begin" w:fldLock="1"/>
      </w:r>
      <w:r w:rsidRPr="00271AA7">
        <w:rPr>
          <w:lang w:val="id-ID"/>
        </w:rPr>
        <w:instrText>ADDIN CSL_CITATION {"citationItems":[{"id":"ITEM-1","itemData":{"DOI":"10.1097/01.NAJ.0000314810.46029.74","ISSN":"0002936X","abstract":"By detecting early functional decline, the scale can help nurses with discharge planning. OVERVIEW: Acute illness or a worsening chronic condition can hasten functional decline in older adults. During hospitalization, reduced mobility and other factors may rapidly decrease an older patient1/4s ability to perform activities crucial for independent living, and the effects might be permanent. The Lawton Instrumental Activities of Daily Living (IADL) Scale assesses a person1/4s ability to perform tasks such as using a telephone, doing laundry, and handling finances. Measuring eight domains, it can be administered in 10 to 15 minutes. The scale may provide an early warning of functional decline or signal the need for further assessment. For a free online video demonstrating use of this assessment, go to http://links.lww.com/A246.","author":[{"dropping-particle":"","family":"Graf","given":"Carla","non-dropping-particle":"","parse-names":false,"suffix":""}],"container-title":"American Journal of Nursing","id":"ITEM-1","issued":{"date-parts":[["2008"]]},"title":"The lawton instrumental activities of daily living scale","type":"article-journal"},"uris":["http://www.mendeley.com/documents/?uuid=13945a35-b67b-4de8-afaf-5cfa064802a7"]}],"mendeley":{"formattedCitation":"(Graf, 2008)","plainTextFormattedCitation":"(Graf, 2008)","previouslyFormattedCitation":"(Graf, 2008)"},"properties":{"noteIndex":0},"schema":"https://github.com/citation-style-language/schema/raw/master/csl-citation.json"}</w:instrText>
      </w:r>
      <w:r w:rsidRPr="00271AA7">
        <w:rPr>
          <w:lang w:val="id-ID"/>
        </w:rPr>
        <w:fldChar w:fldCharType="separate"/>
      </w:r>
      <w:r w:rsidRPr="00271AA7">
        <w:rPr>
          <w:noProof/>
          <w:lang w:val="id-ID"/>
        </w:rPr>
        <w:t>(Graf, 2008)</w:t>
      </w:r>
      <w:r w:rsidRPr="00271AA7">
        <w:rPr>
          <w:lang w:val="id-ID"/>
        </w:rPr>
        <w:fldChar w:fldCharType="end"/>
      </w:r>
      <w:r w:rsidRPr="00271AA7">
        <w:rPr>
          <w:lang w:val="id-ID"/>
        </w:rPr>
        <w:t xml:space="preserve">. Hasil penelitian pada 315 lansia berusia &gt;75 tahun di panti wredha di Vic, Barcelona, dan Spanyol menunjukkan faktor yang mempengaruhi IADL yaitu usia, penurunan fungsi kognitif, menurunnya penglihatan dan pendengaran, dan keterbatasan fungsional kaki </w:t>
      </w:r>
      <w:r w:rsidRPr="00271AA7">
        <w:rPr>
          <w:lang w:val="id-ID"/>
        </w:rPr>
        <w:fldChar w:fldCharType="begin" w:fldLock="1"/>
      </w:r>
      <w:r w:rsidRPr="00271AA7">
        <w:rPr>
          <w:lang w:val="id-ID"/>
        </w:rPr>
        <w:instrText>ADDIN CSL_CITATION {"citationItems":[{"id":"ITEM-1","itemData":{"DOI":"10.1016/j.gaceta.2011.09.035","ISSN":"1578-1283","abstract":"OBJECTIVES: To identify the factors associated with functional status in a population aged ≥ 75 years without severe dependence.\\n\\nMETHODS: A cross-sectional study of a random sample (n = 315) of elderly persons in a primary care setting (El Remei Primary Care Center, Vic, Barcelona, Spain) was carried out. Functional status was evaluated by three physical performance tests: the Guralnik chair stand test of lower limb function, Lawton-Brody's index of instrumental activities of daily living (IADL), and the Barthel index of basic activities of daily living (BADL). A backward multiple linear regression model was used to analyze the association of sociodemographic and clinical variables with functional status.\\n\\nRESULTS: The mean age was 81.9 years and 60.6% were female. Around 50% of elderly patients without total dependence showed disability for IADL and a third showed lower limb functional limitation. The variables associated with lower limb functional status were marital status, body mass index, number of drugs, and vision and hearing impairment (R(2) = 0.208). The variables associated with IADL were age, cognitive impairment, vision and hearing impairment, and lower limb functional limitation (R(2) = 0.434). The variables associated with the Barthel index were age, sex, poor self-perceived health, and lower limb functional limitation (R(2) = 0.389).\\n\\nCONCLUSIONS: The risk factors associated with functional status in our population ≥ 75 years of age without severe dependence were the number of drugs and sensory impairment.","author":[{"dropping-particle":"","family":"Arnau","given":"Anna","non-dropping-particle":"","parse-names":false,"suffix":""},{"dropping-particle":"","family":"Ferrer","given":"Montserrat","non-dropping-particle":"","parse-names":false,"suffix":""},{"dropping-particle":"","family":"Espaulella","given":"Joan","non-dropping-particle":"","parse-names":false,"suffix":""},{"dropping-particle":"","family":"Serrarols","given":"Marta","non-dropping-particle":"","parse-names":false,"suffix":""},{"dropping-particle":"","family":"Canudas","given":"Judit","non-dropping-particle":"","parse-names":false,"suffix":""},{"dropping-particle":"","family":"Formiga","given":"Francesc","non-dropping-particle":"","parse-names":false,"suffix":""}],"container-title":"Gaceta Sanitaria","id":"ITEM-1","issued":{"date-parts":[["2012"]]},"title":"Factors associated with functional status in a population aged ≥75 years without total dependence","type":"article-journal"},"uris":["http://www.mendeley.com/documents/?uuid=cfa6520c-0f98-4476-b626-8f407cf3ba3d"]}],"mendeley":{"formattedCitation":"(Arnau et al., 2012)","plainTextFormattedCitation":"(Arnau et al., 2012)","previouslyFormattedCitation":"(Arnau et al., 2012)"},"properties":{"noteIndex":0},"schema":"https://github.com/citation-style-language/schema/raw/master/csl-citation.json"}</w:instrText>
      </w:r>
      <w:r w:rsidRPr="00271AA7">
        <w:rPr>
          <w:lang w:val="id-ID"/>
        </w:rPr>
        <w:fldChar w:fldCharType="separate"/>
      </w:r>
      <w:r w:rsidRPr="00271AA7">
        <w:rPr>
          <w:noProof/>
          <w:lang w:val="id-ID"/>
        </w:rPr>
        <w:t>(Arnau et al., 2012)</w:t>
      </w:r>
      <w:r w:rsidRPr="00271AA7">
        <w:rPr>
          <w:lang w:val="id-ID"/>
        </w:rPr>
        <w:fldChar w:fldCharType="end"/>
      </w:r>
      <w:r w:rsidRPr="00271AA7">
        <w:rPr>
          <w:lang w:val="id-ID"/>
        </w:rPr>
        <w:t xml:space="preserve">. Dari literature riview pada 35 studi menunjukkan pasien MCI dengan defisit IADL memiliki risiko tinggi menjadi demensia dibandingkan dengan pasien MCI tanpa defisit IADL </w:t>
      </w:r>
      <w:r w:rsidRPr="00271AA7">
        <w:rPr>
          <w:lang w:val="id-ID"/>
        </w:rPr>
        <w:fldChar w:fldCharType="begin" w:fldLock="1"/>
      </w:r>
      <w:r w:rsidRPr="00271AA7">
        <w:rPr>
          <w:lang w:val="id-ID"/>
        </w:rPr>
        <w:instrText>ADDIN CSL_CITATION {"citationItems":[{"id":"ITEM-1","itemData":{"DOI":"10.1186/s13195-015-0099-0","ISSN":"17589193","abstract":"Introduction: There is a growing body of evidence that subtle deficits in instrumental activities of daily living (IADL) may be present in mild cognitive impairment (MCI). However, it is not clear if there are IADL domains that are consistently affected across patients with MCI. In this systematic review, therefore, we aimed to summarize research results regarding the performance of MCI patients in specific IADL (sub)domains compared with persons who are cognitively normal and/or patients with dementia. Methods: The databases PsycINFO, PubMed and Web of Science were searched for relevant literature in December 2013. Publications from 1999 onward were considered for inclusion. Altogether, 497 articles were retrieved. Reference lists of selected articles were searched for potentially relevant articles. After screening the abstracts of these 497 articles, 37 articles were included in this review. Results: In 35 studies, IADL deficits (such as problems with medication intake, telephone use, keeping appointments, finding things at home and using everyday technology) were documented in patients with MCI. Financial capacity in patients with MCI was affected in the majority of studies. Effect sizes for group differences between patients with MCI and healthy controls were predominantly moderate to large. Performance-based instruments showed slight advantages (in terms of effect sizes) in detecting group differences in IADL functioning between patients with MCI, patients with Alzheimer's disease and healthy controls. Conclusion: IADL requiring higher neuropsychological functioning seem to be most severely affected in patients with MCI. A reliable identification of such deficits is necessary, as patients with MCI with IADL deficits seem to have a higher risk of converting to dementia than patients with MCI without IADL deficits. The use of assessment tools specifically designed and validated for patients with MCI is therefore strongly recommended. Furthermore, the development of performance-based assessment instruments should be intensified, as they allow a valid and reliable assessment of subtle IADL deficits in MCI, even if a proxy is not available. Another important point to consider when designing new scales is the inclusion of technology-associated IADL. Novel instruments for clinical practice should be time-efficient and easy to administer.","author":[{"dropping-particle":"","family":"Jekel","given":"Katrin","non-dropping-particle":"","parse-names":false,"suffix":""},{"dropping-particle":"","family":"Damian","given":"Marinella","non-dropping-particle":"","parse-names":false,"suffix":""},{"dropping-particle":"","family":"Wattmo","given":"Carina","non-dropping-particle":"","parse-names":false,"suffix":""},{"dropping-particle":"","family":"Hausner","given":"Lucrezia","non-dropping-particle":"","parse-names":false,"suffix":""},{"dropping-particle":"","family":"Bullock","given":"Roger","non-dropping-particle":"","parse-names":false,"suffix":""},{"dropping-particle":"","family":"Connelly","given":"Peter J.","non-dropping-particle":"","parse-names":false,"suffix":""},{"dropping-particle":"","family":"Dubois","given":"Bruno","non-dropping-particle":"","parse-names":false,"suffix":""},{"dropping-particle":"","family":"Eriksdotter","given":"Maria","non-dropping-particle":"","parse-names":false,"suffix":""},{"dropping-particle":"","family":"Ewers","given":"Michael","non-dropping-particle":"","parse-names":false,"suffix":""},{"dropping-particle":"","family":"Graessel","given":"Elmar","non-dropping-particle":"","parse-names":false,"suffix":""},{"dropping-particle":"","family":"Kramberger","given":"Milica G.","non-dropping-particle":"","parse-names":false,"suffix":""},{"dropping-particle":"","family":"Law","given":"Emma","non-dropping-particle":"","parse-names":false,"suffix":""},{"dropping-particle":"","family":"Mecocci","given":"Patrizia","non-dropping-particle":"","parse-names":false,"suffix":""},{"dropping-particle":"","family":"Molinuevo","given":"José L.","non-dropping-particle":"","parse-names":false,"suffix":""},{"dropping-particle":"","family":"Nygård","given":"Louise","non-dropping-particle":"","parse-names":false,"suffix":""},{"dropping-particle":"","family":"Olde-Rikkert","given":"Marcel Gm","non-dropping-particle":"","parse-names":false,"suffix":""},{"dropping-particle":"","family":"Orgogozo","given":"Jean Marc","non-dropping-particle":"","parse-names":false,"suffix":""},{"dropping-particle":"","family":"Pasquier","given":"Florence","non-dropping-particle":"","parse-names":false,"suffix":""},{"dropping-particle":"","family":"Peres","given":"Karine","non-dropping-particle":"","parse-names":false,"suffix":""},{"dropping-particle":"","family":"Salmon","given":"Eric","non-dropping-particle":"","parse-names":false,"suffix":""},{"dropping-particle":"","family":"Sikkes","given":"Sietske Am","non-dropping-particle":"","parse-names":false,"suffix":""},{"dropping-particle":"","family":"Sobow","given":"Tomasz","non-dropping-particle":"","parse-names":false,"suffix":""},{"dropping-particle":"","family":"Spiegel","given":"René","non-dropping-particle":"","parse-names":false,"suffix":""},{"dropping-particle":"","family":"Tsolaki","given":"Magda","non-dropping-particle":"","parse-names":false,"suffix":""},{"dropping-particle":"","family":"Winblad","given":"Bengt","non-dropping-particle":"","parse-names":false,"suffix":""},{"dropping-particle":"","family":"Frölich","given":"Lutz","non-dropping-particle":"","parse-names":false,"suffix":""}],"container-title":"Alzheimer's Research and Therapy","id":"ITEM-1","issued":{"date-parts":[["2015"]]},"title":"Mild cognitive impairment and deficits in instrumental activities of daily living: A systematic review","type":"article-journal"},"uris":["http://www.mendeley.com/documents/?uuid=867b754d-b201-4043-bd86-6be7fa88f2ba"]}],"mendeley":{"formattedCitation":"(Jekel et al., 2015)","plainTextFormattedCitation":"(Jekel et al., 2015)","previouslyFormattedCitation":"(Jekel et al., 2015)"},"properties":{"noteIndex":0},"schema":"https://github.com/citation-style-language/schema/raw/master/csl-citation.json"}</w:instrText>
      </w:r>
      <w:r w:rsidRPr="00271AA7">
        <w:rPr>
          <w:lang w:val="id-ID"/>
        </w:rPr>
        <w:fldChar w:fldCharType="separate"/>
      </w:r>
      <w:r w:rsidRPr="00271AA7">
        <w:rPr>
          <w:noProof/>
          <w:lang w:val="id-ID"/>
        </w:rPr>
        <w:t>(Jekel et al., 2015)</w:t>
      </w:r>
      <w:r w:rsidRPr="00271AA7">
        <w:rPr>
          <w:lang w:val="id-ID"/>
        </w:rPr>
        <w:fldChar w:fldCharType="end"/>
      </w:r>
      <w:r w:rsidRPr="00271AA7">
        <w:rPr>
          <w:lang w:val="id-ID"/>
        </w:rPr>
        <w:t>.</w:t>
      </w:r>
    </w:p>
    <w:p w14:paraId="1F2F3CFF" w14:textId="48CA746C" w:rsidR="009F2CCF" w:rsidRPr="00271AA7" w:rsidRDefault="009F2CCF" w:rsidP="00271AA7">
      <w:pPr>
        <w:spacing w:before="0" w:after="0" w:line="360" w:lineRule="auto"/>
      </w:pPr>
      <w:r w:rsidRPr="00271AA7">
        <w:rPr>
          <w:lang w:val="id-ID"/>
        </w:rPr>
        <w:t xml:space="preserve">Demensia </w:t>
      </w:r>
      <w:r w:rsidR="00E037F2" w:rsidRPr="00271AA7">
        <w:rPr>
          <w:lang w:val="id-ID"/>
        </w:rPr>
        <w:t>secara global menjadi masalah</w:t>
      </w:r>
      <w:r w:rsidRPr="00271AA7">
        <w:rPr>
          <w:lang w:val="id-ID"/>
        </w:rPr>
        <w:t xml:space="preserve"> kesehatan dan perawatan sosial abad 21 yang mempengaruhi individu, keluarga, dan teman karena terjadi peningkatan ketergantungan dan perubahan perilaku </w:t>
      </w:r>
      <w:r w:rsidRPr="00271AA7">
        <w:rPr>
          <w:lang w:val="id-ID"/>
        </w:rPr>
        <w:fldChar w:fldCharType="begin" w:fldLock="1"/>
      </w:r>
      <w:r w:rsidR="00980244" w:rsidRPr="00271AA7">
        <w:rPr>
          <w:lang w:val="id-ID"/>
        </w:rPr>
        <w:instrText>ADDIN CSL_CITATION {"citationItems":[{"id":"ITEM-1","itemData":{"DOI":"10.1016/S0140-6736(17)31363-6","ISSN":"1474547X","PMID":"28735855","abstract":"Executive summary Acting now on dementia prevention, intervention, and care will vastly improve living and dying for individuals with dementia and their families, and in doing so, will transform the future for society. Dementia is the greatest global challenge for health and social care in the 21st century. It occurs mainly in people older than 65 years, so increases in numbers and costs are driven, worldwide, by increased longevity resulting from the welcome reduction in people dying prematurely. The Lancet Commission on Dementia Prevention, Intervention, and Care met to consolidate the huge strides that have been made and the emerging knowledge as to what we should do to prevent and manage dementia. Globally, about 47 million people were living with dementia in 2015, and this number is projected to triple by 2050. Dementia affects the individuals with the condition, who gradually lose their abilities, as well as their relatives and other supporters, who have to cope with seeing a family member or friend become ill and decline, while responding to their needs, such as increasing dependency and changes in behaviour. Additionally, it affects the wider society because people with dementia also require health and social care. The 2015 global cost of dementia was estimated to be US$818 billion, and this figure will continue to increase as the number of people with dementia rises. Nearly 85% of costs are related to family and social, rather than medical, care. It might be that new medical care in the future, including public health measures, could replace and possibly reduce some of this cost. Dementia is by no means an inevitable consequence of reaching retirement age, or even of entering the ninth Key messages 1 The number of people with dementia is increasing globally Although incidence in some countries has decreased. 2 Be ambitious about prevention We recommend active treatment of hypertension in middle aged (45-65 years) and older people (aged older than 65 years) without dementia to reduce dementia incidence. Interventions for other risk factors including more childhood education, exercise, maintaining social engagement, reducing smoking, and management of hearing loss, depression, diabetes, and obesity might have the potential to delay or prevent a third of dementia cases. 3 Treat cognitive symptoms To maximise cognition, people with Alzheimer's disease or dementia with Lewy bodies should be offered cholinesterase inhibitors at all stages, or memanti…","author":[{"dropping-particle":"","family":"Livingston","given":"Gill","non-dropping-particle":"","parse-names":false,"suffix":""},{"dropping-particle":"","family":"Sommerlad","given":"Andrew","non-dropping-particle":"","parse-names":false,"suffix":""},{"dropping-particle":"","family":"Orgeta","given":"Vasiliki","non-dropping-particle":"","parse-names":false,"suffix":""},{"dropping-particle":"","family":"Costafreda","given":"Sergi G.","non-dropping-particle":"","parse-names":false,"suffix":""},{"dropping-particle":"","family":"Huntley","given":"Jonathan","non-dropping-particle":"","parse-names":false,"suffix":""},{"dropping-particle":"","family":"Ames","given":"David","non-dropping-particle":"","parse-names":false,"suffix":""},{"dropping-particle":"","family":"Ballard","given":"Clive","non-dropping-particle":"","parse-names":false,"suffix":""},{"dropping-particle":"","family":"Banerjee","given":"Sube","non-dropping-particle":"","parse-names":false,"suffix":""},{"dropping-particle":"","family":"Burns","given":"Alistair","non-dropping-particle":"","parse-names":false,"suffix":""},{"dropping-particle":"","family":"Cohen-Mansfield","given":"Jiska","non-dropping-particle":"","parse-names":false,"suffix":""},{"dropping-particle":"","family":"Cooper","given":"Claudia","non-dropping-particle":"","parse-names":false,"suffix":""},{"dropping-particle":"","family":"Fox","given":"Nick","non-dropping-particle":"","parse-names":false,"suffix":""},{"dropping-particle":"","family":"Gitlin","given":"Laura N.","non-dropping-particle":"","parse-names":false,"suffix":""},{"dropping-particle":"","family":"Howard","given":"Robert","non-dropping-particle":"","parse-names":false,"suffix":""},{"dropping-particle":"","family":"Kales","given":"Helen C.","non-dropping-particle":"","parse-names":false,"suffix":""},{"dropping-particle":"","family":"Larson","given":"Eric B.","non-dropping-particle":"","parse-names":false,"suffix":""},{"dropping-particle":"","family":"Ritchie","given":"Karen","non-dropping-particle":"","parse-names":false,"suffix":""},{"dropping-particle":"","family":"Rockwood","given":"Kenneth","non-dropping-particle":"","parse-names":false,"suffix":""},{"dropping-particle":"","family":"Sampson","given":"Elizabeth L.","non-dropping-particle":"","parse-names":false,"suffix":""},{"dropping-particle":"","family":"Samus","given":"Quincy","non-dropping-particle":"","parse-names":false,"suffix":""},{"dropping-particle":"","family":"Schneider","given":"Lon S.","non-dropping-particle":"","parse-names":false,"suffix":""},{"dropping-particle":"","family":"Selbæk","given":"Geir","non-dropping-particle":"","parse-names":false,"suffix":""},{"dropping-particle":"","family":"Teri","given":"Linda","non-dropping-particle":"","parse-names":false,"suffix":""},{"dropping-particle":"","family":"Mukadam","given":"Naaheed","non-dropping-particle":"","parse-names":false,"suffix":""}],"container-title":"The Lancet","id":"ITEM-1","issued":{"date-parts":[["2017"]]},"title":"Dementia prevention, intervention, and care","type":"article"},"uris":["http://www.mendeley.com/documents/?uuid=9408ca61-e671-4952-adc5-aaef095e9903"]}],"mendeley":{"formattedCitation":"(Livingston et al., 2017)","plainTextFormattedCitation":"(Livingston et al., 2017)","previouslyFormattedCitation":"(Livingston et al., 2017)"},"properties":{"noteIndex":0},"schema":"https://github.com/citation-style-language/schema/raw/master/csl-citation.json"}</w:instrText>
      </w:r>
      <w:r w:rsidRPr="00271AA7">
        <w:rPr>
          <w:lang w:val="id-ID"/>
        </w:rPr>
        <w:fldChar w:fldCharType="separate"/>
      </w:r>
      <w:r w:rsidRPr="00271AA7">
        <w:rPr>
          <w:noProof/>
          <w:lang w:val="id-ID"/>
        </w:rPr>
        <w:t>(Livingston et al., 2017)</w:t>
      </w:r>
      <w:r w:rsidRPr="00271AA7">
        <w:rPr>
          <w:lang w:val="id-ID"/>
        </w:rPr>
        <w:fldChar w:fldCharType="end"/>
      </w:r>
      <w:r w:rsidRPr="00271AA7">
        <w:rPr>
          <w:lang w:val="id-ID"/>
        </w:rPr>
        <w:t xml:space="preserve">. Hasil penelitian pada 157 lansia di Puskesmas Wates Lampung Tengah menunjukkan faktor yang berhubungan dengan kemandirian lansia dalam melakukan aktivitas sehari-hari yaitu kondisi kesehatan, sosial, dan dukungan keluarga </w:t>
      </w:r>
      <w:r w:rsidRPr="00271AA7">
        <w:rPr>
          <w:lang w:val="id-ID"/>
        </w:rPr>
        <w:fldChar w:fldCharType="begin" w:fldLock="1"/>
      </w:r>
      <w:r w:rsidRPr="00271AA7">
        <w:rPr>
          <w:lang w:val="id-ID"/>
        </w:rPr>
        <w:instrText>ADDIN CSL_CITATION {"citationItems":[{"id":"ITEM-1","itemData":{"DOI":"10.26630/JKEP.V12I1.355","ISSN":"2655-2310","abstract":"Jumlah lansia yang berada di wilayah Puskesmas Wates Kabupaten Lampung Tengah sebesar 2.647 jiwa terdiri dari kemandirian A berjumlah 1.035 jiwa, kemandirian B berjumlah 1.584 dan  kemandirian C berjumlah 28 jiwa. Hal ini di karena faktor kondisi kesehatan, kondisi sosial, dukungan keluarga dan kondisi ekonomi lansia yang mempengaruhi kemandirian lansia. Tujuan penelitian ini adalah untuk mengetahui hubungan faktor kondisi kesehatan, kondisi sosial, dukungan keluarga dan kondisi ekonomi dengan kemandirian lansia dalam melakukan aktivitas sehari-hari di Puskesmas Wates Lampung Tengah.Jenis penelitian adalah kuantitatif. Desain penelitian dengan pendekatan cross sectional. Sampel dalam penelitian ini adalah semua lansia yang berjumlah 157 lansia. Pengumpulan data dengan menggunakan kuisioner dan dianalisa dengan menggunakan uji  chi-square . Hasil penelitian menunjukkan ada hubungan yang bermakna antara kondisi kesehatan, kondisi sosial dan dukungan keluarga dengan kemandirian lansia sedangkan kondisi ekonomi tidak ada hubungan kemandirian lansia. Analisa peneliti dapat menyimpulkan ada bahwa faktor kesehatan, sosial, dan dukungan keluarga mempengaruhi kemandirian lansia. Saran bagi instansi kesehatan agar meningkatkan program penyuluhan pada masyarakat tentang lansia guna membantu meningkatkan angka harapan hidup pada lansia.","author":[{"dropping-particle":"","family":"Kodri","given":"Kodri","non-dropping-particle":"","parse-names":false,"suffix":""},{"dropping-particle":"","family":"Rahmayati","given":"El","non-dropping-particle":"","parse-names":false,"suffix":""}],"container-title":"Jurnal Ilmiah Keperawatan Sai Betik","id":"ITEM-1","issued":{"date-parts":[["2017"]]},"title":"FAKTOR YANG BERHUBUNGAN DENGAN KEMANDIRIAN LANSIA DALAM MELAKUKAN AKTIVITAS SEHARI-HARI","type":"article-journal"},"uris":["http://www.mendeley.com/documents/?uuid=04126960-2b32-4a1b-bbf9-c44cf8bf2455"]}],"mendeley":{"formattedCitation":"(Kodri &amp; Rahmayati, 2017)","plainTextFormattedCitation":"(Kodri &amp; Rahmayati, 2017)","previouslyFormattedCitation":"(Kodri &amp; Rahmayati, 2017)"},"properties":{"noteIndex":0},"schema":"https://github.com/citation-style-language/schema/raw/master/csl-citation.json"}</w:instrText>
      </w:r>
      <w:r w:rsidRPr="00271AA7">
        <w:rPr>
          <w:lang w:val="id-ID"/>
        </w:rPr>
        <w:fldChar w:fldCharType="separate"/>
      </w:r>
      <w:r w:rsidRPr="00271AA7">
        <w:rPr>
          <w:noProof/>
          <w:lang w:val="id-ID"/>
        </w:rPr>
        <w:t>(Kodri &amp; Rahmayati, 2017)</w:t>
      </w:r>
      <w:r w:rsidRPr="00271AA7">
        <w:rPr>
          <w:lang w:val="id-ID"/>
        </w:rPr>
        <w:fldChar w:fldCharType="end"/>
      </w:r>
      <w:r w:rsidRPr="00271AA7">
        <w:rPr>
          <w:lang w:val="id-ID"/>
        </w:rPr>
        <w:t xml:space="preserve">. Hasil penelitian pada 40 lansia di PSTW Provinsi Gorontalo menunjukkan faktor-faktor yang mempengaruhi kemandirian lansia meliputi usia, kondisi kesehatan, sosial, dan ekonomi </w:t>
      </w:r>
      <w:r w:rsidRPr="00271AA7">
        <w:rPr>
          <w:lang w:val="id-ID"/>
        </w:rPr>
        <w:fldChar w:fldCharType="begin" w:fldLock="1"/>
      </w:r>
      <w:r w:rsidRPr="00271AA7">
        <w:rPr>
          <w:lang w:val="id-ID"/>
        </w:rPr>
        <w:instrText>ADDIN CSL_CITATION {"citationItems":[{"id":"ITEM-1","itemData":{"DOI":"10.1017/CBO9781107415324.004","ISBN":"9788578110796","ISSN":"1098-6596","PMID":"25246403","abstract":"Kemandirian lansia merupakan perilaku yang dilihat dari perlakuan lanjut usia terhadap diri sendiri dan lingkungan yang berkaitan dengan kemampuannya melakukan aktivitas kesehatan, aktivitas ekonomi, dan aktivitas sosial. Penelitian bertujuan mengetahui faktor-faktor yang mempengaruhi kemandirian lansia di PSTW Provinsi Gorontalo. Desain penelitian observasional dengan pendekatan Cross Sectional. Populasi dalam penelitian berjumlah 47 responden dan sampel berjumah 40 responden dengan teknik Purposive Sampling. Untuk analisisnya menggunakan uji chi-square test dengan derajat kemaknaan α = 0,05. Hasil penelitian menunjukkan terdapat pengaruh signifikan dari usia (p value = 0,000), kondisi kesehatan (p value = 0,000), kondisi sosial (p value = 0,005), dan kondisi ekonomi (p value = 0,010) terhadap kemandirian lansia (p &lt; 0,05 ; α = 0,05). Disimpulkan bahwa terdapat pengaruh usia, kondisi kesehatan, kondisi sosial, dan kondisi ekonomi terhadap kemandirian lansia di PSTW Provinsi Gorontalo. Diharapkan lansia dan masyarakat dapat meningkatkan kemandiriannya dengan memperhatikan faktor-faktor yang mempengaruhi kemandirian lansia yaitu usia, kondisi kesehatan, kondisi sosial, dan kondisi ekonomi.","author":[{"dropping-particle":"","family":"Ismail","given":"Sri Oktavianti","non-dropping-particle":"","parse-names":false,"suffix":""}],"container-title":"Fakultas Ilmu-Ilmu Kesehatan","id":"ITEM-1","issued":{"date-parts":[["2015"]]},"title":"Faktor-faktor yang Mempengaruhi Kemandirian Lansia","type":"article-journal"},"uris":["http://www.mendeley.com/documents/?uuid=0db7b2c4-102b-4e1f-81f3-ad97f0336d67"]}],"mendeley":{"formattedCitation":"(Ismail, 2015)","plainTextFormattedCitation":"(Ismail, 2015)","previouslyFormattedCitation":"(Ismail, 2015)"},"properties":{"noteIndex":0},"schema":"https://github.com/citation-style-language/schema/raw/master/csl-citation.json"}</w:instrText>
      </w:r>
      <w:r w:rsidRPr="00271AA7">
        <w:rPr>
          <w:lang w:val="id-ID"/>
        </w:rPr>
        <w:fldChar w:fldCharType="separate"/>
      </w:r>
      <w:r w:rsidRPr="00271AA7">
        <w:rPr>
          <w:noProof/>
          <w:lang w:val="id-ID"/>
        </w:rPr>
        <w:t>(Ismail, 2015)</w:t>
      </w:r>
      <w:r w:rsidRPr="00271AA7">
        <w:rPr>
          <w:lang w:val="id-ID"/>
        </w:rPr>
        <w:fldChar w:fldCharType="end"/>
      </w:r>
      <w:r w:rsidRPr="00271AA7">
        <w:rPr>
          <w:lang w:val="id-ID"/>
        </w:rPr>
        <w:t xml:space="preserve">. Hasil penelitian pada 90 lansia di Puskesmas Lampasi Payakumbuh menunjukkan faktor-faktor yang mempengaruhi kemandirian lansia yaitu kondisi kesehatan, kehidupan beragama, kondisi ekonomi, dan dukungan keluarga </w:t>
      </w:r>
      <w:r w:rsidRPr="00271AA7">
        <w:rPr>
          <w:lang w:val="id-ID"/>
        </w:rPr>
        <w:fldChar w:fldCharType="begin" w:fldLock="1"/>
      </w:r>
      <w:r w:rsidRPr="00271AA7">
        <w:rPr>
          <w:lang w:val="id-ID"/>
        </w:rPr>
        <w:instrText>ADDIN CSL_CITATION {"citationItems":[{"id":"ITEM-1","itemData":{"DOI":"10.24893/JKMA.6.2.86-94.2012","ISSN":"2442-6725","abstract":"Meningkatnyajumlah lanjut usia akan menimbulkan berbagai permasalahan yang komplek bagi lanjut usia, bagi keluarga dan masyarakat. Secara alami proses penuaan mengakibatkan perubahan fisik dan mental, yang mempengaruhi kondisi ekonomi dan sosialnya. Perubahan ini sangat berpengaruh terhadap kemandirian lansia dalam melakukan aktivitas hidup sehari-hari. Tujuan penelitian ini adalah untuk mengetahui faktor-faktor yang berhubungan dengan kemandirian lansia. Penelitian ini merupakan penelitian deskriptif analitik dengan rancangan crossectional study dengan jumlah sampel 90 orang lanjut usia di wilayah kerja puskesmas Lampasi. Multistage random sampling digunakan untuk pengambilan sampel penelitian. Analisis data dilakukan secara univariat dan bivariat menggunakanuji chi square, dengan tingkat kepercayaan 95%. Hasilpenelitian didapatkan lanjut usia yang mandiri sebesar 87,8%, berusia 70 tahun keatas 52%, berjenis kelamin perempuan 56,7%, berpendidikan rendah 7 1,1%, memilikikondisi kesehatan sehat 86,7%, kehidupan beragama baik 76,7%, kondisi ekonomi tidak mampu 53,3%, tidak aktif dalam beraktifitas sosial 66,7%, mendapat dukungan keluarga 77,8% dan tidak melakukan olah raga 58,9%. Hasil uji statistik diperoleh kondisi kesehatan (p=0,000), kehidupan beragama (p=0,003), kondisi ekonomi (p=0,019) dan dukungan keluarga (p=0,000) berhubungan secara bermakna dengan kemandirian lansia. Sedangkan usia, jenis kelamin, pendidikan, aktifitas sosial dan olah raga tidak berhubungan secara bermakna dengan kemandirian lansia. Disarankan kepada lansia untuk dapat hidup mandiri, menjaga kondisi kesehatan fisik dan mental dengan selalu memeriksakan kesehatan ke puskesmas, melaksanakan senam lansia, dan melaksanakan ibadah secara rutin dan teratur serta meningkatkan perekonomian.","author":[{"dropping-particle":"","family":"Jumita","given":"Rina","non-dropping-particle":"","parse-names":false,"suffix":""},{"dropping-particle":"","family":"Azrimaidaliza","given":"Azrimaidaliza","non-dropping-particle":"","parse-names":false,"suffix":""},{"dropping-particle":"","family":"Machmud","given":"Rizanda","non-dropping-particle":"","parse-names":false,"suffix":""}],"container-title":"Jurnal Kesehatan Masyarakat Andalas","id":"ITEM-1","issued":{"date-parts":[["2012"]]},"title":"KEMANDIRIAN LANSIA DIWILAYAH KERJA PUSKESMAS LAMPASI KOTA PAYAKUMBUH","type":"article-journal"},"uris":["http://www.mendeley.com/documents/?uuid=e1bd806d-8f45-4b2a-8b5f-1f32921b853d"]}],"mendeley":{"formattedCitation":"(Jumita, Azrimaidaliza, &amp; Machmud, 2012)","plainTextFormattedCitation":"(Jumita, Azrimaidaliza, &amp; Machmud, 2012)","previouslyFormattedCitation":"(Jumita, Azrimaidaliza, &amp; Machmud, 2012)"},"properties":{"noteIndex":0},"schema":"https://github.com/citation-style-language/schema/raw/master/csl-citation.json"}</w:instrText>
      </w:r>
      <w:r w:rsidRPr="00271AA7">
        <w:rPr>
          <w:lang w:val="id-ID"/>
        </w:rPr>
        <w:fldChar w:fldCharType="separate"/>
      </w:r>
      <w:r w:rsidRPr="00271AA7">
        <w:rPr>
          <w:noProof/>
          <w:lang w:val="id-ID"/>
        </w:rPr>
        <w:t>(Jumita, Azrimaidaliza, &amp; Machmud, 2012)</w:t>
      </w:r>
      <w:r w:rsidRPr="00271AA7">
        <w:rPr>
          <w:lang w:val="id-ID"/>
        </w:rPr>
        <w:fldChar w:fldCharType="end"/>
      </w:r>
      <w:r w:rsidRPr="00271AA7">
        <w:rPr>
          <w:lang w:val="id-ID"/>
        </w:rPr>
        <w:t xml:space="preserve">. Adapun tujuan dari penelitian ini untuk mengetahui </w:t>
      </w:r>
      <w:r w:rsidR="003733CD" w:rsidRPr="00271AA7">
        <w:rPr>
          <w:lang w:val="id-ID"/>
        </w:rPr>
        <w:t>hubungan sosiodemografi dan demensia</w:t>
      </w:r>
      <w:r w:rsidRPr="00271AA7">
        <w:rPr>
          <w:lang w:val="id-ID"/>
        </w:rPr>
        <w:t xml:space="preserve"> </w:t>
      </w:r>
      <w:r w:rsidR="003733CD" w:rsidRPr="00271AA7">
        <w:rPr>
          <w:lang w:val="id-ID"/>
        </w:rPr>
        <w:t>dengan</w:t>
      </w:r>
      <w:r w:rsidRPr="00271AA7">
        <w:rPr>
          <w:lang w:val="id-ID"/>
        </w:rPr>
        <w:t xml:space="preserve"> kemandirian lansia dalam memenuhi </w:t>
      </w:r>
      <w:r w:rsidR="003733CD" w:rsidRPr="00271AA7">
        <w:rPr>
          <w:lang w:val="id-ID"/>
        </w:rPr>
        <w:t>aktivitas</w:t>
      </w:r>
      <w:r w:rsidRPr="00271AA7">
        <w:rPr>
          <w:lang w:val="id-ID"/>
        </w:rPr>
        <w:t xml:space="preserve"> dasar dan instrumental di panti wredha</w:t>
      </w:r>
    </w:p>
    <w:p w14:paraId="7243BAE8" w14:textId="77777777" w:rsidR="009F2CCF" w:rsidRPr="00271AA7" w:rsidRDefault="009F2CCF" w:rsidP="00271AA7">
      <w:pPr>
        <w:spacing w:before="0" w:after="0" w:line="360" w:lineRule="auto"/>
        <w:rPr>
          <w:bCs/>
          <w:lang w:val="id-ID"/>
        </w:rPr>
      </w:pPr>
    </w:p>
    <w:p w14:paraId="2B663FEF" w14:textId="77777777" w:rsidR="009F2CCF" w:rsidRPr="00271AA7" w:rsidRDefault="009F2CCF" w:rsidP="00271AA7">
      <w:pPr>
        <w:spacing w:before="0" w:after="0" w:line="360" w:lineRule="auto"/>
        <w:ind w:firstLine="0"/>
        <w:rPr>
          <w:b/>
          <w:bCs/>
          <w:lang w:val="id-ID"/>
        </w:rPr>
      </w:pPr>
      <w:r w:rsidRPr="00271AA7">
        <w:rPr>
          <w:b/>
          <w:bCs/>
          <w:lang w:val="id-ID"/>
        </w:rPr>
        <w:t>METODE</w:t>
      </w:r>
    </w:p>
    <w:p w14:paraId="0CAF6BCD" w14:textId="12839B70" w:rsidR="009F2CCF" w:rsidRPr="00271AA7" w:rsidRDefault="009F2CCF" w:rsidP="00271AA7">
      <w:pPr>
        <w:tabs>
          <w:tab w:val="left" w:pos="720"/>
          <w:tab w:val="left" w:pos="1440"/>
          <w:tab w:val="left" w:pos="2670"/>
        </w:tabs>
        <w:spacing w:before="0" w:after="0" w:line="360" w:lineRule="auto"/>
        <w:rPr>
          <w:lang w:val="id-ID"/>
        </w:rPr>
      </w:pPr>
      <w:r w:rsidRPr="00271AA7">
        <w:rPr>
          <w:lang w:val="id-ID"/>
        </w:rPr>
        <w:t xml:space="preserve">Penelitian ini menggunakan studi </w:t>
      </w:r>
      <w:r w:rsidRPr="00271AA7">
        <w:rPr>
          <w:i/>
          <w:iCs/>
          <w:lang w:val="id-ID"/>
        </w:rPr>
        <w:t>cross-sectional</w:t>
      </w:r>
      <w:r w:rsidRPr="00271AA7">
        <w:rPr>
          <w:lang w:val="id-ID"/>
        </w:rPr>
        <w:t xml:space="preserve"> pada bulan Januari-Maret 2019 di tiga panti wredha yaitu PSTW Budi Pertiwi Bandung, PSTW Senjarawi Bandung, dan Panti Rehabilitasi Lansia Garut. </w:t>
      </w:r>
      <w:proofErr w:type="spellStart"/>
      <w:r w:rsidRPr="00271AA7">
        <w:t>Subjek</w:t>
      </w:r>
      <w:proofErr w:type="spellEnd"/>
      <w:r w:rsidRPr="00271AA7">
        <w:t xml:space="preserve"> yang </w:t>
      </w:r>
      <w:proofErr w:type="spellStart"/>
      <w:r w:rsidRPr="00271AA7">
        <w:t>diikutsertakan</w:t>
      </w:r>
      <w:proofErr w:type="spellEnd"/>
      <w:r w:rsidRPr="00271AA7">
        <w:t xml:space="preserve"> </w:t>
      </w:r>
      <w:proofErr w:type="spellStart"/>
      <w:r w:rsidRPr="00271AA7">
        <w:t>dalam</w:t>
      </w:r>
      <w:proofErr w:type="spellEnd"/>
      <w:r w:rsidRPr="00271AA7">
        <w:t xml:space="preserve"> </w:t>
      </w:r>
      <w:proofErr w:type="spellStart"/>
      <w:r w:rsidRPr="00271AA7">
        <w:t>penelitian</w:t>
      </w:r>
      <w:proofErr w:type="spellEnd"/>
      <w:r w:rsidRPr="00271AA7">
        <w:t xml:space="preserve"> </w:t>
      </w:r>
      <w:proofErr w:type="spellStart"/>
      <w:r w:rsidRPr="00271AA7">
        <w:t>ini</w:t>
      </w:r>
      <w:proofErr w:type="spellEnd"/>
      <w:r w:rsidRPr="00271AA7">
        <w:t xml:space="preserve"> </w:t>
      </w:r>
      <w:proofErr w:type="spellStart"/>
      <w:r w:rsidRPr="00271AA7">
        <w:t>adalah</w:t>
      </w:r>
      <w:proofErr w:type="spellEnd"/>
      <w:r w:rsidRPr="00271AA7">
        <w:t xml:space="preserve"> </w:t>
      </w:r>
      <w:proofErr w:type="spellStart"/>
      <w:r w:rsidRPr="00271AA7">
        <w:t>subjek</w:t>
      </w:r>
      <w:proofErr w:type="spellEnd"/>
      <w:r w:rsidRPr="00271AA7">
        <w:t xml:space="preserve"> yang </w:t>
      </w:r>
      <w:proofErr w:type="spellStart"/>
      <w:r w:rsidRPr="00271AA7">
        <w:t>telah</w:t>
      </w:r>
      <w:proofErr w:type="spellEnd"/>
      <w:r w:rsidRPr="00271AA7">
        <w:t xml:space="preserve"> </w:t>
      </w:r>
      <w:proofErr w:type="spellStart"/>
      <w:r w:rsidRPr="00271AA7">
        <w:t>memenuhi</w:t>
      </w:r>
      <w:proofErr w:type="spellEnd"/>
      <w:r w:rsidRPr="00271AA7">
        <w:t xml:space="preserve"> </w:t>
      </w:r>
      <w:proofErr w:type="spellStart"/>
      <w:r w:rsidRPr="00271AA7">
        <w:t>kriteria</w:t>
      </w:r>
      <w:proofErr w:type="spellEnd"/>
      <w:r w:rsidRPr="00271AA7">
        <w:t xml:space="preserve"> </w:t>
      </w:r>
      <w:bookmarkStart w:id="1" w:name="_Hlk519076326"/>
      <w:proofErr w:type="spellStart"/>
      <w:r w:rsidRPr="00271AA7">
        <w:t>berusia</w:t>
      </w:r>
      <w:proofErr w:type="spellEnd"/>
      <w:r w:rsidRPr="00271AA7">
        <w:t xml:space="preserve"> </w:t>
      </w:r>
      <w:r w:rsidRPr="00271AA7">
        <w:rPr>
          <w:lang w:val="id-ID"/>
        </w:rPr>
        <w:t>&gt;</w:t>
      </w:r>
      <w:r w:rsidRPr="00271AA7">
        <w:t xml:space="preserve"> 60 </w:t>
      </w:r>
      <w:proofErr w:type="spellStart"/>
      <w:r w:rsidRPr="00271AA7">
        <w:t>tahun</w:t>
      </w:r>
      <w:proofErr w:type="spellEnd"/>
      <w:r w:rsidRPr="00271AA7">
        <w:rPr>
          <w:lang w:val="id-ID"/>
        </w:rPr>
        <w:t xml:space="preserve"> dan bersedia menjadi responden. </w:t>
      </w:r>
      <w:bookmarkStart w:id="2" w:name="_Hlk511830435"/>
      <w:bookmarkStart w:id="3" w:name="_Hlk519076490"/>
      <w:bookmarkEnd w:id="1"/>
      <w:r w:rsidRPr="00271AA7">
        <w:rPr>
          <w:lang w:val="id-ID"/>
        </w:rPr>
        <w:t>Dari 176 lansia yang ada di panti yang memenuhi kriteria sebanyak 166 orang karena pada saat di tes menolak/tidak kooperatif, tidak nyambung, usia kurang dari 60 tahun, dan tidak ada di tempat. Penelitian ini sudah mendapat persetujuan dari Komisi Etik Penelitian Universitas Padjadjaran (No.1266/UN6.KEP/EC/2018) d</w:t>
      </w:r>
      <w:r w:rsidR="003733CD" w:rsidRPr="00271AA7">
        <w:rPr>
          <w:lang w:val="id-ID"/>
        </w:rPr>
        <w:t>engan menggunakan prinsip etik dalam Deklarasi Helsinski dengan</w:t>
      </w:r>
      <w:r w:rsidRPr="00271AA7">
        <w:rPr>
          <w:lang w:val="id-ID"/>
        </w:rPr>
        <w:t xml:space="preserve"> meminta informed consent terlebih dahulu pada lansia dan </w:t>
      </w:r>
      <w:r w:rsidR="003733CD" w:rsidRPr="00271AA7">
        <w:rPr>
          <w:lang w:val="id-ID"/>
        </w:rPr>
        <w:t xml:space="preserve">atau </w:t>
      </w:r>
      <w:r w:rsidRPr="00271AA7">
        <w:rPr>
          <w:lang w:val="id-ID"/>
        </w:rPr>
        <w:t>wali yaitu petugas panti yang bertanggung jawab pada lansia tersebut.</w:t>
      </w:r>
    </w:p>
    <w:p w14:paraId="63EA19B3" w14:textId="61A880D8" w:rsidR="009F2CCF" w:rsidRPr="00271AA7" w:rsidRDefault="009F2CCF" w:rsidP="00271AA7">
      <w:pPr>
        <w:tabs>
          <w:tab w:val="left" w:pos="720"/>
          <w:tab w:val="left" w:pos="1440"/>
          <w:tab w:val="left" w:pos="2670"/>
        </w:tabs>
        <w:spacing w:before="0" w:after="0" w:line="360" w:lineRule="auto"/>
      </w:pPr>
      <w:r w:rsidRPr="00271AA7">
        <w:rPr>
          <w:lang w:val="id-ID"/>
        </w:rPr>
        <w:t xml:space="preserve">Alat pengumpul data yang digunakan berupa kuisioner yang memuat beberapa pertanyaan mengenai identitas responden seperti nama, usia, jenis kelamin, pendidikan, </w:t>
      </w:r>
      <w:r w:rsidR="003733CD" w:rsidRPr="00271AA7">
        <w:rPr>
          <w:lang w:val="id-ID"/>
        </w:rPr>
        <w:t xml:space="preserve">dan </w:t>
      </w:r>
      <w:r w:rsidRPr="00271AA7">
        <w:rPr>
          <w:lang w:val="id-ID"/>
        </w:rPr>
        <w:t>status marital</w:t>
      </w:r>
      <w:r w:rsidR="003733CD" w:rsidRPr="00271AA7">
        <w:rPr>
          <w:lang w:val="id-ID"/>
        </w:rPr>
        <w:t>.</w:t>
      </w:r>
      <w:r w:rsidRPr="00271AA7">
        <w:rPr>
          <w:lang w:val="id-ID"/>
        </w:rPr>
        <w:t xml:space="preserve"> Pemeriksaan demensia menggunakan MMSE (Mini Mental State Examination) yang berisi 30 pertanyaan mengenai orientasi waktu, orientasi tempat, memori, bahasa, registrasi, dan perhatian dengan nilai MMSE &lt;24</w:t>
      </w:r>
      <w:r w:rsidR="003733CD" w:rsidRPr="00271AA7">
        <w:rPr>
          <w:lang w:val="id-ID"/>
        </w:rPr>
        <w:t xml:space="preserve"> untuk penentuan demensia</w:t>
      </w:r>
      <w:r w:rsidRPr="00271AA7">
        <w:rPr>
          <w:lang w:val="id-ID"/>
        </w:rPr>
        <w:t xml:space="preserve"> </w:t>
      </w:r>
      <w:r w:rsidRPr="00271AA7">
        <w:rPr>
          <w:lang w:val="id-ID"/>
        </w:rPr>
        <w:fldChar w:fldCharType="begin" w:fldLock="1"/>
      </w:r>
      <w:r w:rsidRPr="00271AA7">
        <w:rPr>
          <w:lang w:val="id-ID"/>
        </w:rPr>
        <w:instrText>ADDIN CSL_CITATION {"citationItems":[{"id":"ITEM-1","itemData":{"author":[{"dropping-particle":"","family":"Perdossi","given":"","non-dropping-particle":"","parse-names":false,"suffix":""}],"id":"ITEM-1","issued":{"date-parts":[["2015"]]},"publisher-place":"Jakarta Pusat","title":"Panduan Praktik Klinik Diagnosis dan Penatalaksanaan Demensia","type":"book"},"uris":["http://www.mendeley.com/documents/?uuid=0437c62e-18ce-4fa2-a65c-c6fd9f68e2e3"]}],"mendeley":{"formattedCitation":"(Perdossi, 2015)","plainTextFormattedCitation":"(Perdossi, 2015)","previouslyFormattedCitation":"(Perdossi, 2015)"},"properties":{"noteIndex":0},"schema":"https://github.com/citation-style-language/schema/raw/master/csl-citation.json"}</w:instrText>
      </w:r>
      <w:r w:rsidRPr="00271AA7">
        <w:rPr>
          <w:lang w:val="id-ID"/>
        </w:rPr>
        <w:fldChar w:fldCharType="separate"/>
      </w:r>
      <w:r w:rsidRPr="00271AA7">
        <w:rPr>
          <w:noProof/>
          <w:lang w:val="id-ID"/>
        </w:rPr>
        <w:t>(Perdossi, 2015)</w:t>
      </w:r>
      <w:r w:rsidRPr="00271AA7">
        <w:rPr>
          <w:lang w:val="id-ID"/>
        </w:rPr>
        <w:fldChar w:fldCharType="end"/>
      </w:r>
      <w:r w:rsidRPr="00271AA7">
        <w:rPr>
          <w:lang w:val="id-ID"/>
        </w:rPr>
        <w:t>. Pemeriksaan kemandirian menggunakan kuisione</w:t>
      </w:r>
      <w:r w:rsidR="0009610F" w:rsidRPr="00271AA7">
        <w:rPr>
          <w:lang w:val="id-ID"/>
        </w:rPr>
        <w:t xml:space="preserve">r </w:t>
      </w:r>
      <w:r w:rsidRPr="00271AA7">
        <w:rPr>
          <w:lang w:val="id-ID"/>
        </w:rPr>
        <w:t>BADL (</w:t>
      </w:r>
      <w:r w:rsidRPr="00271AA7">
        <w:rPr>
          <w:i/>
          <w:iCs/>
          <w:lang w:val="id-ID"/>
        </w:rPr>
        <w:t>Basic Activities of Daily Living</w:t>
      </w:r>
      <w:r w:rsidRPr="00271AA7">
        <w:rPr>
          <w:lang w:val="id-ID"/>
        </w:rPr>
        <w:t xml:space="preserve">) yang terdiri dari </w:t>
      </w:r>
      <w:r w:rsidR="000F434A" w:rsidRPr="00271AA7">
        <w:rPr>
          <w:lang w:val="id-ID"/>
        </w:rPr>
        <w:t xml:space="preserve">9 </w:t>
      </w:r>
      <w:r w:rsidRPr="00271AA7">
        <w:rPr>
          <w:lang w:val="id-ID"/>
        </w:rPr>
        <w:t>pertanya</w:t>
      </w:r>
      <w:r w:rsidR="0009610F" w:rsidRPr="00271AA7">
        <w:rPr>
          <w:lang w:val="id-ID"/>
        </w:rPr>
        <w:t xml:space="preserve">an </w:t>
      </w:r>
      <w:r w:rsidRPr="00271AA7">
        <w:rPr>
          <w:lang w:val="id-ID"/>
        </w:rPr>
        <w:t>dan IADL (</w:t>
      </w:r>
      <w:r w:rsidRPr="00271AA7">
        <w:rPr>
          <w:i/>
          <w:iCs/>
          <w:lang w:val="id-ID"/>
        </w:rPr>
        <w:t>Instrumental Activities of Daily Living</w:t>
      </w:r>
      <w:r w:rsidRPr="00271AA7">
        <w:rPr>
          <w:lang w:val="id-ID"/>
        </w:rPr>
        <w:t>)</w:t>
      </w:r>
      <w:r w:rsidR="0009610F" w:rsidRPr="00271AA7">
        <w:rPr>
          <w:lang w:val="id-ID"/>
        </w:rPr>
        <w:t xml:space="preserve"> 8 </w:t>
      </w:r>
      <w:r w:rsidRPr="00271AA7">
        <w:rPr>
          <w:lang w:val="id-ID"/>
        </w:rPr>
        <w:t xml:space="preserve">pertanyaan dengan penilaian </w:t>
      </w:r>
      <w:r w:rsidR="0009610F" w:rsidRPr="00271AA7">
        <w:rPr>
          <w:lang w:val="id-ID"/>
        </w:rPr>
        <w:t>1</w:t>
      </w:r>
      <w:r w:rsidRPr="00271AA7">
        <w:rPr>
          <w:lang w:val="id-ID"/>
        </w:rPr>
        <w:t>-4</w:t>
      </w:r>
      <w:r w:rsidR="0009610F" w:rsidRPr="00271AA7">
        <w:rPr>
          <w:lang w:val="id-ID"/>
        </w:rPr>
        <w:t xml:space="preserve"> dari setiap pertanyaan</w:t>
      </w:r>
      <w:r w:rsidRPr="00271AA7">
        <w:rPr>
          <w:lang w:val="id-ID"/>
        </w:rPr>
        <w:t xml:space="preserve">. Metode pengumpulan data dilakukan dengan wawancara kepada lansia dan petugas panti, </w:t>
      </w:r>
      <w:r w:rsidR="0009610F" w:rsidRPr="00271AA7">
        <w:rPr>
          <w:lang w:val="id-ID"/>
        </w:rPr>
        <w:t xml:space="preserve">serta </w:t>
      </w:r>
      <w:r w:rsidRPr="00271AA7">
        <w:rPr>
          <w:lang w:val="id-ID"/>
        </w:rPr>
        <w:t>observasi pada responden.</w:t>
      </w:r>
      <w:r w:rsidR="0009610F" w:rsidRPr="00271AA7">
        <w:rPr>
          <w:lang w:val="id-ID"/>
        </w:rPr>
        <w:t xml:space="preserve"> </w:t>
      </w:r>
      <w:r w:rsidRPr="00271AA7">
        <w:rPr>
          <w:lang w:val="id-ID"/>
        </w:rPr>
        <w:t>Kategori demensia d</w:t>
      </w:r>
      <w:r w:rsidR="0009610F" w:rsidRPr="00271AA7">
        <w:rPr>
          <w:lang w:val="id-ID"/>
        </w:rPr>
        <w:t>ibagi 2 yaitu ya dan tidak</w:t>
      </w:r>
      <w:r w:rsidRPr="00271AA7">
        <w:rPr>
          <w:lang w:val="id-ID"/>
        </w:rPr>
        <w:t xml:space="preserve"> (termasuk pasien MCI/</w:t>
      </w:r>
      <w:r w:rsidRPr="00271AA7">
        <w:rPr>
          <w:i/>
          <w:iCs/>
          <w:lang w:val="id-ID"/>
        </w:rPr>
        <w:t>Mild Cognitive Impairment</w:t>
      </w:r>
      <w:r w:rsidRPr="00271AA7">
        <w:rPr>
          <w:lang w:val="id-ID"/>
        </w:rPr>
        <w:t xml:space="preserve">). Kategori pendidikan dibagi 2 yaitu pendidikan rendah dan tinggi. Pendidikan rendah meliputi tidak sekolah, SD, dan SMP, sedangkan pendidikan tinggi meliputi SMA dan perguruan tinggi. Status marital terdiri dari menikah dan tidak menikah (tidak pernah menikah, </w:t>
      </w:r>
      <w:r w:rsidRPr="00271AA7">
        <w:rPr>
          <w:lang w:val="id-ID"/>
        </w:rPr>
        <w:lastRenderedPageBreak/>
        <w:t xml:space="preserve">janda/duda). Data dianalisis dengan menggunakan SPSS versi 25. Setelah itu dilakukan analisis data univariat dan bivariat. Uji univariat digunakan untuk membuat gambaran distribusi frekuensi setiap variabel. Uji bivariat digunakan untuk menganalisis hubungan antar variabel menggunakan </w:t>
      </w:r>
      <w:r w:rsidR="0009610F" w:rsidRPr="00271AA7">
        <w:rPr>
          <w:lang w:val="id-ID"/>
        </w:rPr>
        <w:t>in</w:t>
      </w:r>
      <w:r w:rsidRPr="00271AA7">
        <w:rPr>
          <w:lang w:val="id-ID"/>
        </w:rPr>
        <w:t>dependent sample t-test.</w:t>
      </w:r>
    </w:p>
    <w:bookmarkEnd w:id="2"/>
    <w:bookmarkEnd w:id="3"/>
    <w:p w14:paraId="490F0D6B" w14:textId="77777777" w:rsidR="0009610F" w:rsidRPr="00271AA7" w:rsidRDefault="0009610F" w:rsidP="00271AA7">
      <w:pPr>
        <w:spacing w:before="0" w:after="0" w:line="360" w:lineRule="auto"/>
        <w:ind w:firstLine="0"/>
        <w:rPr>
          <w:b/>
          <w:bCs/>
          <w:lang w:val="id-ID"/>
        </w:rPr>
      </w:pPr>
    </w:p>
    <w:p w14:paraId="4CC0B808" w14:textId="1863D5D5" w:rsidR="009F2CCF" w:rsidRPr="00271AA7" w:rsidRDefault="009F2CCF" w:rsidP="00271AA7">
      <w:pPr>
        <w:spacing w:before="0" w:after="0" w:line="360" w:lineRule="auto"/>
        <w:ind w:firstLine="0"/>
        <w:rPr>
          <w:b/>
          <w:bCs/>
          <w:lang w:val="id-ID"/>
        </w:rPr>
      </w:pPr>
      <w:r w:rsidRPr="00271AA7">
        <w:rPr>
          <w:b/>
          <w:bCs/>
          <w:lang w:val="id-ID"/>
        </w:rPr>
        <w:t xml:space="preserve">HASIL </w:t>
      </w:r>
      <w:r w:rsidR="00690458" w:rsidRPr="00271AA7">
        <w:rPr>
          <w:b/>
          <w:bCs/>
          <w:lang w:val="id-ID"/>
        </w:rPr>
        <w:t>DAN PEMBAHASAN</w:t>
      </w:r>
    </w:p>
    <w:p w14:paraId="1860F11C" w14:textId="222AB5ED" w:rsidR="009F2CCF" w:rsidRPr="00271AA7" w:rsidRDefault="009F2CCF" w:rsidP="00271AA7">
      <w:pPr>
        <w:spacing w:before="0" w:after="0" w:line="360" w:lineRule="auto"/>
        <w:rPr>
          <w:lang w:val="id-ID"/>
        </w:rPr>
      </w:pPr>
      <w:r w:rsidRPr="00271AA7">
        <w:rPr>
          <w:lang w:val="id-ID"/>
        </w:rPr>
        <w:t xml:space="preserve">Penelitian ini dilakukan selama 3 bulan dari bulan Januari-Maret 2019 di 3 panti wredha. Dari total 176 lansia yang memenuhi kriteria inklusi sebanyak 166 orang dengan nilai MMSE &lt; 24 sebanyak 109 orang (65,7%) dan MMSE ≥ 24 sebanyak 57 orang (34,3%). Untuk rata-rata nilai MMSE 12,96 ± 9,08 untuk kelompok demensia dan 26,93 ± 1,99 untuk kelompok </w:t>
      </w:r>
      <w:r w:rsidR="0009610F" w:rsidRPr="00271AA7">
        <w:rPr>
          <w:lang w:val="id-ID"/>
        </w:rPr>
        <w:t xml:space="preserve">tidak </w:t>
      </w:r>
      <w:r w:rsidRPr="00271AA7">
        <w:rPr>
          <w:lang w:val="id-ID"/>
        </w:rPr>
        <w:t xml:space="preserve">demensia. </w:t>
      </w:r>
    </w:p>
    <w:p w14:paraId="5A0E8FB8" w14:textId="4A1A65E3" w:rsidR="009F2CCF" w:rsidRDefault="009F2CCF" w:rsidP="00271AA7">
      <w:pPr>
        <w:spacing w:before="0" w:after="0" w:line="360" w:lineRule="auto"/>
        <w:rPr>
          <w:lang w:val="id-ID"/>
        </w:rPr>
      </w:pPr>
    </w:p>
    <w:p w14:paraId="71C381BD" w14:textId="77777777" w:rsidR="00271AA7" w:rsidRPr="00271AA7" w:rsidRDefault="00271AA7" w:rsidP="00271AA7">
      <w:pPr>
        <w:spacing w:before="0" w:after="0" w:line="360" w:lineRule="auto"/>
        <w:rPr>
          <w:lang w:val="id-ID"/>
        </w:rPr>
      </w:pPr>
      <w:bookmarkStart w:id="4" w:name="_GoBack"/>
      <w:bookmarkEnd w:id="4"/>
    </w:p>
    <w:p w14:paraId="7BAC69CB" w14:textId="77777777" w:rsidR="009F2CCF" w:rsidRPr="00271AA7" w:rsidRDefault="009F2CCF" w:rsidP="00271AA7">
      <w:pPr>
        <w:spacing w:before="0" w:after="0" w:line="360" w:lineRule="auto"/>
        <w:ind w:firstLine="0"/>
        <w:rPr>
          <w:b/>
          <w:bCs/>
          <w:lang w:val="id-ID"/>
        </w:rPr>
      </w:pPr>
      <w:r w:rsidRPr="00271AA7">
        <w:rPr>
          <w:b/>
          <w:bCs/>
          <w:lang w:val="id-ID"/>
        </w:rPr>
        <w:t>Karakteristik Subjek</w:t>
      </w:r>
    </w:p>
    <w:p w14:paraId="20639CCA" w14:textId="60207FCD" w:rsidR="009F2CCF" w:rsidRPr="00271AA7" w:rsidRDefault="009F2CCF" w:rsidP="00271AA7">
      <w:pPr>
        <w:spacing w:before="0" w:after="0" w:line="360" w:lineRule="auto"/>
        <w:rPr>
          <w:bCs/>
          <w:lang w:val="id-ID"/>
        </w:rPr>
      </w:pPr>
      <w:r w:rsidRPr="00271AA7">
        <w:rPr>
          <w:bCs/>
          <w:lang w:val="id-ID"/>
        </w:rPr>
        <w:t>Sebagian besar responden pada penelitian ini menunjukkan 109 orang (65,7%) mengalami demensia</w:t>
      </w:r>
      <w:r w:rsidR="0009610F" w:rsidRPr="00271AA7">
        <w:rPr>
          <w:bCs/>
          <w:lang w:val="id-ID"/>
        </w:rPr>
        <w:t>,</w:t>
      </w:r>
      <w:r w:rsidRPr="00271AA7">
        <w:rPr>
          <w:bCs/>
          <w:lang w:val="id-ID"/>
        </w:rPr>
        <w:t xml:space="preserve"> dan sebanyak 90 orang (54,2%) termasuk kategori usia 60-74 tahun</w:t>
      </w:r>
      <w:r w:rsidR="00DA472F" w:rsidRPr="00271AA7">
        <w:rPr>
          <w:bCs/>
          <w:lang w:val="id-ID"/>
        </w:rPr>
        <w:t xml:space="preserve"> dengan rata-rata usia </w:t>
      </w:r>
      <w:r w:rsidR="00DA472F" w:rsidRPr="00271AA7">
        <w:rPr>
          <w:lang w:val="id-ID"/>
        </w:rPr>
        <w:t>74,3 ± 8,46 tahun</w:t>
      </w:r>
      <w:r w:rsidR="00DA472F" w:rsidRPr="00271AA7">
        <w:rPr>
          <w:bCs/>
          <w:lang w:val="id-ID"/>
        </w:rPr>
        <w:t xml:space="preserve"> </w:t>
      </w:r>
      <w:r w:rsidRPr="00271AA7">
        <w:rPr>
          <w:bCs/>
          <w:lang w:val="id-ID"/>
        </w:rPr>
        <w:t>. Untuk karakteristik jenis kelamin sebanyak 118 orang (71,1%) adalah wanita, sebanyak 142 orang (85,5%) berpendidikan rendah (pendidikan ≤ 9 tahun atau tidak sekolah, SD, dan SMP), dan sebanyak 153 orang (92,2%) tidak menikah atau janda/duda/tidak berpasangan (tabel 1).</w:t>
      </w:r>
    </w:p>
    <w:p w14:paraId="2882B798" w14:textId="77777777" w:rsidR="009F2CCF" w:rsidRPr="00271AA7" w:rsidRDefault="009F2CCF" w:rsidP="00271AA7">
      <w:pPr>
        <w:spacing w:before="0" w:after="0" w:line="360" w:lineRule="auto"/>
        <w:rPr>
          <w:bCs/>
          <w:lang w:val="id-ID"/>
        </w:rPr>
      </w:pPr>
    </w:p>
    <w:p w14:paraId="39C9FD43" w14:textId="449D0140" w:rsidR="009F2CCF" w:rsidRPr="00271AA7" w:rsidRDefault="009F2CCF" w:rsidP="00271AA7">
      <w:pPr>
        <w:spacing w:before="0" w:after="0" w:line="360" w:lineRule="auto"/>
        <w:ind w:firstLine="142"/>
        <w:rPr>
          <w:b/>
          <w:sz w:val="20"/>
          <w:szCs w:val="20"/>
          <w:lang w:val="id-ID"/>
        </w:rPr>
      </w:pPr>
      <w:r w:rsidRPr="00271AA7">
        <w:rPr>
          <w:b/>
          <w:sz w:val="20"/>
          <w:szCs w:val="20"/>
          <w:lang w:val="id-ID"/>
        </w:rPr>
        <w:t>Tabel 1. Faktor-faktor yang berhubungan dengan BADL</w:t>
      </w:r>
      <w:r w:rsidR="00EF75EC" w:rsidRPr="00271AA7">
        <w:rPr>
          <w:b/>
          <w:sz w:val="20"/>
          <w:szCs w:val="20"/>
          <w:lang w:val="id-ID"/>
        </w:rPr>
        <w:t xml:space="preserve"> dan IADL</w:t>
      </w:r>
      <w:r w:rsidRPr="00271AA7">
        <w:rPr>
          <w:b/>
          <w:sz w:val="20"/>
          <w:szCs w:val="20"/>
          <w:lang w:val="id-ID"/>
        </w:rPr>
        <w:t xml:space="preserve"> pada Lansia di Panti wredha</w:t>
      </w:r>
    </w:p>
    <w:tbl>
      <w:tblPr>
        <w:tblW w:w="9173" w:type="dxa"/>
        <w:tblCellMar>
          <w:left w:w="0" w:type="dxa"/>
          <w:right w:w="0" w:type="dxa"/>
        </w:tblCellMar>
        <w:tblLook w:val="04A0" w:firstRow="1" w:lastRow="0" w:firstColumn="1" w:lastColumn="0" w:noHBand="0" w:noVBand="1"/>
      </w:tblPr>
      <w:tblGrid>
        <w:gridCol w:w="1508"/>
        <w:gridCol w:w="1559"/>
        <w:gridCol w:w="1276"/>
        <w:gridCol w:w="1417"/>
        <w:gridCol w:w="851"/>
        <w:gridCol w:w="1701"/>
        <w:gridCol w:w="861"/>
      </w:tblGrid>
      <w:tr w:rsidR="005D2CFA" w:rsidRPr="00271AA7" w14:paraId="312E6CCA" w14:textId="1126A514" w:rsidTr="005D2CFA">
        <w:trPr>
          <w:trHeight w:val="581"/>
        </w:trPr>
        <w:tc>
          <w:tcPr>
            <w:tcW w:w="1508" w:type="dxa"/>
            <w:tcBorders>
              <w:top w:val="single" w:sz="4" w:space="0" w:color="auto"/>
              <w:left w:val="single" w:sz="8" w:space="0" w:color="FFFFFF"/>
              <w:bottom w:val="single" w:sz="4" w:space="0" w:color="auto"/>
              <w:right w:val="single" w:sz="8" w:space="0" w:color="FFFFFF"/>
            </w:tcBorders>
            <w:shd w:val="clear" w:color="auto" w:fill="auto"/>
            <w:tcMar>
              <w:top w:w="15" w:type="dxa"/>
              <w:left w:w="90" w:type="dxa"/>
              <w:bottom w:w="0" w:type="dxa"/>
              <w:right w:w="90" w:type="dxa"/>
            </w:tcMar>
            <w:hideMark/>
          </w:tcPr>
          <w:p w14:paraId="1B60A697" w14:textId="30CFF292" w:rsidR="009F2CCF" w:rsidRPr="00271AA7" w:rsidRDefault="009F2CCF" w:rsidP="00271AA7">
            <w:pPr>
              <w:spacing w:before="0" w:after="0" w:line="240" w:lineRule="auto"/>
              <w:ind w:firstLine="142"/>
              <w:jc w:val="center"/>
              <w:rPr>
                <w:b/>
                <w:sz w:val="20"/>
                <w:szCs w:val="20"/>
                <w:lang w:val="id-ID"/>
              </w:rPr>
            </w:pPr>
            <w:r w:rsidRPr="00271AA7">
              <w:rPr>
                <w:b/>
                <w:sz w:val="20"/>
                <w:szCs w:val="20"/>
                <w:lang w:val="id-ID"/>
              </w:rPr>
              <w:t xml:space="preserve">Karakteristik </w:t>
            </w:r>
          </w:p>
        </w:tc>
        <w:tc>
          <w:tcPr>
            <w:tcW w:w="1559" w:type="dxa"/>
            <w:tcBorders>
              <w:top w:val="single" w:sz="4" w:space="0" w:color="auto"/>
              <w:left w:val="single" w:sz="8" w:space="0" w:color="FFFFFF"/>
              <w:bottom w:val="single" w:sz="4" w:space="0" w:color="auto"/>
              <w:right w:val="single" w:sz="8" w:space="0" w:color="FFFFFF"/>
            </w:tcBorders>
            <w:shd w:val="clear" w:color="auto" w:fill="auto"/>
            <w:tcMar>
              <w:top w:w="15" w:type="dxa"/>
              <w:left w:w="90" w:type="dxa"/>
              <w:bottom w:w="0" w:type="dxa"/>
              <w:right w:w="90" w:type="dxa"/>
            </w:tcMar>
            <w:hideMark/>
          </w:tcPr>
          <w:p w14:paraId="65E3BC8E" w14:textId="77777777" w:rsidR="009F2CCF" w:rsidRPr="00271AA7" w:rsidRDefault="009F2CCF" w:rsidP="00271AA7">
            <w:pPr>
              <w:spacing w:before="0" w:after="0" w:line="240" w:lineRule="auto"/>
              <w:ind w:firstLine="142"/>
              <w:jc w:val="center"/>
              <w:rPr>
                <w:b/>
                <w:sz w:val="20"/>
                <w:szCs w:val="20"/>
                <w:lang w:val="id-ID"/>
              </w:rPr>
            </w:pPr>
            <w:r w:rsidRPr="00271AA7">
              <w:rPr>
                <w:b/>
                <w:sz w:val="20"/>
                <w:szCs w:val="20"/>
                <w:lang w:val="id-ID"/>
              </w:rPr>
              <w:t>Kategori</w:t>
            </w:r>
          </w:p>
        </w:tc>
        <w:tc>
          <w:tcPr>
            <w:tcW w:w="1276" w:type="dxa"/>
            <w:tcBorders>
              <w:top w:val="single" w:sz="4" w:space="0" w:color="auto"/>
              <w:left w:val="single" w:sz="8" w:space="0" w:color="FFFFFF"/>
              <w:bottom w:val="single" w:sz="4" w:space="0" w:color="auto"/>
              <w:right w:val="single" w:sz="8" w:space="0" w:color="FFFFFF"/>
            </w:tcBorders>
            <w:shd w:val="clear" w:color="auto" w:fill="auto"/>
            <w:tcMar>
              <w:top w:w="15" w:type="dxa"/>
              <w:left w:w="90" w:type="dxa"/>
              <w:bottom w:w="0" w:type="dxa"/>
              <w:right w:w="90" w:type="dxa"/>
            </w:tcMar>
            <w:hideMark/>
          </w:tcPr>
          <w:p w14:paraId="6CC57B49" w14:textId="77777777" w:rsidR="009F2CCF" w:rsidRPr="00271AA7" w:rsidRDefault="009F2CCF" w:rsidP="00271AA7">
            <w:pPr>
              <w:spacing w:before="0" w:after="0" w:line="240" w:lineRule="auto"/>
              <w:ind w:firstLine="142"/>
              <w:jc w:val="center"/>
              <w:rPr>
                <w:b/>
                <w:sz w:val="20"/>
                <w:szCs w:val="20"/>
                <w:lang w:val="id-ID"/>
              </w:rPr>
            </w:pPr>
            <w:r w:rsidRPr="00271AA7">
              <w:rPr>
                <w:b/>
                <w:bCs/>
                <w:sz w:val="20"/>
                <w:szCs w:val="20"/>
                <w:lang w:val="id-ID"/>
              </w:rPr>
              <w:t>Total</w:t>
            </w:r>
          </w:p>
          <w:p w14:paraId="6F178857" w14:textId="591BCE3F" w:rsidR="009F2CCF" w:rsidRPr="00271AA7" w:rsidRDefault="009F2CCF" w:rsidP="00271AA7">
            <w:pPr>
              <w:spacing w:before="0" w:after="0" w:line="240" w:lineRule="auto"/>
              <w:ind w:firstLine="142"/>
              <w:jc w:val="center"/>
              <w:rPr>
                <w:b/>
                <w:sz w:val="20"/>
                <w:szCs w:val="20"/>
                <w:lang w:val="id-ID"/>
              </w:rPr>
            </w:pPr>
            <w:r w:rsidRPr="00271AA7">
              <w:rPr>
                <w:b/>
                <w:bCs/>
                <w:sz w:val="20"/>
                <w:szCs w:val="20"/>
                <w:lang w:val="id-ID"/>
              </w:rPr>
              <w:t>(n=166,%)</w:t>
            </w:r>
          </w:p>
        </w:tc>
        <w:tc>
          <w:tcPr>
            <w:tcW w:w="1417" w:type="dxa"/>
            <w:tcBorders>
              <w:top w:val="single" w:sz="4" w:space="0" w:color="auto"/>
              <w:left w:val="single" w:sz="8" w:space="0" w:color="FFFFFF"/>
              <w:bottom w:val="single" w:sz="4" w:space="0" w:color="auto"/>
              <w:right w:val="single" w:sz="8" w:space="0" w:color="FFFFFF"/>
            </w:tcBorders>
            <w:shd w:val="clear" w:color="auto" w:fill="auto"/>
            <w:tcMar>
              <w:top w:w="15" w:type="dxa"/>
              <w:left w:w="90" w:type="dxa"/>
              <w:bottom w:w="0" w:type="dxa"/>
              <w:right w:w="90" w:type="dxa"/>
            </w:tcMar>
          </w:tcPr>
          <w:p w14:paraId="74D6764D" w14:textId="77777777" w:rsidR="009F2CCF" w:rsidRPr="00271AA7" w:rsidRDefault="009F2CCF" w:rsidP="00271AA7">
            <w:pPr>
              <w:spacing w:before="0" w:after="0" w:line="240" w:lineRule="auto"/>
              <w:ind w:firstLine="142"/>
              <w:jc w:val="center"/>
              <w:rPr>
                <w:b/>
                <w:sz w:val="20"/>
                <w:szCs w:val="20"/>
                <w:lang w:val="id-ID"/>
              </w:rPr>
            </w:pPr>
            <w:r w:rsidRPr="00271AA7">
              <w:rPr>
                <w:b/>
                <w:sz w:val="20"/>
                <w:szCs w:val="20"/>
                <w:lang w:val="id-ID"/>
              </w:rPr>
              <w:t>BADL</w:t>
            </w:r>
          </w:p>
        </w:tc>
        <w:tc>
          <w:tcPr>
            <w:tcW w:w="851" w:type="dxa"/>
            <w:tcBorders>
              <w:top w:val="single" w:sz="4" w:space="0" w:color="auto"/>
              <w:left w:val="single" w:sz="8" w:space="0" w:color="FFFFFF"/>
              <w:bottom w:val="single" w:sz="4" w:space="0" w:color="auto"/>
              <w:right w:val="single" w:sz="8" w:space="0" w:color="FFFFFF"/>
            </w:tcBorders>
            <w:shd w:val="clear" w:color="auto" w:fill="auto"/>
          </w:tcPr>
          <w:p w14:paraId="62855C2F" w14:textId="77777777" w:rsidR="009F2CCF" w:rsidRPr="00271AA7" w:rsidRDefault="009F2CCF" w:rsidP="00271AA7">
            <w:pPr>
              <w:spacing w:before="0" w:after="0" w:line="240" w:lineRule="auto"/>
              <w:ind w:firstLine="142"/>
              <w:jc w:val="center"/>
              <w:rPr>
                <w:b/>
                <w:sz w:val="20"/>
                <w:szCs w:val="20"/>
                <w:lang w:val="id-ID"/>
              </w:rPr>
            </w:pPr>
            <w:r w:rsidRPr="00271AA7">
              <w:rPr>
                <w:b/>
                <w:sz w:val="20"/>
                <w:szCs w:val="20"/>
                <w:lang w:val="id-ID"/>
              </w:rPr>
              <w:t>p-value</w:t>
            </w:r>
          </w:p>
        </w:tc>
        <w:tc>
          <w:tcPr>
            <w:tcW w:w="1701" w:type="dxa"/>
            <w:tcBorders>
              <w:top w:val="single" w:sz="4" w:space="0" w:color="auto"/>
              <w:left w:val="single" w:sz="8" w:space="0" w:color="FFFFFF"/>
              <w:bottom w:val="single" w:sz="4" w:space="0" w:color="auto"/>
              <w:right w:val="single" w:sz="8" w:space="0" w:color="FFFFFF"/>
            </w:tcBorders>
            <w:shd w:val="clear" w:color="auto" w:fill="auto"/>
          </w:tcPr>
          <w:p w14:paraId="16C8E756" w14:textId="1EF933C8" w:rsidR="009F2CCF" w:rsidRPr="00271AA7" w:rsidRDefault="009F2CCF" w:rsidP="00271AA7">
            <w:pPr>
              <w:spacing w:before="0" w:after="0" w:line="240" w:lineRule="auto"/>
              <w:ind w:firstLine="142"/>
              <w:jc w:val="center"/>
              <w:rPr>
                <w:b/>
                <w:sz w:val="20"/>
                <w:szCs w:val="20"/>
                <w:lang w:val="id-ID"/>
              </w:rPr>
            </w:pPr>
            <w:r w:rsidRPr="00271AA7">
              <w:rPr>
                <w:b/>
                <w:sz w:val="20"/>
                <w:szCs w:val="20"/>
                <w:lang w:val="id-ID"/>
              </w:rPr>
              <w:t>IADL</w:t>
            </w:r>
          </w:p>
        </w:tc>
        <w:tc>
          <w:tcPr>
            <w:tcW w:w="861" w:type="dxa"/>
            <w:tcBorders>
              <w:top w:val="single" w:sz="4" w:space="0" w:color="auto"/>
              <w:left w:val="single" w:sz="8" w:space="0" w:color="FFFFFF"/>
              <w:bottom w:val="single" w:sz="4" w:space="0" w:color="auto"/>
              <w:right w:val="single" w:sz="8" w:space="0" w:color="FFFFFF"/>
            </w:tcBorders>
            <w:shd w:val="clear" w:color="auto" w:fill="auto"/>
          </w:tcPr>
          <w:p w14:paraId="1297BAAC" w14:textId="39964455" w:rsidR="009F2CCF" w:rsidRPr="00271AA7" w:rsidRDefault="009F2CCF" w:rsidP="00271AA7">
            <w:pPr>
              <w:spacing w:before="0" w:after="0" w:line="240" w:lineRule="auto"/>
              <w:ind w:firstLine="142"/>
              <w:jc w:val="center"/>
              <w:rPr>
                <w:b/>
                <w:sz w:val="20"/>
                <w:szCs w:val="20"/>
                <w:lang w:val="id-ID"/>
              </w:rPr>
            </w:pPr>
            <w:r w:rsidRPr="00271AA7">
              <w:rPr>
                <w:b/>
                <w:sz w:val="20"/>
                <w:szCs w:val="20"/>
                <w:lang w:val="id-ID"/>
              </w:rPr>
              <w:t>p-value</w:t>
            </w:r>
          </w:p>
        </w:tc>
      </w:tr>
      <w:tr w:rsidR="005D2CFA" w:rsidRPr="00271AA7" w14:paraId="76D3286C" w14:textId="61E11A1F" w:rsidTr="00D60E8A">
        <w:trPr>
          <w:trHeight w:val="265"/>
        </w:trPr>
        <w:tc>
          <w:tcPr>
            <w:tcW w:w="1508" w:type="dxa"/>
            <w:tcBorders>
              <w:top w:val="single" w:sz="4" w:space="0" w:color="auto"/>
              <w:left w:val="single" w:sz="8" w:space="0" w:color="FFFFFF"/>
              <w:right w:val="single" w:sz="8" w:space="0" w:color="FFFFFF"/>
            </w:tcBorders>
            <w:shd w:val="clear" w:color="auto" w:fill="D9D9D9" w:themeFill="background1" w:themeFillShade="D9"/>
            <w:tcMar>
              <w:top w:w="15" w:type="dxa"/>
              <w:left w:w="90" w:type="dxa"/>
              <w:bottom w:w="0" w:type="dxa"/>
              <w:right w:w="90" w:type="dxa"/>
            </w:tcMar>
            <w:hideMark/>
          </w:tcPr>
          <w:p w14:paraId="5D104292"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Usia (tahun)</w:t>
            </w:r>
          </w:p>
        </w:tc>
        <w:tc>
          <w:tcPr>
            <w:tcW w:w="1559" w:type="dxa"/>
            <w:tcBorders>
              <w:top w:val="single" w:sz="4" w:space="0" w:color="auto"/>
              <w:left w:val="single" w:sz="8" w:space="0" w:color="FFFFFF"/>
              <w:right w:val="single" w:sz="8" w:space="0" w:color="FFFFFF"/>
            </w:tcBorders>
            <w:shd w:val="clear" w:color="auto" w:fill="D9D9D9" w:themeFill="background1" w:themeFillShade="D9"/>
            <w:tcMar>
              <w:top w:w="15" w:type="dxa"/>
              <w:left w:w="90" w:type="dxa"/>
              <w:bottom w:w="0" w:type="dxa"/>
              <w:right w:w="90" w:type="dxa"/>
            </w:tcMar>
            <w:hideMark/>
          </w:tcPr>
          <w:p w14:paraId="53D6B5ED"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60-74</w:t>
            </w:r>
          </w:p>
        </w:tc>
        <w:tc>
          <w:tcPr>
            <w:tcW w:w="1276" w:type="dxa"/>
            <w:tcBorders>
              <w:top w:val="single" w:sz="4" w:space="0" w:color="auto"/>
              <w:left w:val="single" w:sz="8" w:space="0" w:color="FFFFFF"/>
              <w:right w:val="single" w:sz="8" w:space="0" w:color="FFFFFF"/>
            </w:tcBorders>
            <w:shd w:val="clear" w:color="auto" w:fill="D9D9D9" w:themeFill="background1" w:themeFillShade="D9"/>
            <w:tcMar>
              <w:top w:w="15" w:type="dxa"/>
              <w:left w:w="90" w:type="dxa"/>
              <w:bottom w:w="0" w:type="dxa"/>
              <w:right w:w="90" w:type="dxa"/>
            </w:tcMar>
          </w:tcPr>
          <w:p w14:paraId="6F0E2B99"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90 (54,2)</w:t>
            </w:r>
          </w:p>
        </w:tc>
        <w:tc>
          <w:tcPr>
            <w:tcW w:w="1417" w:type="dxa"/>
            <w:tcBorders>
              <w:top w:val="single" w:sz="4" w:space="0" w:color="auto"/>
              <w:left w:val="single" w:sz="8" w:space="0" w:color="FFFFFF"/>
              <w:right w:val="single" w:sz="8" w:space="0" w:color="FFFFFF"/>
            </w:tcBorders>
            <w:shd w:val="clear" w:color="auto" w:fill="D9D9D9" w:themeFill="background1" w:themeFillShade="D9"/>
            <w:tcMar>
              <w:top w:w="15" w:type="dxa"/>
              <w:left w:w="90" w:type="dxa"/>
              <w:bottom w:w="0" w:type="dxa"/>
              <w:right w:w="90" w:type="dxa"/>
            </w:tcMar>
          </w:tcPr>
          <w:p w14:paraId="0DAB7902" w14:textId="7245A9A7"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30,23 (8,57)</w:t>
            </w:r>
          </w:p>
        </w:tc>
        <w:tc>
          <w:tcPr>
            <w:tcW w:w="851" w:type="dxa"/>
            <w:tcBorders>
              <w:top w:val="single" w:sz="4" w:space="0" w:color="auto"/>
              <w:left w:val="single" w:sz="8" w:space="0" w:color="FFFFFF"/>
              <w:right w:val="single" w:sz="8" w:space="0" w:color="FFFFFF"/>
            </w:tcBorders>
            <w:shd w:val="clear" w:color="auto" w:fill="D9D9D9" w:themeFill="background1" w:themeFillShade="D9"/>
          </w:tcPr>
          <w:p w14:paraId="064DEEEA" w14:textId="6A2D4D5F"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w:t>
            </w:r>
            <w:r w:rsidR="00DE77F2" w:rsidRPr="00271AA7">
              <w:rPr>
                <w:bCs/>
                <w:sz w:val="20"/>
                <w:szCs w:val="20"/>
                <w:lang w:val="id-ID"/>
              </w:rPr>
              <w:t>654</w:t>
            </w:r>
          </w:p>
        </w:tc>
        <w:tc>
          <w:tcPr>
            <w:tcW w:w="1701" w:type="dxa"/>
            <w:tcBorders>
              <w:top w:val="single" w:sz="4" w:space="0" w:color="auto"/>
              <w:left w:val="single" w:sz="8" w:space="0" w:color="FFFFFF"/>
              <w:right w:val="single" w:sz="8" w:space="0" w:color="FFFFFF"/>
            </w:tcBorders>
            <w:shd w:val="clear" w:color="auto" w:fill="D9D9D9" w:themeFill="background1" w:themeFillShade="D9"/>
          </w:tcPr>
          <w:p w14:paraId="51088A1B" w14:textId="2D7D37D5" w:rsidR="009F2CCF" w:rsidRPr="00271AA7" w:rsidRDefault="00132DBB" w:rsidP="00271AA7">
            <w:pPr>
              <w:spacing w:before="0" w:after="0" w:line="240" w:lineRule="auto"/>
              <w:ind w:firstLine="142"/>
              <w:jc w:val="center"/>
              <w:rPr>
                <w:bCs/>
                <w:sz w:val="20"/>
                <w:szCs w:val="20"/>
                <w:lang w:val="id-ID"/>
              </w:rPr>
            </w:pPr>
            <w:r w:rsidRPr="00271AA7">
              <w:rPr>
                <w:bCs/>
                <w:sz w:val="20"/>
                <w:szCs w:val="20"/>
                <w:lang w:val="id-ID"/>
              </w:rPr>
              <w:t>20,50 (7,55)</w:t>
            </w:r>
          </w:p>
        </w:tc>
        <w:tc>
          <w:tcPr>
            <w:tcW w:w="861" w:type="dxa"/>
            <w:tcBorders>
              <w:top w:val="single" w:sz="4" w:space="0" w:color="auto"/>
              <w:left w:val="single" w:sz="8" w:space="0" w:color="FFFFFF"/>
              <w:right w:val="single" w:sz="8" w:space="0" w:color="FFFFFF"/>
            </w:tcBorders>
            <w:shd w:val="clear" w:color="auto" w:fill="D9D9D9" w:themeFill="background1" w:themeFillShade="D9"/>
          </w:tcPr>
          <w:p w14:paraId="13B3F599" w14:textId="376E1573"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w:t>
            </w:r>
            <w:r w:rsidR="00132DBB" w:rsidRPr="00271AA7">
              <w:rPr>
                <w:bCs/>
                <w:sz w:val="20"/>
                <w:szCs w:val="20"/>
                <w:lang w:val="id-ID"/>
              </w:rPr>
              <w:t>198</w:t>
            </w:r>
          </w:p>
        </w:tc>
      </w:tr>
      <w:tr w:rsidR="005D2CFA" w:rsidRPr="00271AA7" w14:paraId="407C70A6" w14:textId="79E1BC5B" w:rsidTr="00D60E8A">
        <w:trPr>
          <w:trHeight w:val="255"/>
        </w:trPr>
        <w:tc>
          <w:tcPr>
            <w:tcW w:w="1508" w:type="dxa"/>
            <w:shd w:val="clear" w:color="auto" w:fill="FFFFFF" w:themeFill="background1"/>
            <w:tcMar>
              <w:top w:w="15" w:type="dxa"/>
              <w:left w:w="90" w:type="dxa"/>
              <w:bottom w:w="0" w:type="dxa"/>
              <w:right w:w="90" w:type="dxa"/>
            </w:tcMar>
            <w:hideMark/>
          </w:tcPr>
          <w:p w14:paraId="1DC2B7E3"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 </w:t>
            </w:r>
          </w:p>
        </w:tc>
        <w:tc>
          <w:tcPr>
            <w:tcW w:w="1559" w:type="dxa"/>
            <w:shd w:val="clear" w:color="auto" w:fill="FFFFFF" w:themeFill="background1"/>
            <w:tcMar>
              <w:top w:w="15" w:type="dxa"/>
              <w:left w:w="90" w:type="dxa"/>
              <w:bottom w:w="0" w:type="dxa"/>
              <w:right w:w="90" w:type="dxa"/>
            </w:tcMar>
            <w:hideMark/>
          </w:tcPr>
          <w:p w14:paraId="521554A8"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≥75</w:t>
            </w:r>
          </w:p>
        </w:tc>
        <w:tc>
          <w:tcPr>
            <w:tcW w:w="1276" w:type="dxa"/>
            <w:shd w:val="clear" w:color="auto" w:fill="FFFFFF" w:themeFill="background1"/>
            <w:tcMar>
              <w:top w:w="15" w:type="dxa"/>
              <w:left w:w="90" w:type="dxa"/>
              <w:bottom w:w="0" w:type="dxa"/>
              <w:right w:w="90" w:type="dxa"/>
            </w:tcMar>
          </w:tcPr>
          <w:p w14:paraId="175D9F07"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76 (45,8)</w:t>
            </w:r>
          </w:p>
        </w:tc>
        <w:tc>
          <w:tcPr>
            <w:tcW w:w="1417" w:type="dxa"/>
            <w:shd w:val="clear" w:color="auto" w:fill="FFFFFF" w:themeFill="background1"/>
            <w:tcMar>
              <w:top w:w="15" w:type="dxa"/>
              <w:left w:w="90" w:type="dxa"/>
              <w:bottom w:w="0" w:type="dxa"/>
              <w:right w:w="90" w:type="dxa"/>
            </w:tcMar>
          </w:tcPr>
          <w:p w14:paraId="7DAA9BE4" w14:textId="73A1B1BC"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29,65 (8,24)</w:t>
            </w:r>
          </w:p>
        </w:tc>
        <w:tc>
          <w:tcPr>
            <w:tcW w:w="851" w:type="dxa"/>
            <w:shd w:val="clear" w:color="auto" w:fill="FFFFFF" w:themeFill="background1"/>
          </w:tcPr>
          <w:p w14:paraId="152B7D8E" w14:textId="77777777" w:rsidR="009F2CCF" w:rsidRPr="00271AA7" w:rsidRDefault="009F2CCF" w:rsidP="00271AA7">
            <w:pPr>
              <w:spacing w:before="0" w:after="0" w:line="240" w:lineRule="auto"/>
              <w:ind w:firstLine="142"/>
              <w:jc w:val="center"/>
              <w:rPr>
                <w:bCs/>
                <w:sz w:val="20"/>
                <w:szCs w:val="20"/>
                <w:lang w:val="id-ID"/>
              </w:rPr>
            </w:pPr>
          </w:p>
        </w:tc>
        <w:tc>
          <w:tcPr>
            <w:tcW w:w="1701" w:type="dxa"/>
            <w:shd w:val="clear" w:color="auto" w:fill="FFFFFF" w:themeFill="background1"/>
          </w:tcPr>
          <w:p w14:paraId="58FF38E5" w14:textId="37C9053D" w:rsidR="009F2CCF" w:rsidRPr="00271AA7" w:rsidRDefault="00132DBB" w:rsidP="00271AA7">
            <w:pPr>
              <w:spacing w:before="0" w:after="0" w:line="240" w:lineRule="auto"/>
              <w:ind w:firstLine="142"/>
              <w:jc w:val="center"/>
              <w:rPr>
                <w:bCs/>
                <w:sz w:val="20"/>
                <w:szCs w:val="20"/>
                <w:lang w:val="id-ID"/>
              </w:rPr>
            </w:pPr>
            <w:r w:rsidRPr="00271AA7">
              <w:rPr>
                <w:bCs/>
                <w:sz w:val="20"/>
                <w:szCs w:val="20"/>
                <w:lang w:val="id-ID"/>
              </w:rPr>
              <w:t>19,03 (7,04)</w:t>
            </w:r>
          </w:p>
        </w:tc>
        <w:tc>
          <w:tcPr>
            <w:tcW w:w="861" w:type="dxa"/>
            <w:shd w:val="clear" w:color="auto" w:fill="FFFFFF" w:themeFill="background1"/>
          </w:tcPr>
          <w:p w14:paraId="6403DDBA" w14:textId="77777777" w:rsidR="009F2CCF" w:rsidRPr="00271AA7" w:rsidRDefault="009F2CCF" w:rsidP="00271AA7">
            <w:pPr>
              <w:spacing w:before="0" w:after="0" w:line="240" w:lineRule="auto"/>
              <w:ind w:firstLine="142"/>
              <w:jc w:val="center"/>
              <w:rPr>
                <w:bCs/>
                <w:sz w:val="20"/>
                <w:szCs w:val="20"/>
                <w:lang w:val="id-ID"/>
              </w:rPr>
            </w:pPr>
          </w:p>
        </w:tc>
      </w:tr>
      <w:tr w:rsidR="005D2CFA" w:rsidRPr="00271AA7" w14:paraId="2A6C65F0" w14:textId="035E0D5A" w:rsidTr="00D60E8A">
        <w:trPr>
          <w:trHeight w:val="259"/>
        </w:trPr>
        <w:tc>
          <w:tcPr>
            <w:tcW w:w="1508" w:type="dxa"/>
            <w:shd w:val="clear" w:color="auto" w:fill="D9D9D9" w:themeFill="background1" w:themeFillShade="D9"/>
            <w:tcMar>
              <w:top w:w="15" w:type="dxa"/>
              <w:left w:w="90" w:type="dxa"/>
              <w:bottom w:w="0" w:type="dxa"/>
              <w:right w:w="90" w:type="dxa"/>
            </w:tcMar>
            <w:hideMark/>
          </w:tcPr>
          <w:p w14:paraId="00FA75C3"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Jenis Kelamin</w:t>
            </w:r>
          </w:p>
        </w:tc>
        <w:tc>
          <w:tcPr>
            <w:tcW w:w="1559" w:type="dxa"/>
            <w:shd w:val="clear" w:color="auto" w:fill="D9D9D9" w:themeFill="background1" w:themeFillShade="D9"/>
            <w:tcMar>
              <w:top w:w="15" w:type="dxa"/>
              <w:left w:w="90" w:type="dxa"/>
              <w:bottom w:w="0" w:type="dxa"/>
              <w:right w:w="90" w:type="dxa"/>
            </w:tcMar>
            <w:hideMark/>
          </w:tcPr>
          <w:p w14:paraId="23846B12"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Laki-laki</w:t>
            </w:r>
          </w:p>
        </w:tc>
        <w:tc>
          <w:tcPr>
            <w:tcW w:w="1276" w:type="dxa"/>
            <w:shd w:val="clear" w:color="auto" w:fill="D9D9D9" w:themeFill="background1" w:themeFillShade="D9"/>
            <w:tcMar>
              <w:top w:w="15" w:type="dxa"/>
              <w:left w:w="90" w:type="dxa"/>
              <w:bottom w:w="0" w:type="dxa"/>
              <w:right w:w="90" w:type="dxa"/>
            </w:tcMar>
          </w:tcPr>
          <w:p w14:paraId="2A0C51FB"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48 (28,9)</w:t>
            </w:r>
          </w:p>
        </w:tc>
        <w:tc>
          <w:tcPr>
            <w:tcW w:w="1417" w:type="dxa"/>
            <w:shd w:val="clear" w:color="auto" w:fill="D9D9D9" w:themeFill="background1" w:themeFillShade="D9"/>
            <w:tcMar>
              <w:top w:w="15" w:type="dxa"/>
              <w:left w:w="90" w:type="dxa"/>
              <w:bottom w:w="0" w:type="dxa"/>
              <w:right w:w="90" w:type="dxa"/>
            </w:tcMar>
          </w:tcPr>
          <w:p w14:paraId="35B1D141" w14:textId="36366DDD"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30,19 (7,14)</w:t>
            </w:r>
          </w:p>
        </w:tc>
        <w:tc>
          <w:tcPr>
            <w:tcW w:w="851" w:type="dxa"/>
            <w:shd w:val="clear" w:color="auto" w:fill="D9D9D9" w:themeFill="background1" w:themeFillShade="D9"/>
          </w:tcPr>
          <w:p w14:paraId="01B57C40" w14:textId="0F0DDBBA"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w:t>
            </w:r>
            <w:r w:rsidR="00DE77F2" w:rsidRPr="00271AA7">
              <w:rPr>
                <w:bCs/>
                <w:sz w:val="20"/>
                <w:szCs w:val="20"/>
                <w:lang w:val="id-ID"/>
              </w:rPr>
              <w:t>828</w:t>
            </w:r>
          </w:p>
        </w:tc>
        <w:tc>
          <w:tcPr>
            <w:tcW w:w="1701" w:type="dxa"/>
            <w:shd w:val="clear" w:color="auto" w:fill="D9D9D9" w:themeFill="background1" w:themeFillShade="D9"/>
          </w:tcPr>
          <w:p w14:paraId="10677A6B" w14:textId="04557DAF" w:rsidR="009F2CCF" w:rsidRPr="00271AA7" w:rsidRDefault="00132DBB" w:rsidP="00271AA7">
            <w:pPr>
              <w:spacing w:before="0" w:after="0" w:line="240" w:lineRule="auto"/>
              <w:ind w:firstLine="142"/>
              <w:jc w:val="center"/>
              <w:rPr>
                <w:bCs/>
                <w:sz w:val="20"/>
                <w:szCs w:val="20"/>
                <w:lang w:val="id-ID"/>
              </w:rPr>
            </w:pPr>
            <w:r w:rsidRPr="00271AA7">
              <w:rPr>
                <w:bCs/>
                <w:sz w:val="20"/>
                <w:szCs w:val="20"/>
                <w:lang w:val="id-ID"/>
              </w:rPr>
              <w:t>18,27 (6,32)</w:t>
            </w:r>
          </w:p>
        </w:tc>
        <w:tc>
          <w:tcPr>
            <w:tcW w:w="861" w:type="dxa"/>
            <w:shd w:val="clear" w:color="auto" w:fill="D9D9D9" w:themeFill="background1" w:themeFillShade="D9"/>
          </w:tcPr>
          <w:p w14:paraId="4A32F4EF" w14:textId="7F77D05B"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w:t>
            </w:r>
            <w:r w:rsidR="00132DBB" w:rsidRPr="00271AA7">
              <w:rPr>
                <w:bCs/>
                <w:sz w:val="20"/>
                <w:szCs w:val="20"/>
                <w:lang w:val="id-ID"/>
              </w:rPr>
              <w:t>081</w:t>
            </w:r>
          </w:p>
        </w:tc>
      </w:tr>
      <w:tr w:rsidR="005D2CFA" w:rsidRPr="00271AA7" w14:paraId="29D7460C" w14:textId="1FEB5A5B" w:rsidTr="00D60E8A">
        <w:trPr>
          <w:trHeight w:val="249"/>
        </w:trPr>
        <w:tc>
          <w:tcPr>
            <w:tcW w:w="1508" w:type="dxa"/>
            <w:shd w:val="clear" w:color="auto" w:fill="FFFFFF" w:themeFill="background1"/>
            <w:tcMar>
              <w:top w:w="15" w:type="dxa"/>
              <w:left w:w="90" w:type="dxa"/>
              <w:bottom w:w="0" w:type="dxa"/>
              <w:right w:w="90" w:type="dxa"/>
            </w:tcMar>
            <w:hideMark/>
          </w:tcPr>
          <w:p w14:paraId="1B8F74FE"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 </w:t>
            </w:r>
          </w:p>
        </w:tc>
        <w:tc>
          <w:tcPr>
            <w:tcW w:w="1559" w:type="dxa"/>
            <w:shd w:val="clear" w:color="auto" w:fill="FFFFFF" w:themeFill="background1"/>
            <w:tcMar>
              <w:top w:w="15" w:type="dxa"/>
              <w:left w:w="90" w:type="dxa"/>
              <w:bottom w:w="0" w:type="dxa"/>
              <w:right w:w="90" w:type="dxa"/>
            </w:tcMar>
            <w:hideMark/>
          </w:tcPr>
          <w:p w14:paraId="698805B8"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Perempuan</w:t>
            </w:r>
          </w:p>
        </w:tc>
        <w:tc>
          <w:tcPr>
            <w:tcW w:w="1276" w:type="dxa"/>
            <w:shd w:val="clear" w:color="auto" w:fill="FFFFFF" w:themeFill="background1"/>
            <w:tcMar>
              <w:top w:w="15" w:type="dxa"/>
              <w:left w:w="90" w:type="dxa"/>
              <w:bottom w:w="0" w:type="dxa"/>
              <w:right w:w="90" w:type="dxa"/>
            </w:tcMar>
          </w:tcPr>
          <w:p w14:paraId="22504EB2"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118 (71,1)</w:t>
            </w:r>
          </w:p>
        </w:tc>
        <w:tc>
          <w:tcPr>
            <w:tcW w:w="1417" w:type="dxa"/>
            <w:shd w:val="clear" w:color="auto" w:fill="FFFFFF" w:themeFill="background1"/>
            <w:tcMar>
              <w:top w:w="15" w:type="dxa"/>
              <w:left w:w="90" w:type="dxa"/>
              <w:bottom w:w="0" w:type="dxa"/>
              <w:right w:w="90" w:type="dxa"/>
            </w:tcMar>
          </w:tcPr>
          <w:p w14:paraId="7DE7B6E3" w14:textId="6326AC2C" w:rsidR="009F2CCF" w:rsidRPr="00271AA7" w:rsidRDefault="00D60E8A" w:rsidP="00271AA7">
            <w:pPr>
              <w:spacing w:before="0" w:after="0" w:line="240" w:lineRule="auto"/>
              <w:ind w:firstLine="142"/>
              <w:jc w:val="center"/>
              <w:rPr>
                <w:bCs/>
                <w:sz w:val="20"/>
                <w:szCs w:val="20"/>
                <w:lang w:val="id-ID"/>
              </w:rPr>
            </w:pPr>
            <w:r w:rsidRPr="00271AA7">
              <w:rPr>
                <w:bCs/>
                <w:sz w:val="20"/>
                <w:szCs w:val="20"/>
                <w:lang w:val="id-ID"/>
              </w:rPr>
              <w:t>29,87 (8,89)</w:t>
            </w:r>
          </w:p>
        </w:tc>
        <w:tc>
          <w:tcPr>
            <w:tcW w:w="851" w:type="dxa"/>
            <w:shd w:val="clear" w:color="auto" w:fill="FFFFFF" w:themeFill="background1"/>
          </w:tcPr>
          <w:p w14:paraId="3D601375" w14:textId="77777777" w:rsidR="009F2CCF" w:rsidRPr="00271AA7" w:rsidRDefault="009F2CCF" w:rsidP="00271AA7">
            <w:pPr>
              <w:spacing w:before="0" w:after="0" w:line="240" w:lineRule="auto"/>
              <w:ind w:firstLine="142"/>
              <w:jc w:val="center"/>
              <w:rPr>
                <w:bCs/>
                <w:sz w:val="20"/>
                <w:szCs w:val="20"/>
                <w:lang w:val="id-ID"/>
              </w:rPr>
            </w:pPr>
          </w:p>
        </w:tc>
        <w:tc>
          <w:tcPr>
            <w:tcW w:w="1701" w:type="dxa"/>
            <w:shd w:val="clear" w:color="auto" w:fill="FFFFFF" w:themeFill="background1"/>
          </w:tcPr>
          <w:p w14:paraId="04E2DC96" w14:textId="3AF890DB" w:rsidR="009F2CCF" w:rsidRPr="00271AA7" w:rsidRDefault="00132DBB" w:rsidP="00271AA7">
            <w:pPr>
              <w:spacing w:before="0" w:after="0" w:line="240" w:lineRule="auto"/>
              <w:ind w:firstLine="142"/>
              <w:jc w:val="center"/>
              <w:rPr>
                <w:bCs/>
                <w:sz w:val="20"/>
                <w:szCs w:val="20"/>
                <w:lang w:val="id-ID"/>
              </w:rPr>
            </w:pPr>
            <w:r w:rsidRPr="00271AA7">
              <w:rPr>
                <w:bCs/>
                <w:sz w:val="20"/>
                <w:szCs w:val="20"/>
                <w:lang w:val="id-ID"/>
              </w:rPr>
              <w:t>20,46 (7,64)</w:t>
            </w:r>
          </w:p>
        </w:tc>
        <w:tc>
          <w:tcPr>
            <w:tcW w:w="861" w:type="dxa"/>
            <w:shd w:val="clear" w:color="auto" w:fill="FFFFFF" w:themeFill="background1"/>
          </w:tcPr>
          <w:p w14:paraId="22F60D42" w14:textId="77777777" w:rsidR="009F2CCF" w:rsidRPr="00271AA7" w:rsidRDefault="009F2CCF" w:rsidP="00271AA7">
            <w:pPr>
              <w:spacing w:before="0" w:after="0" w:line="240" w:lineRule="auto"/>
              <w:ind w:firstLine="142"/>
              <w:jc w:val="center"/>
              <w:rPr>
                <w:bCs/>
                <w:sz w:val="20"/>
                <w:szCs w:val="20"/>
                <w:lang w:val="id-ID"/>
              </w:rPr>
            </w:pPr>
          </w:p>
        </w:tc>
      </w:tr>
      <w:tr w:rsidR="005D2CFA" w:rsidRPr="00271AA7" w14:paraId="4097AB0B" w14:textId="5467594B" w:rsidTr="00D60E8A">
        <w:trPr>
          <w:trHeight w:val="267"/>
        </w:trPr>
        <w:tc>
          <w:tcPr>
            <w:tcW w:w="1508" w:type="dxa"/>
            <w:shd w:val="clear" w:color="auto" w:fill="D9D9D9" w:themeFill="background1" w:themeFillShade="D9"/>
            <w:tcMar>
              <w:top w:w="15" w:type="dxa"/>
              <w:left w:w="90" w:type="dxa"/>
              <w:bottom w:w="0" w:type="dxa"/>
              <w:right w:w="90" w:type="dxa"/>
            </w:tcMar>
            <w:hideMark/>
          </w:tcPr>
          <w:p w14:paraId="42A70C55"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Pendidikan</w:t>
            </w:r>
          </w:p>
        </w:tc>
        <w:tc>
          <w:tcPr>
            <w:tcW w:w="1559" w:type="dxa"/>
            <w:shd w:val="clear" w:color="auto" w:fill="D9D9D9" w:themeFill="background1" w:themeFillShade="D9"/>
            <w:tcMar>
              <w:top w:w="15" w:type="dxa"/>
              <w:left w:w="90" w:type="dxa"/>
              <w:bottom w:w="0" w:type="dxa"/>
              <w:right w:w="90" w:type="dxa"/>
            </w:tcMar>
          </w:tcPr>
          <w:p w14:paraId="1D90E7C8"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Tinggi</w:t>
            </w:r>
          </w:p>
        </w:tc>
        <w:tc>
          <w:tcPr>
            <w:tcW w:w="1276" w:type="dxa"/>
            <w:shd w:val="clear" w:color="auto" w:fill="D9D9D9" w:themeFill="background1" w:themeFillShade="D9"/>
            <w:tcMar>
              <w:top w:w="15" w:type="dxa"/>
              <w:left w:w="90" w:type="dxa"/>
              <w:bottom w:w="0" w:type="dxa"/>
              <w:right w:w="90" w:type="dxa"/>
            </w:tcMar>
          </w:tcPr>
          <w:p w14:paraId="5B18A165"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24 (14,5)</w:t>
            </w:r>
          </w:p>
        </w:tc>
        <w:tc>
          <w:tcPr>
            <w:tcW w:w="1417" w:type="dxa"/>
            <w:shd w:val="clear" w:color="auto" w:fill="D9D9D9" w:themeFill="background1" w:themeFillShade="D9"/>
            <w:tcMar>
              <w:top w:w="15" w:type="dxa"/>
              <w:left w:w="90" w:type="dxa"/>
              <w:bottom w:w="0" w:type="dxa"/>
              <w:right w:w="90" w:type="dxa"/>
            </w:tcMar>
          </w:tcPr>
          <w:p w14:paraId="5AF4934E" w14:textId="79AF3650" w:rsidR="00DE77F2" w:rsidRPr="00271AA7" w:rsidRDefault="00DE77F2" w:rsidP="00271AA7">
            <w:pPr>
              <w:spacing w:before="0" w:after="0" w:line="240" w:lineRule="auto"/>
              <w:ind w:firstLine="142"/>
              <w:jc w:val="center"/>
              <w:rPr>
                <w:bCs/>
                <w:sz w:val="20"/>
                <w:szCs w:val="20"/>
                <w:lang w:val="id-ID"/>
              </w:rPr>
            </w:pPr>
            <w:r w:rsidRPr="00271AA7">
              <w:rPr>
                <w:bCs/>
                <w:sz w:val="20"/>
                <w:szCs w:val="20"/>
                <w:lang w:val="id-ID"/>
              </w:rPr>
              <w:t>33,88 (4,95)</w:t>
            </w:r>
          </w:p>
        </w:tc>
        <w:tc>
          <w:tcPr>
            <w:tcW w:w="851" w:type="dxa"/>
            <w:shd w:val="clear" w:color="auto" w:fill="D9D9D9" w:themeFill="background1" w:themeFillShade="D9"/>
          </w:tcPr>
          <w:p w14:paraId="73C3FB96" w14:textId="4D19A54D"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0,0</w:t>
            </w:r>
            <w:r w:rsidR="00DE77F2" w:rsidRPr="00271AA7">
              <w:rPr>
                <w:bCs/>
                <w:sz w:val="20"/>
                <w:szCs w:val="20"/>
                <w:lang w:val="id-ID"/>
              </w:rPr>
              <w:t>01</w:t>
            </w:r>
            <w:r w:rsidRPr="00271AA7">
              <w:rPr>
                <w:bCs/>
                <w:sz w:val="20"/>
                <w:szCs w:val="20"/>
                <w:lang w:val="id-ID"/>
              </w:rPr>
              <w:t>*</w:t>
            </w:r>
          </w:p>
        </w:tc>
        <w:tc>
          <w:tcPr>
            <w:tcW w:w="1701" w:type="dxa"/>
            <w:shd w:val="clear" w:color="auto" w:fill="D9D9D9" w:themeFill="background1" w:themeFillShade="D9"/>
          </w:tcPr>
          <w:p w14:paraId="25185D71" w14:textId="663917B9" w:rsidR="009F2CCF" w:rsidRPr="00271AA7" w:rsidRDefault="00132DBB" w:rsidP="00271AA7">
            <w:pPr>
              <w:spacing w:before="0" w:after="0" w:line="240" w:lineRule="auto"/>
              <w:ind w:firstLine="142"/>
              <w:jc w:val="center"/>
              <w:rPr>
                <w:bCs/>
                <w:sz w:val="20"/>
                <w:szCs w:val="20"/>
                <w:lang w:val="id-ID"/>
              </w:rPr>
            </w:pPr>
            <w:r w:rsidRPr="00271AA7">
              <w:rPr>
                <w:bCs/>
                <w:sz w:val="20"/>
                <w:szCs w:val="20"/>
                <w:lang w:val="id-ID"/>
              </w:rPr>
              <w:t>23,00 (6,69)</w:t>
            </w:r>
          </w:p>
        </w:tc>
        <w:tc>
          <w:tcPr>
            <w:tcW w:w="861" w:type="dxa"/>
            <w:shd w:val="clear" w:color="auto" w:fill="D9D9D9" w:themeFill="background1" w:themeFillShade="D9"/>
          </w:tcPr>
          <w:p w14:paraId="1BD9748E" w14:textId="38A8F54B"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0,021*</w:t>
            </w:r>
          </w:p>
        </w:tc>
      </w:tr>
      <w:tr w:rsidR="005D2CFA" w:rsidRPr="00271AA7" w14:paraId="25DEC00F" w14:textId="00592B0E" w:rsidTr="00D60E8A">
        <w:trPr>
          <w:trHeight w:val="271"/>
        </w:trPr>
        <w:tc>
          <w:tcPr>
            <w:tcW w:w="1508" w:type="dxa"/>
            <w:shd w:val="clear" w:color="auto" w:fill="FFFFFF" w:themeFill="background1"/>
            <w:tcMar>
              <w:top w:w="15" w:type="dxa"/>
              <w:left w:w="90" w:type="dxa"/>
              <w:bottom w:w="0" w:type="dxa"/>
              <w:right w:w="90" w:type="dxa"/>
            </w:tcMar>
            <w:hideMark/>
          </w:tcPr>
          <w:p w14:paraId="1589A116"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 </w:t>
            </w:r>
          </w:p>
        </w:tc>
        <w:tc>
          <w:tcPr>
            <w:tcW w:w="1559" w:type="dxa"/>
            <w:shd w:val="clear" w:color="auto" w:fill="FFFFFF" w:themeFill="background1"/>
            <w:tcMar>
              <w:top w:w="15" w:type="dxa"/>
              <w:left w:w="90" w:type="dxa"/>
              <w:bottom w:w="0" w:type="dxa"/>
              <w:right w:w="90" w:type="dxa"/>
            </w:tcMar>
          </w:tcPr>
          <w:p w14:paraId="5BF58588"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Rendah</w:t>
            </w:r>
          </w:p>
        </w:tc>
        <w:tc>
          <w:tcPr>
            <w:tcW w:w="1276" w:type="dxa"/>
            <w:shd w:val="clear" w:color="auto" w:fill="FFFFFF" w:themeFill="background1"/>
            <w:tcMar>
              <w:top w:w="15" w:type="dxa"/>
              <w:left w:w="90" w:type="dxa"/>
              <w:bottom w:w="0" w:type="dxa"/>
              <w:right w:w="90" w:type="dxa"/>
            </w:tcMar>
          </w:tcPr>
          <w:p w14:paraId="7510A99D"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142 (85,5)</w:t>
            </w:r>
          </w:p>
        </w:tc>
        <w:tc>
          <w:tcPr>
            <w:tcW w:w="1417" w:type="dxa"/>
            <w:shd w:val="clear" w:color="auto" w:fill="FFFFFF" w:themeFill="background1"/>
            <w:tcMar>
              <w:top w:w="15" w:type="dxa"/>
              <w:left w:w="90" w:type="dxa"/>
              <w:bottom w:w="0" w:type="dxa"/>
              <w:right w:w="90" w:type="dxa"/>
            </w:tcMar>
          </w:tcPr>
          <w:p w14:paraId="1B47EBDE" w14:textId="6AE92278"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29,30 (8,69)</w:t>
            </w:r>
          </w:p>
        </w:tc>
        <w:tc>
          <w:tcPr>
            <w:tcW w:w="851" w:type="dxa"/>
            <w:shd w:val="clear" w:color="auto" w:fill="FFFFFF" w:themeFill="background1"/>
          </w:tcPr>
          <w:p w14:paraId="313052A1" w14:textId="77777777" w:rsidR="009F2CCF" w:rsidRPr="00271AA7" w:rsidRDefault="009F2CCF" w:rsidP="00271AA7">
            <w:pPr>
              <w:spacing w:before="0" w:after="0" w:line="240" w:lineRule="auto"/>
              <w:ind w:firstLine="142"/>
              <w:jc w:val="center"/>
              <w:rPr>
                <w:bCs/>
                <w:sz w:val="20"/>
                <w:szCs w:val="20"/>
                <w:lang w:val="id-ID"/>
              </w:rPr>
            </w:pPr>
          </w:p>
        </w:tc>
        <w:tc>
          <w:tcPr>
            <w:tcW w:w="1701" w:type="dxa"/>
            <w:shd w:val="clear" w:color="auto" w:fill="FFFFFF" w:themeFill="background1"/>
          </w:tcPr>
          <w:p w14:paraId="5DB1C992" w14:textId="244E6C4E" w:rsidR="009F2CCF" w:rsidRPr="00271AA7" w:rsidRDefault="00132DBB" w:rsidP="00271AA7">
            <w:pPr>
              <w:spacing w:before="0" w:after="0" w:line="240" w:lineRule="auto"/>
              <w:ind w:firstLine="142"/>
              <w:jc w:val="center"/>
              <w:rPr>
                <w:bCs/>
                <w:sz w:val="20"/>
                <w:szCs w:val="20"/>
                <w:lang w:val="id-ID"/>
              </w:rPr>
            </w:pPr>
            <w:r w:rsidRPr="00271AA7">
              <w:rPr>
                <w:bCs/>
                <w:sz w:val="20"/>
                <w:szCs w:val="20"/>
                <w:lang w:val="id-ID"/>
              </w:rPr>
              <w:t>19,29 (7,32)</w:t>
            </w:r>
          </w:p>
        </w:tc>
        <w:tc>
          <w:tcPr>
            <w:tcW w:w="861" w:type="dxa"/>
            <w:shd w:val="clear" w:color="auto" w:fill="FFFFFF" w:themeFill="background1"/>
          </w:tcPr>
          <w:p w14:paraId="77D565CA" w14:textId="77777777" w:rsidR="009F2CCF" w:rsidRPr="00271AA7" w:rsidRDefault="009F2CCF" w:rsidP="00271AA7">
            <w:pPr>
              <w:spacing w:before="0" w:after="0" w:line="240" w:lineRule="auto"/>
              <w:ind w:firstLine="142"/>
              <w:jc w:val="center"/>
              <w:rPr>
                <w:bCs/>
                <w:sz w:val="20"/>
                <w:szCs w:val="20"/>
                <w:lang w:val="id-ID"/>
              </w:rPr>
            </w:pPr>
          </w:p>
        </w:tc>
      </w:tr>
      <w:tr w:rsidR="005D2CFA" w:rsidRPr="00271AA7" w14:paraId="661DABA5" w14:textId="50AEEEF1" w:rsidTr="00D60E8A">
        <w:trPr>
          <w:trHeight w:val="247"/>
        </w:trPr>
        <w:tc>
          <w:tcPr>
            <w:tcW w:w="1508" w:type="dxa"/>
            <w:shd w:val="clear" w:color="auto" w:fill="D9D9D9" w:themeFill="background1" w:themeFillShade="D9"/>
            <w:tcMar>
              <w:top w:w="15" w:type="dxa"/>
              <w:left w:w="90" w:type="dxa"/>
              <w:bottom w:w="0" w:type="dxa"/>
              <w:right w:w="90" w:type="dxa"/>
            </w:tcMar>
            <w:hideMark/>
          </w:tcPr>
          <w:p w14:paraId="6D7AC38E"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Status Marital</w:t>
            </w:r>
          </w:p>
        </w:tc>
        <w:tc>
          <w:tcPr>
            <w:tcW w:w="1559" w:type="dxa"/>
            <w:shd w:val="clear" w:color="auto" w:fill="D9D9D9" w:themeFill="background1" w:themeFillShade="D9"/>
            <w:tcMar>
              <w:top w:w="15" w:type="dxa"/>
              <w:left w:w="90" w:type="dxa"/>
              <w:bottom w:w="0" w:type="dxa"/>
              <w:right w:w="90" w:type="dxa"/>
            </w:tcMar>
            <w:hideMark/>
          </w:tcPr>
          <w:p w14:paraId="19AD2310"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Menikah</w:t>
            </w:r>
          </w:p>
        </w:tc>
        <w:tc>
          <w:tcPr>
            <w:tcW w:w="1276" w:type="dxa"/>
            <w:shd w:val="clear" w:color="auto" w:fill="D9D9D9" w:themeFill="background1" w:themeFillShade="D9"/>
            <w:tcMar>
              <w:top w:w="15" w:type="dxa"/>
              <w:left w:w="90" w:type="dxa"/>
              <w:bottom w:w="0" w:type="dxa"/>
              <w:right w:w="90" w:type="dxa"/>
            </w:tcMar>
          </w:tcPr>
          <w:p w14:paraId="2226D5AF"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13 (7,8)</w:t>
            </w:r>
          </w:p>
        </w:tc>
        <w:tc>
          <w:tcPr>
            <w:tcW w:w="1417" w:type="dxa"/>
            <w:shd w:val="clear" w:color="auto" w:fill="D9D9D9" w:themeFill="background1" w:themeFillShade="D9"/>
            <w:tcMar>
              <w:top w:w="15" w:type="dxa"/>
              <w:left w:w="90" w:type="dxa"/>
              <w:bottom w:w="0" w:type="dxa"/>
              <w:right w:w="90" w:type="dxa"/>
            </w:tcMar>
          </w:tcPr>
          <w:p w14:paraId="46E06F3E" w14:textId="6ADDFDA1"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36,00 (0,00)</w:t>
            </w:r>
          </w:p>
        </w:tc>
        <w:tc>
          <w:tcPr>
            <w:tcW w:w="851" w:type="dxa"/>
            <w:shd w:val="clear" w:color="auto" w:fill="D9D9D9" w:themeFill="background1" w:themeFillShade="D9"/>
          </w:tcPr>
          <w:p w14:paraId="2B18811B" w14:textId="5AB369E1"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0,00</w:t>
            </w:r>
            <w:r w:rsidR="00DE77F2" w:rsidRPr="00271AA7">
              <w:rPr>
                <w:bCs/>
                <w:sz w:val="20"/>
                <w:szCs w:val="20"/>
                <w:lang w:val="id-ID"/>
              </w:rPr>
              <w:t>0</w:t>
            </w:r>
            <w:r w:rsidRPr="00271AA7">
              <w:rPr>
                <w:bCs/>
                <w:sz w:val="20"/>
                <w:szCs w:val="20"/>
                <w:lang w:val="id-ID"/>
              </w:rPr>
              <w:t>*</w:t>
            </w:r>
          </w:p>
        </w:tc>
        <w:tc>
          <w:tcPr>
            <w:tcW w:w="1701" w:type="dxa"/>
            <w:shd w:val="clear" w:color="auto" w:fill="D9D9D9" w:themeFill="background1" w:themeFillShade="D9"/>
          </w:tcPr>
          <w:p w14:paraId="6B0182C4" w14:textId="31CDCE35"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26,69 (</w:t>
            </w:r>
            <w:r w:rsidR="00132DBB" w:rsidRPr="00271AA7">
              <w:rPr>
                <w:bCs/>
                <w:sz w:val="20"/>
                <w:szCs w:val="20"/>
                <w:lang w:val="id-ID"/>
              </w:rPr>
              <w:t>3,73)</w:t>
            </w:r>
          </w:p>
        </w:tc>
        <w:tc>
          <w:tcPr>
            <w:tcW w:w="861" w:type="dxa"/>
            <w:shd w:val="clear" w:color="auto" w:fill="D9D9D9" w:themeFill="background1" w:themeFillShade="D9"/>
          </w:tcPr>
          <w:p w14:paraId="621185D1" w14:textId="44D7213A"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0,000*</w:t>
            </w:r>
          </w:p>
        </w:tc>
      </w:tr>
      <w:tr w:rsidR="005D2CFA" w:rsidRPr="00271AA7" w14:paraId="213D7B0A" w14:textId="55477CD7" w:rsidTr="00D60E8A">
        <w:trPr>
          <w:trHeight w:val="265"/>
        </w:trPr>
        <w:tc>
          <w:tcPr>
            <w:tcW w:w="1508" w:type="dxa"/>
            <w:shd w:val="clear" w:color="auto" w:fill="FFFFFF" w:themeFill="background1"/>
            <w:tcMar>
              <w:top w:w="15" w:type="dxa"/>
              <w:left w:w="90" w:type="dxa"/>
              <w:bottom w:w="0" w:type="dxa"/>
              <w:right w:w="90" w:type="dxa"/>
            </w:tcMar>
            <w:hideMark/>
          </w:tcPr>
          <w:p w14:paraId="1B4EB3AF"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 </w:t>
            </w:r>
          </w:p>
        </w:tc>
        <w:tc>
          <w:tcPr>
            <w:tcW w:w="1559" w:type="dxa"/>
            <w:shd w:val="clear" w:color="auto" w:fill="FFFFFF" w:themeFill="background1"/>
            <w:tcMar>
              <w:top w:w="15" w:type="dxa"/>
              <w:left w:w="90" w:type="dxa"/>
              <w:bottom w:w="0" w:type="dxa"/>
              <w:right w:w="90" w:type="dxa"/>
            </w:tcMar>
            <w:hideMark/>
          </w:tcPr>
          <w:p w14:paraId="354FF2C7"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Tidak Menikah</w:t>
            </w:r>
          </w:p>
        </w:tc>
        <w:tc>
          <w:tcPr>
            <w:tcW w:w="1276" w:type="dxa"/>
            <w:shd w:val="clear" w:color="auto" w:fill="FFFFFF" w:themeFill="background1"/>
            <w:tcMar>
              <w:top w:w="15" w:type="dxa"/>
              <w:left w:w="90" w:type="dxa"/>
              <w:bottom w:w="0" w:type="dxa"/>
              <w:right w:w="90" w:type="dxa"/>
            </w:tcMar>
          </w:tcPr>
          <w:p w14:paraId="57218A98"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153 (92,2)</w:t>
            </w:r>
          </w:p>
        </w:tc>
        <w:tc>
          <w:tcPr>
            <w:tcW w:w="1417" w:type="dxa"/>
            <w:shd w:val="clear" w:color="auto" w:fill="FFFFFF" w:themeFill="background1"/>
            <w:tcMar>
              <w:top w:w="15" w:type="dxa"/>
              <w:left w:w="90" w:type="dxa"/>
              <w:bottom w:w="0" w:type="dxa"/>
              <w:right w:w="90" w:type="dxa"/>
            </w:tcMar>
          </w:tcPr>
          <w:p w14:paraId="3CCEBBF1" w14:textId="4E274633"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29,45 (8,56)</w:t>
            </w:r>
          </w:p>
        </w:tc>
        <w:tc>
          <w:tcPr>
            <w:tcW w:w="851" w:type="dxa"/>
            <w:shd w:val="clear" w:color="auto" w:fill="FFFFFF" w:themeFill="background1"/>
          </w:tcPr>
          <w:p w14:paraId="620CD468" w14:textId="77777777" w:rsidR="009F2CCF" w:rsidRPr="00271AA7" w:rsidRDefault="009F2CCF" w:rsidP="00271AA7">
            <w:pPr>
              <w:spacing w:before="0" w:after="0" w:line="240" w:lineRule="auto"/>
              <w:ind w:firstLine="142"/>
              <w:jc w:val="center"/>
              <w:rPr>
                <w:bCs/>
                <w:sz w:val="20"/>
                <w:szCs w:val="20"/>
                <w:lang w:val="id-ID"/>
              </w:rPr>
            </w:pPr>
          </w:p>
        </w:tc>
        <w:tc>
          <w:tcPr>
            <w:tcW w:w="1701" w:type="dxa"/>
            <w:shd w:val="clear" w:color="auto" w:fill="FFFFFF" w:themeFill="background1"/>
          </w:tcPr>
          <w:p w14:paraId="5F4EA45C" w14:textId="6ED04E7F" w:rsidR="009F2CCF" w:rsidRPr="00271AA7" w:rsidRDefault="00DE77F2" w:rsidP="00271AA7">
            <w:pPr>
              <w:spacing w:before="0" w:after="0" w:line="240" w:lineRule="auto"/>
              <w:ind w:firstLine="142"/>
              <w:jc w:val="center"/>
              <w:rPr>
                <w:bCs/>
                <w:sz w:val="20"/>
                <w:szCs w:val="20"/>
                <w:lang w:val="id-ID"/>
              </w:rPr>
            </w:pPr>
            <w:r w:rsidRPr="00271AA7">
              <w:rPr>
                <w:bCs/>
                <w:sz w:val="20"/>
                <w:szCs w:val="20"/>
                <w:lang w:val="id-ID"/>
              </w:rPr>
              <w:t xml:space="preserve">19,24 </w:t>
            </w:r>
            <w:r w:rsidR="00132DBB" w:rsidRPr="00271AA7">
              <w:rPr>
                <w:bCs/>
                <w:sz w:val="20"/>
                <w:szCs w:val="20"/>
                <w:lang w:val="id-ID"/>
              </w:rPr>
              <w:t>(7,27)</w:t>
            </w:r>
          </w:p>
        </w:tc>
        <w:tc>
          <w:tcPr>
            <w:tcW w:w="861" w:type="dxa"/>
            <w:shd w:val="clear" w:color="auto" w:fill="FFFFFF" w:themeFill="background1"/>
          </w:tcPr>
          <w:p w14:paraId="328D1CBF" w14:textId="77777777" w:rsidR="009F2CCF" w:rsidRPr="00271AA7" w:rsidRDefault="009F2CCF" w:rsidP="00271AA7">
            <w:pPr>
              <w:spacing w:before="0" w:after="0" w:line="240" w:lineRule="auto"/>
              <w:ind w:firstLine="142"/>
              <w:jc w:val="center"/>
              <w:rPr>
                <w:bCs/>
                <w:sz w:val="20"/>
                <w:szCs w:val="20"/>
                <w:lang w:val="id-ID"/>
              </w:rPr>
            </w:pPr>
          </w:p>
        </w:tc>
      </w:tr>
      <w:tr w:rsidR="005D2CFA" w:rsidRPr="00271AA7" w14:paraId="3765D211" w14:textId="6A94A0A7" w:rsidTr="00D60E8A">
        <w:trPr>
          <w:trHeight w:val="186"/>
        </w:trPr>
        <w:tc>
          <w:tcPr>
            <w:tcW w:w="1508" w:type="dxa"/>
            <w:shd w:val="clear" w:color="auto" w:fill="D9D9D9" w:themeFill="background1" w:themeFillShade="D9"/>
            <w:tcMar>
              <w:top w:w="15" w:type="dxa"/>
              <w:left w:w="90" w:type="dxa"/>
              <w:bottom w:w="0" w:type="dxa"/>
              <w:right w:w="90" w:type="dxa"/>
            </w:tcMar>
          </w:tcPr>
          <w:p w14:paraId="4EA5FFA1"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Demensia</w:t>
            </w:r>
          </w:p>
        </w:tc>
        <w:tc>
          <w:tcPr>
            <w:tcW w:w="1559" w:type="dxa"/>
            <w:shd w:val="clear" w:color="auto" w:fill="D9D9D9" w:themeFill="background1" w:themeFillShade="D9"/>
            <w:tcMar>
              <w:top w:w="15" w:type="dxa"/>
              <w:left w:w="90" w:type="dxa"/>
              <w:bottom w:w="0" w:type="dxa"/>
              <w:right w:w="90" w:type="dxa"/>
            </w:tcMar>
          </w:tcPr>
          <w:p w14:paraId="514CAAE3"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Ya</w:t>
            </w:r>
          </w:p>
        </w:tc>
        <w:tc>
          <w:tcPr>
            <w:tcW w:w="1276" w:type="dxa"/>
            <w:shd w:val="clear" w:color="auto" w:fill="D9D9D9" w:themeFill="background1" w:themeFillShade="D9"/>
            <w:tcMar>
              <w:top w:w="15" w:type="dxa"/>
              <w:left w:w="90" w:type="dxa"/>
              <w:bottom w:w="0" w:type="dxa"/>
              <w:right w:w="90" w:type="dxa"/>
            </w:tcMar>
          </w:tcPr>
          <w:p w14:paraId="0544B9C9"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109 (65,7)</w:t>
            </w:r>
          </w:p>
        </w:tc>
        <w:tc>
          <w:tcPr>
            <w:tcW w:w="1417" w:type="dxa"/>
            <w:shd w:val="clear" w:color="auto" w:fill="D9D9D9" w:themeFill="background1" w:themeFillShade="D9"/>
            <w:tcMar>
              <w:top w:w="15" w:type="dxa"/>
              <w:left w:w="90" w:type="dxa"/>
              <w:bottom w:w="0" w:type="dxa"/>
              <w:right w:w="90" w:type="dxa"/>
            </w:tcMar>
          </w:tcPr>
          <w:p w14:paraId="3897F60A" w14:textId="77777777" w:rsidR="009F2CCF" w:rsidRPr="00271AA7" w:rsidRDefault="009F2CCF" w:rsidP="00271AA7">
            <w:pPr>
              <w:spacing w:before="0" w:after="0" w:line="240" w:lineRule="auto"/>
              <w:ind w:firstLine="142"/>
              <w:jc w:val="center"/>
              <w:rPr>
                <w:bCs/>
                <w:sz w:val="20"/>
                <w:szCs w:val="20"/>
                <w:lang w:val="id-ID"/>
              </w:rPr>
            </w:pPr>
            <w:r w:rsidRPr="00271AA7">
              <w:rPr>
                <w:sz w:val="20"/>
                <w:szCs w:val="20"/>
                <w:lang w:val="id-ID"/>
              </w:rPr>
              <w:t>27,28 (9,21)</w:t>
            </w:r>
          </w:p>
        </w:tc>
        <w:tc>
          <w:tcPr>
            <w:tcW w:w="851" w:type="dxa"/>
            <w:shd w:val="clear" w:color="auto" w:fill="D9D9D9" w:themeFill="background1" w:themeFillShade="D9"/>
          </w:tcPr>
          <w:p w14:paraId="38C6A2F1"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0,000*</w:t>
            </w:r>
          </w:p>
        </w:tc>
        <w:tc>
          <w:tcPr>
            <w:tcW w:w="1701" w:type="dxa"/>
            <w:shd w:val="clear" w:color="auto" w:fill="D9D9D9" w:themeFill="background1" w:themeFillShade="D9"/>
          </w:tcPr>
          <w:p w14:paraId="29416612" w14:textId="0C2285E4" w:rsidR="009F2CCF" w:rsidRPr="00271AA7" w:rsidRDefault="009F2CCF" w:rsidP="00271AA7">
            <w:pPr>
              <w:spacing w:before="0" w:after="0" w:line="240" w:lineRule="auto"/>
              <w:ind w:firstLine="142"/>
              <w:jc w:val="center"/>
              <w:rPr>
                <w:bCs/>
                <w:sz w:val="20"/>
                <w:szCs w:val="20"/>
                <w:lang w:val="id-ID"/>
              </w:rPr>
            </w:pPr>
            <w:r w:rsidRPr="00271AA7">
              <w:rPr>
                <w:sz w:val="20"/>
                <w:szCs w:val="20"/>
                <w:lang w:val="id-ID"/>
              </w:rPr>
              <w:t>17,33 (7,14)</w:t>
            </w:r>
          </w:p>
        </w:tc>
        <w:tc>
          <w:tcPr>
            <w:tcW w:w="861" w:type="dxa"/>
            <w:shd w:val="clear" w:color="auto" w:fill="D9D9D9" w:themeFill="background1" w:themeFillShade="D9"/>
          </w:tcPr>
          <w:p w14:paraId="62E41BA1" w14:textId="23772ACF"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0,000*</w:t>
            </w:r>
          </w:p>
        </w:tc>
      </w:tr>
      <w:tr w:rsidR="005D2CFA" w:rsidRPr="00271AA7" w14:paraId="1B947C67" w14:textId="6404DE15" w:rsidTr="00D60E8A">
        <w:trPr>
          <w:trHeight w:val="333"/>
        </w:trPr>
        <w:tc>
          <w:tcPr>
            <w:tcW w:w="1508" w:type="dxa"/>
            <w:tcBorders>
              <w:left w:val="single" w:sz="8" w:space="0" w:color="FFFFFF"/>
              <w:bottom w:val="single" w:sz="4" w:space="0" w:color="auto"/>
              <w:right w:val="single" w:sz="8" w:space="0" w:color="FFFFFF"/>
            </w:tcBorders>
            <w:shd w:val="clear" w:color="auto" w:fill="FFFFFF" w:themeFill="background1"/>
            <w:tcMar>
              <w:top w:w="15" w:type="dxa"/>
              <w:left w:w="90" w:type="dxa"/>
              <w:bottom w:w="0" w:type="dxa"/>
              <w:right w:w="90" w:type="dxa"/>
            </w:tcMar>
          </w:tcPr>
          <w:p w14:paraId="583899D6" w14:textId="77777777" w:rsidR="009F2CCF" w:rsidRPr="00271AA7" w:rsidRDefault="009F2CCF" w:rsidP="00271AA7">
            <w:pPr>
              <w:spacing w:before="0" w:after="0" w:line="240" w:lineRule="auto"/>
              <w:ind w:firstLine="142"/>
              <w:rPr>
                <w:bCs/>
                <w:sz w:val="20"/>
                <w:szCs w:val="20"/>
                <w:lang w:val="id-ID"/>
              </w:rPr>
            </w:pPr>
          </w:p>
        </w:tc>
        <w:tc>
          <w:tcPr>
            <w:tcW w:w="1559" w:type="dxa"/>
            <w:tcBorders>
              <w:left w:val="single" w:sz="8" w:space="0" w:color="FFFFFF"/>
              <w:bottom w:val="single" w:sz="4" w:space="0" w:color="auto"/>
              <w:right w:val="single" w:sz="8" w:space="0" w:color="FFFFFF"/>
            </w:tcBorders>
            <w:shd w:val="clear" w:color="auto" w:fill="FFFFFF" w:themeFill="background1"/>
            <w:tcMar>
              <w:top w:w="15" w:type="dxa"/>
              <w:left w:w="90" w:type="dxa"/>
              <w:bottom w:w="0" w:type="dxa"/>
              <w:right w:w="90" w:type="dxa"/>
            </w:tcMar>
          </w:tcPr>
          <w:p w14:paraId="0E728169" w14:textId="77777777" w:rsidR="009F2CCF" w:rsidRPr="00271AA7" w:rsidRDefault="009F2CCF" w:rsidP="00271AA7">
            <w:pPr>
              <w:spacing w:before="0" w:after="0" w:line="240" w:lineRule="auto"/>
              <w:ind w:firstLine="142"/>
              <w:rPr>
                <w:bCs/>
                <w:sz w:val="20"/>
                <w:szCs w:val="20"/>
                <w:lang w:val="id-ID"/>
              </w:rPr>
            </w:pPr>
            <w:r w:rsidRPr="00271AA7">
              <w:rPr>
                <w:bCs/>
                <w:sz w:val="20"/>
                <w:szCs w:val="20"/>
                <w:lang w:val="id-ID"/>
              </w:rPr>
              <w:t>Tidak</w:t>
            </w:r>
          </w:p>
        </w:tc>
        <w:tc>
          <w:tcPr>
            <w:tcW w:w="1276" w:type="dxa"/>
            <w:tcBorders>
              <w:left w:val="single" w:sz="8" w:space="0" w:color="FFFFFF"/>
              <w:bottom w:val="single" w:sz="4" w:space="0" w:color="auto"/>
              <w:right w:val="single" w:sz="8" w:space="0" w:color="FFFFFF"/>
            </w:tcBorders>
            <w:shd w:val="clear" w:color="auto" w:fill="FFFFFF" w:themeFill="background1"/>
            <w:tcMar>
              <w:top w:w="15" w:type="dxa"/>
              <w:left w:w="90" w:type="dxa"/>
              <w:bottom w:w="0" w:type="dxa"/>
              <w:right w:w="90" w:type="dxa"/>
            </w:tcMar>
          </w:tcPr>
          <w:p w14:paraId="59DB4460" w14:textId="77777777" w:rsidR="009F2CCF" w:rsidRPr="00271AA7" w:rsidRDefault="009F2CCF" w:rsidP="00271AA7">
            <w:pPr>
              <w:spacing w:before="0" w:after="0" w:line="240" w:lineRule="auto"/>
              <w:ind w:firstLine="142"/>
              <w:jc w:val="center"/>
              <w:rPr>
                <w:bCs/>
                <w:sz w:val="20"/>
                <w:szCs w:val="20"/>
                <w:lang w:val="id-ID"/>
              </w:rPr>
            </w:pPr>
            <w:r w:rsidRPr="00271AA7">
              <w:rPr>
                <w:bCs/>
                <w:sz w:val="20"/>
                <w:szCs w:val="20"/>
                <w:lang w:val="id-ID"/>
              </w:rPr>
              <w:t>57 (34,3)</w:t>
            </w:r>
          </w:p>
        </w:tc>
        <w:tc>
          <w:tcPr>
            <w:tcW w:w="1417" w:type="dxa"/>
            <w:tcBorders>
              <w:left w:val="single" w:sz="8" w:space="0" w:color="FFFFFF"/>
              <w:bottom w:val="single" w:sz="4" w:space="0" w:color="auto"/>
              <w:right w:val="single" w:sz="8" w:space="0" w:color="FFFFFF"/>
            </w:tcBorders>
            <w:shd w:val="clear" w:color="auto" w:fill="FFFFFF" w:themeFill="background1"/>
            <w:tcMar>
              <w:top w:w="15" w:type="dxa"/>
              <w:left w:w="90" w:type="dxa"/>
              <w:bottom w:w="0" w:type="dxa"/>
              <w:right w:w="90" w:type="dxa"/>
            </w:tcMar>
          </w:tcPr>
          <w:p w14:paraId="4BDB0FA9" w14:textId="77777777" w:rsidR="009F2CCF" w:rsidRPr="00271AA7" w:rsidRDefault="009F2CCF" w:rsidP="00271AA7">
            <w:pPr>
              <w:spacing w:before="0" w:after="0" w:line="240" w:lineRule="auto"/>
              <w:ind w:firstLine="142"/>
              <w:jc w:val="center"/>
              <w:rPr>
                <w:bCs/>
                <w:sz w:val="20"/>
                <w:szCs w:val="20"/>
                <w:lang w:val="id-ID"/>
              </w:rPr>
            </w:pPr>
            <w:r w:rsidRPr="00271AA7">
              <w:rPr>
                <w:sz w:val="20"/>
                <w:szCs w:val="20"/>
                <w:lang w:val="id-ID"/>
              </w:rPr>
              <w:t>35,11 (1,83)</w:t>
            </w:r>
          </w:p>
        </w:tc>
        <w:tc>
          <w:tcPr>
            <w:tcW w:w="851" w:type="dxa"/>
            <w:tcBorders>
              <w:left w:val="single" w:sz="8" w:space="0" w:color="FFFFFF"/>
              <w:bottom w:val="single" w:sz="4" w:space="0" w:color="auto"/>
              <w:right w:val="single" w:sz="8" w:space="0" w:color="FFFFFF"/>
            </w:tcBorders>
            <w:shd w:val="clear" w:color="auto" w:fill="FFFFFF" w:themeFill="background1"/>
          </w:tcPr>
          <w:p w14:paraId="2DF498BE" w14:textId="77777777" w:rsidR="009F2CCF" w:rsidRPr="00271AA7" w:rsidRDefault="009F2CCF" w:rsidP="00271AA7">
            <w:pPr>
              <w:spacing w:before="0" w:after="0" w:line="240" w:lineRule="auto"/>
              <w:ind w:firstLine="142"/>
              <w:jc w:val="center"/>
              <w:rPr>
                <w:bCs/>
                <w:sz w:val="20"/>
                <w:szCs w:val="20"/>
                <w:lang w:val="id-ID"/>
              </w:rPr>
            </w:pPr>
          </w:p>
        </w:tc>
        <w:tc>
          <w:tcPr>
            <w:tcW w:w="1701" w:type="dxa"/>
            <w:tcBorders>
              <w:left w:val="single" w:sz="8" w:space="0" w:color="FFFFFF"/>
              <w:bottom w:val="single" w:sz="4" w:space="0" w:color="auto"/>
              <w:right w:val="single" w:sz="8" w:space="0" w:color="FFFFFF"/>
            </w:tcBorders>
            <w:shd w:val="clear" w:color="auto" w:fill="FFFFFF" w:themeFill="background1"/>
          </w:tcPr>
          <w:p w14:paraId="04B4B27A" w14:textId="2DB21CC5" w:rsidR="009F2CCF" w:rsidRPr="00271AA7" w:rsidRDefault="009F2CCF" w:rsidP="00271AA7">
            <w:pPr>
              <w:spacing w:before="0" w:after="0" w:line="240" w:lineRule="auto"/>
              <w:ind w:firstLine="142"/>
              <w:jc w:val="center"/>
              <w:rPr>
                <w:bCs/>
                <w:sz w:val="20"/>
                <w:szCs w:val="20"/>
                <w:lang w:val="id-ID"/>
              </w:rPr>
            </w:pPr>
            <w:r w:rsidRPr="00271AA7">
              <w:rPr>
                <w:sz w:val="20"/>
                <w:szCs w:val="20"/>
                <w:lang w:val="id-ID"/>
              </w:rPr>
              <w:t>24,60 (4,99)</w:t>
            </w:r>
          </w:p>
        </w:tc>
        <w:tc>
          <w:tcPr>
            <w:tcW w:w="861" w:type="dxa"/>
            <w:tcBorders>
              <w:left w:val="single" w:sz="8" w:space="0" w:color="FFFFFF"/>
              <w:bottom w:val="single" w:sz="4" w:space="0" w:color="auto"/>
              <w:right w:val="single" w:sz="8" w:space="0" w:color="FFFFFF"/>
            </w:tcBorders>
            <w:shd w:val="clear" w:color="auto" w:fill="FFFFFF" w:themeFill="background1"/>
          </w:tcPr>
          <w:p w14:paraId="29C8A95E" w14:textId="77777777" w:rsidR="009F2CCF" w:rsidRPr="00271AA7" w:rsidRDefault="009F2CCF" w:rsidP="00271AA7">
            <w:pPr>
              <w:spacing w:before="0" w:after="0" w:line="240" w:lineRule="auto"/>
              <w:ind w:firstLine="142"/>
              <w:jc w:val="center"/>
              <w:rPr>
                <w:bCs/>
                <w:sz w:val="20"/>
                <w:szCs w:val="20"/>
                <w:lang w:val="id-ID"/>
              </w:rPr>
            </w:pPr>
          </w:p>
        </w:tc>
      </w:tr>
    </w:tbl>
    <w:p w14:paraId="2A754AEB" w14:textId="5CFC7F1F" w:rsidR="009F2CCF" w:rsidRPr="00271AA7" w:rsidRDefault="009F2CCF" w:rsidP="00271AA7">
      <w:pPr>
        <w:spacing w:before="0" w:after="0" w:line="360" w:lineRule="auto"/>
        <w:rPr>
          <w:bCs/>
          <w:lang w:val="id-ID"/>
        </w:rPr>
      </w:pPr>
    </w:p>
    <w:p w14:paraId="708F8C25" w14:textId="0459A099" w:rsidR="009F2CCF" w:rsidRPr="00271AA7" w:rsidRDefault="00A6343E" w:rsidP="00271AA7">
      <w:pPr>
        <w:spacing w:before="0" w:after="0" w:line="360" w:lineRule="auto"/>
        <w:rPr>
          <w:lang w:val="id-ID"/>
        </w:rPr>
      </w:pPr>
      <w:r w:rsidRPr="00271AA7">
        <w:rPr>
          <w:bCs/>
          <w:lang w:val="id-ID"/>
        </w:rPr>
        <w:t>Dari tabel di atas diketahui</w:t>
      </w:r>
      <w:r w:rsidR="00690458" w:rsidRPr="00271AA7">
        <w:rPr>
          <w:bCs/>
          <w:lang w:val="id-ID"/>
        </w:rPr>
        <w:t xml:space="preserve"> terdapat</w:t>
      </w:r>
      <w:r w:rsidRPr="00271AA7">
        <w:rPr>
          <w:bCs/>
          <w:lang w:val="id-ID"/>
        </w:rPr>
        <w:t xml:space="preserve"> </w:t>
      </w:r>
      <w:r w:rsidR="00690458" w:rsidRPr="00271AA7">
        <w:rPr>
          <w:bCs/>
          <w:lang w:val="id-ID"/>
        </w:rPr>
        <w:t xml:space="preserve">hubungan signifikan antara BADL dan IADL dengan pendidikan, status marital, dan demensia (p&lt;0,05). </w:t>
      </w:r>
      <w:r w:rsidR="00081146" w:rsidRPr="00271AA7">
        <w:rPr>
          <w:bCs/>
          <w:lang w:val="id-ID"/>
        </w:rPr>
        <w:t>H</w:t>
      </w:r>
      <w:r w:rsidR="00DA472F" w:rsidRPr="00271AA7">
        <w:rPr>
          <w:bCs/>
          <w:lang w:val="id-ID"/>
        </w:rPr>
        <w:t>asil penelitian</w:t>
      </w:r>
      <w:r w:rsidR="00081146" w:rsidRPr="00271AA7">
        <w:rPr>
          <w:bCs/>
          <w:lang w:val="id-ID"/>
        </w:rPr>
        <w:t xml:space="preserve"> pada 120 lansia berusia ≥ 65 tahun menunjukkan usia, pendidikan, komorbid, dan penurunan fungsi kognitif berhubungan signifikan dengan BADL dan IADL pada lansia di Filipina </w:t>
      </w:r>
      <w:r w:rsidR="00081146" w:rsidRPr="00271AA7">
        <w:rPr>
          <w:bCs/>
          <w:lang w:val="id-ID"/>
        </w:rPr>
        <w:fldChar w:fldCharType="begin" w:fldLock="1"/>
      </w:r>
      <w:r w:rsidR="00081146" w:rsidRPr="00271AA7">
        <w:rPr>
          <w:bCs/>
          <w:lang w:val="id-ID"/>
        </w:rPr>
        <w:instrText>ADDIN CSL_CITATION {"citationItems":[{"id":"ITEM-1","itemData":{"ISSN":"2354-211X","abstract":"This study compared the dependency needs of the nursing home residents and community-dwelling elderly in the performance of Basic and Instrumental Activities of Daily Living (ADL). It was also correlated to their age, educational attainment, cognitive status, and health-related conditions. It was conducted in one community and in four (4) Geriatric Homes in Cebu, Philippines. There were 120 respondents of the study, aged 65 years old and above. To measure their cognitive status, the standardized Mini Mental Status Examination by Folstein et al. (1975) was used. The dependency needs in performing ADLs were assessed using the Katz Index of Independence (1963) and Lawton Instrumental ADL Scale (1969). The elderly from the home for the age needed assistance in basic ADL and are dependent on the performing instrumental ADL, while the community-dwelling elderly were independent in both basic and instrumental ADL. Age, educational attainment, co-morbidities and cognitive status were found to have significant relationships in the performance of basic and instrumental ADL among the Filipino elderly. Moreover, there was a significant difference in the ADL performance between the nursing home residents and community-dwelling elderly. With functional decline as person ages, it is essential to support the health needs of the elderly.","author":[{"dropping-particle":"","family":"Inocian","given":"Ergie P.","non-dropping-particle":"","parse-names":false,"suffix":""},{"dropping-particle":"","family":"Inocian","given":"Edsel P.","non-dropping-particle":"","parse-names":false,"suffix":""},{"dropping-particle":"","family":"Ysatam","given":"Elsie I.","non-dropping-particle":"","parse-names":false,"suffix":""}],"container-title":"International Research Journal of Medicine and Medical Sciences","id":"ITEM-1","issued":{"date-parts":[["2014"]]},"title":"The dependency needs in the activities of daily living performance among Filipino elderly","type":"article-journal"},"uris":["http://www.mendeley.com/documents/?uuid=5e628bbf-2e80-4a0c-9062-42b9f21c98b0"]}],"mendeley":{"formattedCitation":"(Inocian, Inocian, &amp; Ysatam, 2014)","plainTextFormattedCitation":"(Inocian, Inocian, &amp; Ysatam, 2014)","previouslyFormattedCitation":"(Inocian, Inocian, &amp; Ysatam, 2014)"},"properties":{"noteIndex":0},"schema":"https://github.com/citation-style-language/schema/raw/master/csl-citation.json"}</w:instrText>
      </w:r>
      <w:r w:rsidR="00081146" w:rsidRPr="00271AA7">
        <w:rPr>
          <w:bCs/>
          <w:lang w:val="id-ID"/>
        </w:rPr>
        <w:fldChar w:fldCharType="separate"/>
      </w:r>
      <w:r w:rsidR="00081146" w:rsidRPr="00271AA7">
        <w:rPr>
          <w:bCs/>
          <w:noProof/>
          <w:lang w:val="id-ID"/>
        </w:rPr>
        <w:t>(Inocian, Inocian, &amp; Ysatam, 2014)</w:t>
      </w:r>
      <w:r w:rsidR="00081146" w:rsidRPr="00271AA7">
        <w:rPr>
          <w:bCs/>
          <w:lang w:val="id-ID"/>
        </w:rPr>
        <w:fldChar w:fldCharType="end"/>
      </w:r>
      <w:r w:rsidR="00081146" w:rsidRPr="00271AA7">
        <w:rPr>
          <w:bCs/>
          <w:lang w:val="id-ID"/>
        </w:rPr>
        <w:t xml:space="preserve">. Hal ini sesuai dengan penelitian ini bahwa pendidikan </w:t>
      </w:r>
      <w:r w:rsidR="00DA472F" w:rsidRPr="00271AA7">
        <w:rPr>
          <w:bCs/>
          <w:lang w:val="id-ID"/>
        </w:rPr>
        <w:t xml:space="preserve">dan penurunan fungsi kognitif </w:t>
      </w:r>
      <w:r w:rsidR="00081146" w:rsidRPr="00271AA7">
        <w:rPr>
          <w:bCs/>
          <w:lang w:val="id-ID"/>
        </w:rPr>
        <w:t xml:space="preserve">berhubungan dengan kemandirian dalam memenuhi BADL/IADL </w:t>
      </w:r>
      <w:r w:rsidR="00DA472F" w:rsidRPr="00271AA7">
        <w:rPr>
          <w:bCs/>
          <w:lang w:val="id-ID"/>
        </w:rPr>
        <w:t>karena</w:t>
      </w:r>
      <w:r w:rsidR="00081146" w:rsidRPr="00271AA7">
        <w:rPr>
          <w:bCs/>
          <w:lang w:val="id-ID"/>
        </w:rPr>
        <w:t xml:space="preserve"> orang yang berpendidikan tinggi akan berpikir bahwa </w:t>
      </w:r>
      <w:r w:rsidR="00DA472F" w:rsidRPr="00271AA7">
        <w:rPr>
          <w:bCs/>
          <w:lang w:val="id-ID"/>
        </w:rPr>
        <w:t>mandiri dalam</w:t>
      </w:r>
      <w:r w:rsidR="00081146" w:rsidRPr="00271AA7">
        <w:rPr>
          <w:bCs/>
          <w:lang w:val="id-ID"/>
        </w:rPr>
        <w:t xml:space="preserve"> melakukan kegiatan sehari-hari akan mencegah terjadinya penyakit yang diakibatkan kurang aktivitas. </w:t>
      </w:r>
      <w:r w:rsidR="00DA472F" w:rsidRPr="00271AA7">
        <w:rPr>
          <w:bCs/>
          <w:lang w:val="id-ID"/>
        </w:rPr>
        <w:t>P</w:t>
      </w:r>
      <w:r w:rsidR="001B7768" w:rsidRPr="00271AA7">
        <w:rPr>
          <w:bCs/>
          <w:lang w:val="id-ID"/>
        </w:rPr>
        <w:t xml:space="preserve">enelitian </w:t>
      </w:r>
      <w:r w:rsidR="00DA472F" w:rsidRPr="00271AA7">
        <w:rPr>
          <w:bCs/>
          <w:lang w:val="id-ID"/>
        </w:rPr>
        <w:t>menemukan</w:t>
      </w:r>
      <w:r w:rsidR="001B7768" w:rsidRPr="00271AA7">
        <w:rPr>
          <w:bCs/>
          <w:lang w:val="id-ID"/>
        </w:rPr>
        <w:t xml:space="preserve"> fungsional kaki berhubungan dengan status marital,</w:t>
      </w:r>
      <w:r w:rsidR="00980244" w:rsidRPr="00271AA7">
        <w:rPr>
          <w:bCs/>
          <w:lang w:val="id-ID"/>
        </w:rPr>
        <w:t xml:space="preserve"> indeks massa tubuh (IMT), jumlah obat, dan</w:t>
      </w:r>
      <w:r w:rsidR="001B7768" w:rsidRPr="00271AA7">
        <w:rPr>
          <w:bCs/>
          <w:lang w:val="id-ID"/>
        </w:rPr>
        <w:t xml:space="preserve"> kelemahan sensori pendengaran dan penglihatan</w:t>
      </w:r>
      <w:r w:rsidR="00980244" w:rsidRPr="00271AA7">
        <w:rPr>
          <w:bCs/>
          <w:lang w:val="id-ID"/>
        </w:rPr>
        <w:t xml:space="preserve">, </w:t>
      </w:r>
      <w:r w:rsidR="00DA472F" w:rsidRPr="00271AA7">
        <w:rPr>
          <w:bCs/>
          <w:lang w:val="id-ID"/>
        </w:rPr>
        <w:t xml:space="preserve">sedangkan </w:t>
      </w:r>
      <w:r w:rsidR="00980244" w:rsidRPr="00271AA7">
        <w:rPr>
          <w:bCs/>
          <w:lang w:val="id-ID"/>
        </w:rPr>
        <w:t xml:space="preserve">IADL berhubungan dengan penurunan fungsi kognitif </w:t>
      </w:r>
      <w:r w:rsidR="00980244" w:rsidRPr="00271AA7">
        <w:rPr>
          <w:bCs/>
          <w:lang w:val="id-ID"/>
        </w:rPr>
        <w:fldChar w:fldCharType="begin" w:fldLock="1"/>
      </w:r>
      <w:r w:rsidR="00214499" w:rsidRPr="00271AA7">
        <w:rPr>
          <w:bCs/>
          <w:lang w:val="id-ID"/>
        </w:rPr>
        <w:instrText>ADDIN CSL_CITATION {"citationItems":[{"id":"ITEM-1","itemData":{"DOI":"10.1016/j.gaceta.2011.09.035","ISSN":"1578-1283","abstract":"OBJECTIVES: To identify the factors associated with functional status in a population aged ≥ 75 years without severe dependence.\\n\\nMETHODS: A cross-sectional study of a random sample (n = 315) of elderly persons in a primary care setting (El Remei Primary Care Center, Vic, Barcelona, Spain) was carried out. Functional status was evaluated by three physical performance tests: the Guralnik chair stand test of lower limb function, Lawton-Brody's index of instrumental activities of daily living (IADL), and the Barthel index of basic activities of daily living (BADL). A backward multiple linear regression model was used to analyze the association of sociodemographic and clinical variables with functional status.\\n\\nRESULTS: The mean age was 81.9 years and 60.6% were female. Around 50% of elderly patients without total dependence showed disability for IADL and a third showed lower limb functional limitation. The variables associated with lower limb functional status were marital status, body mass index, number of drugs, and vision and hearing impairment (R(2) = 0.208). The variables associated with IADL were age, cognitive impairment, vision and hearing impairment, and lower limb functional limitation (R(2) = 0.434). The variables associated with the Barthel index were age, sex, poor self-perceived health, and lower limb functional limitation (R(2) = 0.389).\\n\\nCONCLUSIONS: The risk factors associated with functional status in our population ≥ 75 years of age without severe dependence were the number of drugs and sensory impairment.","author":[{"dropping-particle":"","family":"Arnau","given":"Anna","non-dropping-particle":"","parse-names":false,"suffix":""},{"dropping-particle":"","family":"Ferrer","given":"Montserrat","non-dropping-particle":"","parse-names":false,"suffix":""},{"dropping-particle":"","family":"Espaulella","given":"Joan","non-dropping-particle":"","parse-names":false,"suffix":""},{"dropping-particle":"","family":"Serrarols","given":"Marta","non-dropping-particle":"","parse-names":false,"suffix":""},{"dropping-particle":"","family":"Canudas","given":"Judit","non-dropping-particle":"","parse-names":false,"suffix":""},{"dropping-particle":"","family":"Formiga","given":"Francesc","non-dropping-particle":"","parse-names":false,"suffix":""}],"container-title":"Gaceta Sanitaria","id":"ITEM-1","issued":{"date-parts":[["2012"]]},"title":"Factors associated with functional status in a population aged ≥75 years without total dependence","type":"article-journal"},"uris":["http://www.mendeley.com/documents/?uuid=cfa6520c-0f98-4476-b626-8f407cf3ba3d"]}],"mendeley":{"formattedCitation":"(Arnau et al., 2012)","plainTextFormattedCitation":"(Arnau et al., 2012)","previouslyFormattedCitation":"(Arnau et al., 2012)"},"properties":{"noteIndex":0},"schema":"https://github.com/citation-style-language/schema/raw/master/csl-citation.json"}</w:instrText>
      </w:r>
      <w:r w:rsidR="00980244" w:rsidRPr="00271AA7">
        <w:rPr>
          <w:bCs/>
          <w:lang w:val="id-ID"/>
        </w:rPr>
        <w:fldChar w:fldCharType="separate"/>
      </w:r>
      <w:r w:rsidR="00980244" w:rsidRPr="00271AA7">
        <w:rPr>
          <w:bCs/>
          <w:noProof/>
          <w:lang w:val="id-ID"/>
        </w:rPr>
        <w:t>(Arnau et al., 2012)</w:t>
      </w:r>
      <w:r w:rsidR="00980244" w:rsidRPr="00271AA7">
        <w:rPr>
          <w:bCs/>
          <w:lang w:val="id-ID"/>
        </w:rPr>
        <w:fldChar w:fldCharType="end"/>
      </w:r>
      <w:r w:rsidR="001B7768" w:rsidRPr="00271AA7">
        <w:rPr>
          <w:bCs/>
          <w:lang w:val="id-ID"/>
        </w:rPr>
        <w:t>.</w:t>
      </w:r>
      <w:r w:rsidR="00980244" w:rsidRPr="00271AA7">
        <w:rPr>
          <w:bCs/>
          <w:lang w:val="id-ID"/>
        </w:rPr>
        <w:t xml:space="preserve"> Hal ini </w:t>
      </w:r>
      <w:r w:rsidR="00DA472F" w:rsidRPr="00271AA7">
        <w:rPr>
          <w:bCs/>
          <w:lang w:val="id-ID"/>
        </w:rPr>
        <w:t xml:space="preserve">sesuai dengan penelitian ini </w:t>
      </w:r>
      <w:r w:rsidR="00980244" w:rsidRPr="00271AA7">
        <w:rPr>
          <w:bCs/>
          <w:lang w:val="id-ID"/>
        </w:rPr>
        <w:t xml:space="preserve">dikarenakan pada lansia yang menikah masih memiliki kewajiban melayani suaminya sehingga masih </w:t>
      </w:r>
      <w:r w:rsidR="00DA472F" w:rsidRPr="00271AA7">
        <w:rPr>
          <w:bCs/>
          <w:lang w:val="id-ID"/>
        </w:rPr>
        <w:t>mandiri</w:t>
      </w:r>
      <w:r w:rsidR="00980244" w:rsidRPr="00271AA7">
        <w:rPr>
          <w:bCs/>
          <w:lang w:val="id-ID"/>
        </w:rPr>
        <w:t xml:space="preserve"> melakukan aktivitas sehari-harinya dibandingkan lansia yang tidak menikah. </w:t>
      </w:r>
      <w:r w:rsidR="00214499" w:rsidRPr="00271AA7">
        <w:rPr>
          <w:bCs/>
          <w:lang w:val="id-ID"/>
        </w:rPr>
        <w:t>Selain itu penelitian pada 1</w:t>
      </w:r>
      <w:r w:rsidR="00DA472F" w:rsidRPr="00271AA7">
        <w:rPr>
          <w:bCs/>
          <w:lang w:val="id-ID"/>
        </w:rPr>
        <w:t>.</w:t>
      </w:r>
      <w:r w:rsidR="00214499" w:rsidRPr="00271AA7">
        <w:rPr>
          <w:bCs/>
          <w:lang w:val="id-ID"/>
        </w:rPr>
        <w:t xml:space="preserve">542 lansia usia &gt; 60 tahun di komunitas menunjukkan </w:t>
      </w:r>
      <w:r w:rsidR="00DA472F" w:rsidRPr="00271AA7">
        <w:rPr>
          <w:bCs/>
          <w:lang w:val="id-ID"/>
        </w:rPr>
        <w:t xml:space="preserve">terdapat </w:t>
      </w:r>
      <w:r w:rsidR="00214499" w:rsidRPr="00271AA7">
        <w:rPr>
          <w:bCs/>
          <w:lang w:val="id-ID"/>
        </w:rPr>
        <w:t xml:space="preserve">hubungan antara penurunan kemandirian dengan lansia yang tidak menikah tapi tinggal dengan anaknya </w:t>
      </w:r>
      <w:r w:rsidR="00214499" w:rsidRPr="00271AA7">
        <w:rPr>
          <w:bCs/>
          <w:lang w:val="id-ID"/>
        </w:rPr>
        <w:fldChar w:fldCharType="begin" w:fldLock="1"/>
      </w:r>
      <w:r w:rsidR="000F434A" w:rsidRPr="00271AA7">
        <w:rPr>
          <w:bCs/>
          <w:lang w:val="id-ID"/>
        </w:rPr>
        <w:instrText>ADDIN CSL_CITATION {"citationItems":[{"id":"ITEM-1","itemData":{"DOI":"10.1371/journal.pone.0053879","ISSN":"19326203","abstract":"Objectives: To examine the association of living arrangements with functional disability among older persons and explore the mediation of impact factors on the relationship. Design: Cross-sectional analysis using data from Healthy Aging study in Zhejiang Province. Participants: Analyzed sample was drawn from a representative rural population of older persons in Wuyi County, Zhejiang Province, including 1542 participants aged 60 and over in the second wave of the study. Measurements: Living arrangements, background, functional disability, self-rated health, number of diseases, along with contemporaneous circumstances including income, social support (physical assistance and emotional support). Instrument was Activities of Daily Living (ADL) scale, including Basic Activities Daily Living (BADL) and Instrumental Activities of Daily Living (IADL). Results: Living arrangements were significantly associated with BADL, IADL and ADL disability. Married persons living with or without children were more advantaged on all three dimensions of functional disability. Unmarried older adults living with children only had the worst functional status, even after controlling for background, social support, income and health status variables (compared with the unmarried living alone, ß for BADL: -1.262, ß for IADL: -2.112, ß for ADL: -3.388; compared with the married living with children only, ß for BADL: -1.166, ß for IADL: -2.723, ß for ADL: -3.902). In addition, older adults without difficulty in receiving emotional support, in excellent health and with advanced age had significantly better BADL, IADL and ADL function. However, a statistically significant association between physical assistance and functional disability was not found. Conclusion: Functional disabilities vary by living arrangements with different patterns and other factors. Our results highlight the association of unmarried elders living with children only and functioning decline comparing with other types. Our study implies policy makers should pay closer attention to unmarried elders living with children in community. Community service especially emotional support such as psychological counseling is important social support and should be improved. © 2013 Wang et al.","author":[{"dropping-particle":"","family":"Wang","given":"Hui","non-dropping-particle":"","parse-names":false,"suffix":""},{"dropping-particle":"","family":"Chen","given":"Kun","non-dropping-particle":"","parse-names":false,"suffix":""},{"dropping-particle":"","family":"Pan","given":"Yifeng","non-dropping-particle":"","parse-names":false,"suffix":""},{"dropping-particle":"","family":"Jing","given":"Fangyuan","non-dropping-particle":"","parse-names":false,"suffix":""},{"dropping-particle":"","family":"Liu","given":"He","non-dropping-particle":"","parse-names":false,"suffix":""}],"container-title":"PLoS ONE","id":"ITEM-1","issued":{"date-parts":[["2013"]]},"title":"Associations and Impact Factors between Living Arrangements and Functional Disability among Older Chinese Adults","type":"article-journal"},"uris":["http://www.mendeley.com/documents/?uuid=fda30cf5-265c-41d4-8de6-6d800aa91a29"]}],"mendeley":{"formattedCitation":"(Wang, Chen, Pan, Jing, &amp; Liu, 2013)","plainTextFormattedCitation":"(Wang, Chen, Pan, Jing, &amp; Liu, 2013)","previouslyFormattedCitation":"(Wang, Chen, Pan, Jing, &amp; Liu, 2013)"},"properties":{"noteIndex":0},"schema":"https://github.com/citation-style-language/schema/raw/master/csl-citation.json"}</w:instrText>
      </w:r>
      <w:r w:rsidR="00214499" w:rsidRPr="00271AA7">
        <w:rPr>
          <w:bCs/>
          <w:lang w:val="id-ID"/>
        </w:rPr>
        <w:fldChar w:fldCharType="separate"/>
      </w:r>
      <w:r w:rsidR="00214499" w:rsidRPr="00271AA7">
        <w:rPr>
          <w:bCs/>
          <w:noProof/>
          <w:lang w:val="id-ID"/>
        </w:rPr>
        <w:t>(Wang, Chen, Pan, Jing, &amp; Liu, 2013)</w:t>
      </w:r>
      <w:r w:rsidR="00214499" w:rsidRPr="00271AA7">
        <w:rPr>
          <w:bCs/>
          <w:lang w:val="id-ID"/>
        </w:rPr>
        <w:fldChar w:fldCharType="end"/>
      </w:r>
      <w:r w:rsidR="00214499" w:rsidRPr="00271AA7">
        <w:rPr>
          <w:bCs/>
          <w:lang w:val="id-ID"/>
        </w:rPr>
        <w:t xml:space="preserve">. Hal ini disebabkan kebutuhan aktivitas sehari-harinya dibantu oleh anaknya, sehingga menjadi kurang mandiri. </w:t>
      </w:r>
      <w:r w:rsidR="00980244" w:rsidRPr="00271AA7">
        <w:rPr>
          <w:bCs/>
          <w:lang w:val="id-ID"/>
        </w:rPr>
        <w:t>Pada lansia yang mengalami penurunan kognitif atau demensia</w:t>
      </w:r>
      <w:r w:rsidR="00DA472F" w:rsidRPr="00271AA7">
        <w:rPr>
          <w:bCs/>
          <w:lang w:val="id-ID"/>
        </w:rPr>
        <w:t>,</w:t>
      </w:r>
      <w:r w:rsidR="00980244" w:rsidRPr="00271AA7">
        <w:rPr>
          <w:bCs/>
          <w:lang w:val="id-ID"/>
        </w:rPr>
        <w:t xml:space="preserve"> sering lupa dengan kegiatan yang akan dan telah dilakukannya, sehingga </w:t>
      </w:r>
      <w:r w:rsidR="00DA472F" w:rsidRPr="00271AA7">
        <w:rPr>
          <w:bCs/>
          <w:lang w:val="id-ID"/>
        </w:rPr>
        <w:t>ketergantungan terhadap orang lainnya tinggi.</w:t>
      </w:r>
      <w:r w:rsidR="00980244" w:rsidRPr="00271AA7">
        <w:rPr>
          <w:bCs/>
          <w:lang w:val="id-ID"/>
        </w:rPr>
        <w:t xml:space="preserve"> </w:t>
      </w:r>
      <w:r w:rsidR="009F2CCF" w:rsidRPr="00271AA7">
        <w:rPr>
          <w:bCs/>
          <w:lang w:val="id-ID"/>
        </w:rPr>
        <w:t xml:space="preserve">Dari </w:t>
      </w:r>
      <w:r w:rsidR="00980244" w:rsidRPr="00271AA7">
        <w:rPr>
          <w:bCs/>
          <w:lang w:val="id-ID"/>
        </w:rPr>
        <w:t>hasil observasi dan wawancara dengan petugas panti diperoleh data</w:t>
      </w:r>
      <w:r w:rsidR="009F2CCF" w:rsidRPr="00271AA7">
        <w:rPr>
          <w:bCs/>
          <w:lang w:val="id-ID"/>
        </w:rPr>
        <w:t xml:space="preserve"> aktivitas dasar yang tidak dapat dilakukan lansia </w:t>
      </w:r>
      <w:r w:rsidR="00980244" w:rsidRPr="00271AA7">
        <w:rPr>
          <w:bCs/>
          <w:lang w:val="id-ID"/>
        </w:rPr>
        <w:t>di panti wredha</w:t>
      </w:r>
      <w:r w:rsidR="009F2CCF" w:rsidRPr="00271AA7">
        <w:rPr>
          <w:bCs/>
          <w:lang w:val="id-ID"/>
        </w:rPr>
        <w:t xml:space="preserve"> yaitu </w:t>
      </w:r>
      <w:r w:rsidR="009F2CCF" w:rsidRPr="00271AA7">
        <w:rPr>
          <w:lang w:val="id-ID"/>
        </w:rPr>
        <w:t xml:space="preserve">mandi, makan, eliminasi </w:t>
      </w:r>
      <w:r w:rsidR="009F2CCF" w:rsidRPr="00271AA7">
        <w:rPr>
          <w:lang w:val="id-ID"/>
        </w:rPr>
        <w:lastRenderedPageBreak/>
        <w:t xml:space="preserve">BAB/BAK, berpindah tempat/berjalan, ke WC/toilet, dan menggunakan pakaian sendiri </w:t>
      </w:r>
      <w:r w:rsidR="00980244" w:rsidRPr="00271AA7">
        <w:rPr>
          <w:lang w:val="id-ID"/>
        </w:rPr>
        <w:t xml:space="preserve">tergantung dari kondisi kesehatan lansianya, </w:t>
      </w:r>
      <w:r w:rsidR="009F2CCF" w:rsidRPr="00271AA7">
        <w:rPr>
          <w:lang w:val="id-ID"/>
        </w:rPr>
        <w:t xml:space="preserve">sedangkan aktivitas instrumental yang tidak dapat dilakukan secara mandiri yaitu menggunakan telepon, berbelanja, menggunakan transportasi umum, menyiapkan dan minum obat, dan mengatur keuangan sehingga semuanya dibantu oleh petugas panti. </w:t>
      </w:r>
      <w:r w:rsidR="0048321B" w:rsidRPr="00271AA7">
        <w:rPr>
          <w:lang w:val="id-ID"/>
        </w:rPr>
        <w:t xml:space="preserve">Selain itu, fasilitas di panti seperti baju sudah dicucikan, makanan sudah disiapkan, obat diberikan oleh petugas panti, keuangan dikelola petugas panti menyebabkan kemandirian lansia dalam melakukan aktivitas instrumental menjadi kurang mandiri. </w:t>
      </w:r>
      <w:r w:rsidR="009F2CCF" w:rsidRPr="00271AA7">
        <w:rPr>
          <w:lang w:val="id-ID"/>
        </w:rPr>
        <w:t xml:space="preserve">Hasil penelitian pada 14.956 lansia &gt;65 tahun tanpa ketergantungan aktivitas dasar sehari-hari (BADL) di Nara Jepang menunjukkan terdapat hubungan antara keaktifan dalam kegiatan sosial dengan kemandirian dalam melakukan aktivitas instrumental (IADL) pada lansia di komunitas </w:t>
      </w:r>
      <w:r w:rsidR="009F2CCF" w:rsidRPr="00271AA7">
        <w:rPr>
          <w:lang w:val="id-ID"/>
        </w:rPr>
        <w:fldChar w:fldCharType="begin" w:fldLock="1"/>
      </w:r>
      <w:r w:rsidR="009F2CCF" w:rsidRPr="00271AA7">
        <w:rPr>
          <w:lang w:val="id-ID"/>
        </w:rPr>
        <w:instrText>ADDIN CSL_CITATION {"citationItems":[{"id":"ITEM-1","itemData":{"DOI":"10.2188/jea.JE20150253","ISSN":"13499092","abstract":"Background: Population-based data examining the relationship between social participation (SP) and instrumental activities of daily living (IADL) are scarce. This study examined the cross-sectional relationship between SP and IADL in community-dwelling elderly persons. Methods: Self-administered questionnaires were mailed to 23 710 residents aged ≥65 years in Nara, Japan (response rate: 74.2%). Data from 14 956 respondents (6935 males and 8021 females) without dependency in basic activities of daily living (ADL) were analyzed. The number, type, and frequency of participation in social groups (SGs) were used to measure SP. SGs included volunteer groups, sports groups, hobby groups, senior citizens' clubs, neighborhood community associations, and cultural groups. IADL was evaluated using the Tokyo Metropolitan Institute of Gerontology Index of Competence. Logistic regression models stratified by gender were used. Results: After adjustment for putative confounding factors, including demographics, health status, life-style habits, ADL, depression, cognitive function, social networks, social support, and social roles, participation in various SGs among both genders was inversely associated with poor IADL, showing a significant dose-response relationship between an increasing number of SGs and a lower proportion of those with poor IADL (P for trend &lt;0.001). A significant inverse association between frequent participation and poor IADL was observed for all types of SGs among females, whereas the association was limited to sports groups and senior citizens' clubs among males. Conclusions: Our results show that participation in a variety of SGs is associated with independent IADL among the community-dwelling elderly, regardless of gender. However, the beneficial effects of frequent participation on IADL may be stronger for females than for males.","author":[{"dropping-particle":"","family":"Tomioka","given":"Kimiko","non-dropping-particle":"","parse-names":false,"suffix":""},{"dropping-particle":"","family":"Kurumatani","given":"Norio","non-dropping-particle":"","parse-names":false,"suffix":""},{"dropping-particle":"","family":"Hosoi","given":"Hiroshi","non-dropping-particle":"","parse-names":false,"suffix":""}],"container-title":"Journal of Epidemiology","id":"ITEM-1","issued":{"date-parts":[["2016"]]},"title":"Association between social participation and instrumental activities of daily living among community-dwelling older adults","type":"article-journal"},"uris":["http://www.mendeley.com/documents/?uuid=ffdcbbdf-e3a9-4558-a318-0d13c2ac0650"]}],"mendeley":{"formattedCitation":"(Tomioka, Kurumatani, &amp; Hosoi, 2016)","plainTextFormattedCitation":"(Tomioka, Kurumatani, &amp; Hosoi, 2016)","previouslyFormattedCitation":"(Tomioka, Kurumatani, &amp; Hosoi, 2016)"},"properties":{"noteIndex":0},"schema":"https://github.com/citation-style-language/schema/raw/master/csl-citation.json"}</w:instrText>
      </w:r>
      <w:r w:rsidR="009F2CCF" w:rsidRPr="00271AA7">
        <w:rPr>
          <w:lang w:val="id-ID"/>
        </w:rPr>
        <w:fldChar w:fldCharType="separate"/>
      </w:r>
      <w:r w:rsidR="009F2CCF" w:rsidRPr="00271AA7">
        <w:rPr>
          <w:noProof/>
          <w:lang w:val="id-ID"/>
        </w:rPr>
        <w:t>(Tomioka, Kurumatani, &amp; Hosoi, 2016)</w:t>
      </w:r>
      <w:r w:rsidR="009F2CCF" w:rsidRPr="00271AA7">
        <w:rPr>
          <w:lang w:val="id-ID"/>
        </w:rPr>
        <w:fldChar w:fldCharType="end"/>
      </w:r>
      <w:r w:rsidR="009F2CCF" w:rsidRPr="00271AA7">
        <w:rPr>
          <w:lang w:val="id-ID"/>
        </w:rPr>
        <w:t>. Hal ini tidak sesuai dengan kondisi lansia di panti wredha yang kegiatan sosialnya terbatas pada lansia yang ada di panti</w:t>
      </w:r>
      <w:r w:rsidR="009C6889" w:rsidRPr="00271AA7">
        <w:rPr>
          <w:lang w:val="id-ID"/>
        </w:rPr>
        <w:t xml:space="preserve"> atau dari tamu yang datang</w:t>
      </w:r>
      <w:r w:rsidR="009F2CCF" w:rsidRPr="00271AA7">
        <w:rPr>
          <w:lang w:val="id-ID"/>
        </w:rPr>
        <w:t xml:space="preserve">, sehingga menjadi jarang bersosialisasi di luar panti ditambah kondisinya yang sudah demensia tidak memungkinkan melakukan aktivitas instrumentalnya dengan mandiri. Hasil penelitian pada 370 lansia di komunitas (144 laki-laki, 226 perempuan) menunjukkan 53,5% memiliki keterbatasan BADL dan 66,8% keterbatasan melakukan IADL </w:t>
      </w:r>
      <w:r w:rsidR="009F2CCF" w:rsidRPr="00271AA7">
        <w:rPr>
          <w:lang w:val="id-ID"/>
        </w:rPr>
        <w:fldChar w:fldCharType="begin" w:fldLock="1"/>
      </w:r>
      <w:r w:rsidR="009F2CCF" w:rsidRPr="00271AA7">
        <w:rPr>
          <w:lang w:val="id-ID"/>
        </w:rPr>
        <w:instrText>ADDIN CSL_CITATION {"citationItems":[{"id":"ITEM-1","itemData":{"DOI":"10.1007/s12126-018-9321-2","ISSN":"1936606X","abstract":"The Latin America and Caribbean region is experiencing one of the fastest rates of population aging, but research on age-related disability is limited, particularly in Central America. The aim of this study was to examine limitations in the performance of basic activities of daily living (BADL) and instrumental activities of daily living (IADL) and their association with sociodemographic and health-related factors in a sample of adults aged 65 and older in Panama. Cross-sectional data are reported for 370 community-dwelling elderly outpatients (144 males, 226 females) without dementia. Self-reported BADL and IADL limitations were the outcomes. Logistic regression models were used to examine the association between sociodemographic and health characteristics and at least one limitation or severe (four or more) limitations. Approximately half (53.5%) and one-third (66.8%) of participants reported at least one BADL and IADL limitation, respectively. Increased age (≥ 80 years), being male, less education, and a history of stroke were independently and significantly associated with BADL limitations. The same variables, in addition to reporting four or more chronic illnesses, were independently and significantly associated with IADL limitations. The results are consistent with previous research in low and middle-income countries regarding the factors associated with BADL and IADL disability in older adults. Assessing the extent of disability among Panama’s elderly population is vital for identifying those at risk of transitioning to worse states of health over the course of aging and designing specific interventions to meet the needs of older adults.","author":[{"dropping-particle":"","family":"Villarreal","given":"Alcibiades E.","non-dropping-particle":"","parse-names":false,"suffix":""},{"dropping-particle":"","family":"Grajales","given":"Shantal","non-dropping-particle":"","parse-names":false,"suffix":""},{"dropping-particle":"","family":"López","given":"Lineth","non-dropping-particle":"","parse-names":false,"suffix":""},{"dropping-particle":"","family":"Oviedo","given":"Diana C.","non-dropping-particle":"","parse-names":false,"suffix":""},{"dropping-particle":"","family":"Carreira","given":"María B.","non-dropping-particle":"","parse-names":false,"suffix":""},{"dropping-particle":"","family":"Gómez","given":"Lee Anne","non-dropping-particle":"","parse-names":false,"suffix":""},{"dropping-particle":"","family":"Montalván","given":"Astevia","non-dropping-particle":"","parse-names":false,"suffix":""},{"dropping-particle":"","family":"Vásquez","given":"Vivian","non-dropping-particle":"","parse-names":false,"suffix":""},{"dropping-particle":"","family":"Britton","given":"Gabrielle B.","non-dropping-particle":"","parse-names":false,"suffix":""}],"container-title":"Ageing International","id":"ITEM-1","issued":{"date-parts":[["2018"]]},"title":"Limitations in Activities of Daily Living among Dementia-Free Older Adults in Panama","type":"article-journal"},"uris":["http://www.mendeley.com/documents/?uuid=ccffcb8a-0440-4626-95c3-7a1aaa490b2c"]}],"mendeley":{"formattedCitation":"(Villarreal et al., 2018)","plainTextFormattedCitation":"(Villarreal et al., 2018)","previouslyFormattedCitation":"(Villarreal et al., 2018)"},"properties":{"noteIndex":0},"schema":"https://github.com/citation-style-language/schema/raw/master/csl-citation.json"}</w:instrText>
      </w:r>
      <w:r w:rsidR="009F2CCF" w:rsidRPr="00271AA7">
        <w:rPr>
          <w:lang w:val="id-ID"/>
        </w:rPr>
        <w:fldChar w:fldCharType="separate"/>
      </w:r>
      <w:r w:rsidR="009F2CCF" w:rsidRPr="00271AA7">
        <w:rPr>
          <w:noProof/>
          <w:lang w:val="id-ID"/>
        </w:rPr>
        <w:t>(Villarreal et al., 2018)</w:t>
      </w:r>
      <w:r w:rsidR="009F2CCF" w:rsidRPr="00271AA7">
        <w:rPr>
          <w:lang w:val="id-ID"/>
        </w:rPr>
        <w:fldChar w:fldCharType="end"/>
      </w:r>
      <w:r w:rsidR="009F2CCF" w:rsidRPr="00271AA7">
        <w:rPr>
          <w:lang w:val="id-ID"/>
        </w:rPr>
        <w:t xml:space="preserve">. Peningkatan usia ≥ 80 tahun, laki-laki, pendidikan rendah, dan riwayat stroke berhubungan signifikan dengan keterbatasan BADL, sedangkan keterbatasan IADL berhubungan signifikan dengan memiliki ≥ 4 penyakit kronis </w:t>
      </w:r>
      <w:r w:rsidR="009F2CCF" w:rsidRPr="00271AA7">
        <w:rPr>
          <w:lang w:val="id-ID"/>
        </w:rPr>
        <w:fldChar w:fldCharType="begin" w:fldLock="1"/>
      </w:r>
      <w:r w:rsidR="009F2CCF" w:rsidRPr="00271AA7">
        <w:rPr>
          <w:lang w:val="id-ID"/>
        </w:rPr>
        <w:instrText>ADDIN CSL_CITATION {"citationItems":[{"id":"ITEM-1","itemData":{"DOI":"10.1007/s12126-018-9321-2","ISSN":"1936606X","abstract":"The Latin America and Caribbean region is experiencing one of the fastest rates of population aging, but research on age-related disability is limited, particularly in Central America. The aim of this study was to examine limitations in the performance of basic activities of daily living (BADL) and instrumental activities of daily living (IADL) and their association with sociodemographic and health-related factors in a sample of adults aged 65 and older in Panama. Cross-sectional data are reported for 370 community-dwelling elderly outpatients (144 males, 226 females) without dementia. Self-reported BADL and IADL limitations were the outcomes. Logistic regression models were used to examine the association between sociodemographic and health characteristics and at least one limitation or severe (four or more) limitations. Approximately half (53.5%) and one-third (66.8%) of participants reported at least one BADL and IADL limitation, respectively. Increased age (≥ 80 years), being male, less education, and a history of stroke were independently and significantly associated with BADL limitations. The same variables, in addition to reporting four or more chronic illnesses, were independently and significantly associated with IADL limitations. The results are consistent with previous research in low and middle-income countries regarding the factors associated with BADL and IADL disability in older adults. Assessing the extent of disability among Panama’s elderly population is vital for identifying those at risk of transitioning to worse states of health over the course of aging and designing specific interventions to meet the needs of older adults.","author":[{"dropping-particle":"","family":"Villarreal","given":"Alcibiades E.","non-dropping-particle":"","parse-names":false,"suffix":""},{"dropping-particle":"","family":"Grajales","given":"Shantal","non-dropping-particle":"","parse-names":false,"suffix":""},{"dropping-particle":"","family":"López","given":"Lineth","non-dropping-particle":"","parse-names":false,"suffix":""},{"dropping-particle":"","family":"Oviedo","given":"Diana C.","non-dropping-particle":"","parse-names":false,"suffix":""},{"dropping-particle":"","family":"Carreira","given":"María B.","non-dropping-particle":"","parse-names":false,"suffix":""},{"dropping-particle":"","family":"Gómez","given":"Lee Anne","non-dropping-particle":"","parse-names":false,"suffix":""},{"dropping-particle":"","family":"Montalván","given":"Astevia","non-dropping-particle":"","parse-names":false,"suffix":""},{"dropping-particle":"","family":"Vásquez","given":"Vivian","non-dropping-particle":"","parse-names":false,"suffix":""},{"dropping-particle":"","family":"Britton","given":"Gabrielle B.","non-dropping-particle":"","parse-names":false,"suffix":""}],"container-title":"Ageing International","id":"ITEM-1","issued":{"date-parts":[["2018"]]},"title":"Limitations in Activities of Daily Living among Dementia-Free Older Adults in Panama","type":"article-journal"},"uris":["http://www.mendeley.com/documents/?uuid=ccffcb8a-0440-4626-95c3-7a1aaa490b2c"]}],"mendeley":{"formattedCitation":"(Villarreal et al., 2018)","plainTextFormattedCitation":"(Villarreal et al., 2018)","previouslyFormattedCitation":"(Villarreal et al., 2018)"},"properties":{"noteIndex":0},"schema":"https://github.com/citation-style-language/schema/raw/master/csl-citation.json"}</w:instrText>
      </w:r>
      <w:r w:rsidR="009F2CCF" w:rsidRPr="00271AA7">
        <w:rPr>
          <w:lang w:val="id-ID"/>
        </w:rPr>
        <w:fldChar w:fldCharType="separate"/>
      </w:r>
      <w:r w:rsidR="009F2CCF" w:rsidRPr="00271AA7">
        <w:rPr>
          <w:noProof/>
          <w:lang w:val="id-ID"/>
        </w:rPr>
        <w:t>(Villarreal et al., 2018)</w:t>
      </w:r>
      <w:r w:rsidR="009F2CCF" w:rsidRPr="00271AA7">
        <w:rPr>
          <w:lang w:val="id-ID"/>
        </w:rPr>
        <w:fldChar w:fldCharType="end"/>
      </w:r>
      <w:r w:rsidR="009F2CCF" w:rsidRPr="00271AA7">
        <w:rPr>
          <w:lang w:val="id-ID"/>
        </w:rPr>
        <w:t xml:space="preserve">. </w:t>
      </w:r>
    </w:p>
    <w:p w14:paraId="7C3C88A9" w14:textId="0DAAECDE" w:rsidR="009F2CCF" w:rsidRPr="00271AA7" w:rsidRDefault="009F2CCF" w:rsidP="00271AA7">
      <w:pPr>
        <w:spacing w:before="0" w:after="0" w:line="360" w:lineRule="auto"/>
        <w:rPr>
          <w:bCs/>
          <w:lang w:val="id-ID"/>
        </w:rPr>
      </w:pPr>
      <w:r w:rsidRPr="00271AA7">
        <w:rPr>
          <w:bCs/>
          <w:lang w:val="id-ID"/>
        </w:rPr>
        <w:t xml:space="preserve">Penelitian pada 120 lansia demensia (usia 61-99 tahun, rata-rata 80,6 ± 7,4) dan 337 lansia non-demensia (usia 60-99 tahun, rata-rata 77,2 ± 8,7) menunjukkan terdapat perbedaan yang signifikan dari kemandirian BADL dan IADL, fungsi kognitif, dan performa psikomotor antara lansia demensia dengan non-demensia </w:t>
      </w:r>
      <w:r w:rsidRPr="00271AA7">
        <w:rPr>
          <w:bCs/>
          <w:lang w:val="id-ID"/>
        </w:rPr>
        <w:fldChar w:fldCharType="begin" w:fldLock="1"/>
      </w:r>
      <w:r w:rsidRPr="00271AA7">
        <w:rPr>
          <w:bCs/>
          <w:lang w:val="id-ID"/>
        </w:rPr>
        <w:instrText>ADDIN CSL_CITATION {"citationItems":[{"id":"ITEM-1","itemData":{"DOI":"10.1177/1471301217719624","ISSN":"17412684","abstract":"Background: In typical aging, it is possible to observe a decline in psychomotor domains, such as balance or global and fine motor skills as well as a cognitive and functional decline. Although, it is not clear which psychomotor domains are mostly affected in elderly with dementia and the association with the cognitive and functional level. Objective: To identify the correlation between psychomotor, cognitive, and functional skills, and seeking whether there are differences among persons with and without dementia. Design and Methods: A total of 120 persons with dementia (ages between 61 and 99 years old; mean age 80.6 ± 7.4) and 377 persons without dementia (ages between 60 and 99 years old; mean age 77.2 ± 8.7) were recruited from nursing homes, day-care centers, and home care. Consenting participants were assessed in psychomotor, cognitive, and functional domains using the Mini Mental State Examination (MMSE) to assess cognitive impairment, the Barthel Index (BI), and Lawton Index (LI) to identify basic and instrumental activities of daily living and a Portuguese Version of Éxamen Geronto-Psychomoteur (P-EGP) to evaluate psychomotor skills. Results: People with dementia showed a higher percentage of cognitive deficit and higher level of dependency in basic and instrumental activities of daily living. Further, findings also showed significant differences in psychomotor domains and total of P-EGP, with exception of Joint Mobilizations of Upper and Lower Limbs. There were moderate to strong correlations between the totals of the scales, and between the totals and domains. Conclusions: The population with dementia has higher percentage of cognitive deficit, higher dependency on the performance of basic and instrumental activities of daily living and poorer psychomotor performance, except in joint mobilizations. It was also possible to find strong correlations between the total of P-EGP and the total of cognitive and functional scales. Implications for future research and practice are discussed.","author":[{"dropping-particle":"","family":"Morais","given":"Ana","non-dropping-particle":"","parse-names":false,"suffix":""},{"dropping-particle":"","family":"Santos","given":"Sofia","non-dropping-particle":"","parse-names":false,"suffix":""},{"dropping-particle":"","family":"Lebre","given":"Paula","non-dropping-particle":"","parse-names":false,"suffix":""}],"container-title":"Dementia","id":"ITEM-1","issued":{"date-parts":[["2019"]]},"title":"Psychomotor, Functional, and Cognitive Profiles in Older People with and without Dementia:What Connections?","type":"article-journal"},"uris":["http://www.mendeley.com/documents/?uuid=99b3a24c-eea2-4f90-80f7-1d1938fb7b1d"]}],"mendeley":{"formattedCitation":"(Morais, Santos, &amp; Lebre, 2019)","plainTextFormattedCitation":"(Morais, Santos, &amp; Lebre, 2019)","previouslyFormattedCitation":"(Morais, Santos, &amp; Lebre, 2019)"},"properties":{"noteIndex":0},"schema":"https://github.com/citation-style-language/schema/raw/master/csl-citation.json"}</w:instrText>
      </w:r>
      <w:r w:rsidRPr="00271AA7">
        <w:rPr>
          <w:bCs/>
          <w:lang w:val="id-ID"/>
        </w:rPr>
        <w:fldChar w:fldCharType="separate"/>
      </w:r>
      <w:r w:rsidRPr="00271AA7">
        <w:rPr>
          <w:bCs/>
          <w:noProof/>
          <w:lang w:val="id-ID"/>
        </w:rPr>
        <w:t>(Morais, Santos, &amp; Lebre, 2019)</w:t>
      </w:r>
      <w:r w:rsidRPr="00271AA7">
        <w:rPr>
          <w:bCs/>
          <w:lang w:val="id-ID"/>
        </w:rPr>
        <w:fldChar w:fldCharType="end"/>
      </w:r>
      <w:r w:rsidRPr="00271AA7">
        <w:rPr>
          <w:bCs/>
          <w:lang w:val="id-ID"/>
        </w:rPr>
        <w:t xml:space="preserve">. Penelitian pada 302 pasien demensia (166 AD dan 136 VaD) menemukan terdapat hubungan antara kelemahan IADL dengan agitasi/agresi, ansietas, dan aktivitas motorik menyimpang pada pasien AD dan hubungan yang signifikan antara depresi, apatis, iritabilitas, gangguan makan dan tidur pada pasien AD dan VaD </w:t>
      </w:r>
      <w:r w:rsidRPr="00271AA7">
        <w:rPr>
          <w:bCs/>
          <w:lang w:val="id-ID"/>
        </w:rPr>
        <w:fldChar w:fldCharType="begin" w:fldLock="1"/>
      </w:r>
      <w:r w:rsidRPr="00271AA7">
        <w:rPr>
          <w:bCs/>
          <w:lang w:val="id-ID"/>
        </w:rPr>
        <w:instrText>ADDIN CSL_CITATION {"citationItems":[{"id":"ITEM-1","itemData":{"DOI":"10.2174/156720512801322582","ISSN":"15672050","PMID":"22715983","abstract":"Neuropsychiatric symptoms (NPS) are increasingly recognized as common in patients with dementia, both of degenerative (Alzheimer's disease, AD) or vascular origin (vascular dementia, VaD). In this study, 302 demented patients, 166 with AD and 136 with VaD, were evaluated for NPS according to the Neuropsychiatric Inventory (NPI) score at the Alzheimer's Evaluation Unit of Casa Sollievo della Sofferenza Hospital-IRCCS, San Giovanni Rotondo, Italy. A comprehensive geriatric assessment was also performed in all demented patients. The means of NPI scores did not differ in two groups. The overall prevalence of NPS was similar in both groups of patients (69.7% vs. 69.4%). Patients with AD had higher frequency in agitation/aggression and irritability/lability than VaD patients. Logistic analysis demonstrated a significant association between severity of the cognitive impairment and depression and eating disorders in both AD and VaD patients. The association with agitation/aggression, irritability/lability, and aberrant motor activity was found in AD only, and with apathy in VaD patients only. In both AD and VaD patients, there was a significant association between the impairment in activities of daily living (ADL) and the majority of NPI domains. A significant association was also found between the impairment of the instrumental activities of daily living (IADL) and agitation/aggression, anxiety, aberrant motor activity in AD and depression, apathy, irritability/lability, sleep disturbance and eating disorders in both AD and VaD patients. In particular, a causal mediation analysis was performed to better understand whether the relationship of NPS to functional impairment was direct or mediated by severity of cognitive dysfunction, i.e., Clinical dementia rating scale (CDR) score. Only agitation/aggression was mediated by the CDR score in affecting ADL status in VaD patients (OR: 1.12, 95% CI: 1.01-1.27). The NPI-Distress scores showed a significantly higher levels of distress in caregivers of AD than VaD. There were significant differences between AD and VaD patients with NPS, and these symptoms varied according to dementia subtype and severity and induced marked disability in ADL and IADL, increasing, prevalently, the distress of the caregivers of AD patients.","author":[{"dropping-particle":"","family":"D'Onofrio","given":"Grazia","non-dropping-particle":"","parse-names":false,"suffix":""},{"dropping-particle":"","family":"Sancarlo","given":"Daniele","non-dropping-particle":"","parse-names":false,"suffix":""},{"dropping-particle":"","family":"Panza","given":"Francesco","non-dropping-particle":"","parse-names":false,"suffix":""},{"dropping-particle":"","family":"Copetti","given":"Massimiliano","non-dropping-particle":"","parse-names":false,"suffix":""},{"dropping-particle":"","family":"Cascavilla","given":"Leandro","non-dropping-particle":"","parse-names":false,"suffix":""},{"dropping-particle":"","family":"Paris","given":"Francesco","non-dropping-particle":"","parse-names":false,"suffix":""},{"dropping-particle":"","family":"Seripa","given":"Davide","non-dropping-particle":"","parse-names":false,"suffix":""},{"dropping-particle":"","family":"G. Matera","given":"Maria","non-dropping-particle":"","parse-names":false,"suffix":""},{"dropping-particle":"","family":"Solfrizzi","given":"Vincenzo","non-dropping-particle":"","parse-names":false,"suffix":""},{"dropping-particle":"","family":"Pellegrini","given":"Fabio","non-dropping-particle":"","parse-names":false,"suffix":""},{"dropping-particle":"","family":"Pilotto","given":"Alberto","non-dropping-particle":"","parse-names":false,"suffix":""}],"container-title":"Current Alzheimer Research","id":"ITEM-1","issued":{"date-parts":[["2013"]]},"title":"Neuropsychiatric Symptoms and Functional Status in Alzheimer’s Disease and Vascular Dementia Patients","type":"article-journal"},"uris":["http://www.mendeley.com/documents/?uuid=a1b80672-89a3-432e-893e-5618a49d820b"]}],"mendeley":{"formattedCitation":"(D’Onofrio et al., 2013)","plainTextFormattedCitation":"(D’Onofrio et al., 2013)","previouslyFormattedCitation":"(D’Onofrio et al., 2013)"},"properties":{"noteIndex":0},"schema":"https://github.com/citation-style-language/schema/raw/master/csl-citation.json"}</w:instrText>
      </w:r>
      <w:r w:rsidRPr="00271AA7">
        <w:rPr>
          <w:bCs/>
          <w:lang w:val="id-ID"/>
        </w:rPr>
        <w:fldChar w:fldCharType="separate"/>
      </w:r>
      <w:r w:rsidRPr="00271AA7">
        <w:rPr>
          <w:bCs/>
          <w:noProof/>
          <w:lang w:val="id-ID"/>
        </w:rPr>
        <w:t>(D’Onofrio et al., 2013)</w:t>
      </w:r>
      <w:r w:rsidRPr="00271AA7">
        <w:rPr>
          <w:bCs/>
          <w:lang w:val="id-ID"/>
        </w:rPr>
        <w:fldChar w:fldCharType="end"/>
      </w:r>
      <w:r w:rsidRPr="00271AA7">
        <w:rPr>
          <w:bCs/>
          <w:lang w:val="id-ID"/>
        </w:rPr>
        <w:t>.</w:t>
      </w:r>
      <w:r w:rsidR="0048321B" w:rsidRPr="00271AA7">
        <w:rPr>
          <w:bCs/>
          <w:lang w:val="id-ID"/>
        </w:rPr>
        <w:t xml:space="preserve"> </w:t>
      </w:r>
      <w:r w:rsidR="009C6889" w:rsidRPr="00271AA7">
        <w:rPr>
          <w:bCs/>
          <w:lang w:val="id-ID"/>
        </w:rPr>
        <w:t xml:space="preserve">Hal ini sesuai dengan penelitian ini bahwa penurunan fungsi kognitif/demensia </w:t>
      </w:r>
      <w:r w:rsidR="009C6889" w:rsidRPr="00271AA7">
        <w:rPr>
          <w:bCs/>
          <w:lang w:val="id-ID"/>
        </w:rPr>
        <w:t xml:space="preserve"> dan gangguan perilaku </w:t>
      </w:r>
      <w:r w:rsidR="009C6889" w:rsidRPr="00271AA7">
        <w:rPr>
          <w:bCs/>
          <w:lang w:val="id-ID"/>
        </w:rPr>
        <w:t>berhubungan signifikan dengan kemampuan melakukan aktivitas baik dasar maupun instrumental</w:t>
      </w:r>
      <w:r w:rsidR="009C6889" w:rsidRPr="00271AA7">
        <w:rPr>
          <w:bCs/>
          <w:lang w:val="id-ID"/>
        </w:rPr>
        <w:t xml:space="preserve"> </w:t>
      </w:r>
    </w:p>
    <w:p w14:paraId="689FFDE4" w14:textId="77777777" w:rsidR="009F2CCF" w:rsidRPr="00271AA7" w:rsidRDefault="009F2CCF" w:rsidP="00271AA7">
      <w:pPr>
        <w:spacing w:before="0" w:after="0" w:line="360" w:lineRule="auto"/>
        <w:ind w:firstLine="0"/>
        <w:rPr>
          <w:b/>
          <w:bCs/>
          <w:lang w:val="id-ID"/>
        </w:rPr>
      </w:pPr>
    </w:p>
    <w:p w14:paraId="325C7B59" w14:textId="600F7781" w:rsidR="009F2CCF" w:rsidRPr="00271AA7" w:rsidRDefault="009F2CCF" w:rsidP="00271AA7">
      <w:pPr>
        <w:spacing w:before="0" w:after="0" w:line="360" w:lineRule="auto"/>
        <w:ind w:firstLine="0"/>
        <w:rPr>
          <w:b/>
          <w:bCs/>
          <w:lang w:val="id-ID"/>
        </w:rPr>
      </w:pPr>
      <w:r w:rsidRPr="00271AA7">
        <w:rPr>
          <w:b/>
          <w:bCs/>
          <w:lang w:val="id-ID"/>
        </w:rPr>
        <w:t>SIMPULAN</w:t>
      </w:r>
    </w:p>
    <w:p w14:paraId="20F4C3C0" w14:textId="18BA54DA" w:rsidR="009F2CCF" w:rsidRPr="00271AA7" w:rsidRDefault="009F2CCF" w:rsidP="00271AA7">
      <w:pPr>
        <w:spacing w:before="0" w:after="0" w:line="360" w:lineRule="auto"/>
        <w:rPr>
          <w:lang w:val="id-ID"/>
        </w:rPr>
      </w:pPr>
      <w:r w:rsidRPr="00271AA7">
        <w:rPr>
          <w:lang w:val="id-ID"/>
        </w:rPr>
        <w:t xml:space="preserve">Dari penelitian ini dapat disimpulkan bahwa pendidikan, status marital, dan </w:t>
      </w:r>
      <w:r w:rsidR="009C6889" w:rsidRPr="00271AA7">
        <w:rPr>
          <w:lang w:val="id-ID"/>
        </w:rPr>
        <w:t>demensia</w:t>
      </w:r>
      <w:r w:rsidRPr="00271AA7">
        <w:rPr>
          <w:lang w:val="id-ID"/>
        </w:rPr>
        <w:t xml:space="preserve">  berhubungan dengan </w:t>
      </w:r>
      <w:r w:rsidR="009C6889" w:rsidRPr="00271AA7">
        <w:rPr>
          <w:lang w:val="id-ID"/>
        </w:rPr>
        <w:t>kemandirian dalam melakukan aktivitas dasar dan instrumental</w:t>
      </w:r>
      <w:r w:rsidRPr="00271AA7">
        <w:rPr>
          <w:lang w:val="id-ID"/>
        </w:rPr>
        <w:t xml:space="preserve"> pada lansia di panti wredha (p&lt;0,05). Adapun saran dari penelitian ini agar dilakukan penelitian selanjutnya mengenai faktor-faktor lainnya yang dapat mempengaruhi kemandirian lansia </w:t>
      </w:r>
      <w:r w:rsidR="009C6889" w:rsidRPr="00271AA7">
        <w:rPr>
          <w:lang w:val="id-ID"/>
        </w:rPr>
        <w:t>baik di panti wredha maupun komunitas</w:t>
      </w:r>
      <w:r w:rsidRPr="00271AA7">
        <w:rPr>
          <w:lang w:val="id-ID"/>
        </w:rPr>
        <w:t>, seperti dukungan keluarga, kesepian, depresi</w:t>
      </w:r>
      <w:r w:rsidR="009C6889" w:rsidRPr="00271AA7">
        <w:rPr>
          <w:lang w:val="id-ID"/>
        </w:rPr>
        <w:t>, kebugaran jasmani, keaktifan dalam kegiatan sosial, dan lain-lain.</w:t>
      </w:r>
      <w:r w:rsidRPr="00271AA7">
        <w:rPr>
          <w:lang w:val="id-ID"/>
        </w:rPr>
        <w:t xml:space="preserve"> Selain itu, </w:t>
      </w:r>
      <w:r w:rsidR="009C6889" w:rsidRPr="00271AA7">
        <w:rPr>
          <w:lang w:val="id-ID"/>
        </w:rPr>
        <w:t xml:space="preserve">perlu </w:t>
      </w:r>
      <w:r w:rsidRPr="00271AA7">
        <w:rPr>
          <w:lang w:val="id-ID"/>
        </w:rPr>
        <w:t xml:space="preserve">dilakukan upaya-upaya </w:t>
      </w:r>
      <w:r w:rsidR="009C6889" w:rsidRPr="00271AA7">
        <w:rPr>
          <w:lang w:val="id-ID"/>
        </w:rPr>
        <w:t xml:space="preserve">peningkatan pendidikan melalui kegiatan penyuluhan </w:t>
      </w:r>
      <w:r w:rsidRPr="00271AA7">
        <w:rPr>
          <w:lang w:val="id-ID"/>
        </w:rPr>
        <w:t xml:space="preserve">kesehatan </w:t>
      </w:r>
      <w:r w:rsidR="009C6889" w:rsidRPr="00271AA7">
        <w:rPr>
          <w:lang w:val="id-ID"/>
        </w:rPr>
        <w:t xml:space="preserve">khususnya tentang pentingnya </w:t>
      </w:r>
      <w:r w:rsidRPr="00271AA7">
        <w:rPr>
          <w:lang w:val="id-ID"/>
        </w:rPr>
        <w:t>kemandirian lansia d</w:t>
      </w:r>
      <w:r w:rsidR="009C6889" w:rsidRPr="00271AA7">
        <w:rPr>
          <w:lang w:val="id-ID"/>
        </w:rPr>
        <w:t xml:space="preserve">alam melakukan aktivitas dasar dan instrumental untuk pencegahan penyakit. Bagi pihak panti agar menikahkan lansia yang ada di panti agar tidak kesepian dan </w:t>
      </w:r>
      <w:r w:rsidR="00027BE9" w:rsidRPr="00271AA7">
        <w:rPr>
          <w:lang w:val="id-ID"/>
        </w:rPr>
        <w:t xml:space="preserve">kesehatan mentalnya tetap baik sehingga tetap mandiri dalam melakukan aktivitasnya sehari-hari. Untuk pencegahan demensia perlu upaya komprehensif mulai dari gizi yang adekuat, mengadakan program olahraga teratur, cek kesehatan secara rutin, hindari alkohol dan merokok, kurangi berat badan, tetap aktif dalam kegiatan sosial, dan lain-lain yang tentunya kegiatan ini sudah difasilitasi oleh pihak panti </w:t>
      </w:r>
      <w:r w:rsidR="001967AC" w:rsidRPr="00271AA7">
        <w:rPr>
          <w:lang w:val="id-ID"/>
        </w:rPr>
        <w:t>tinggal</w:t>
      </w:r>
      <w:r w:rsidR="00027BE9" w:rsidRPr="00271AA7">
        <w:rPr>
          <w:lang w:val="id-ID"/>
        </w:rPr>
        <w:t xml:space="preserve"> mengaktifkan lansia </w:t>
      </w:r>
      <w:r w:rsidR="001967AC" w:rsidRPr="00271AA7">
        <w:rPr>
          <w:lang w:val="id-ID"/>
        </w:rPr>
        <w:t xml:space="preserve">untuk selalu ikut serta </w:t>
      </w:r>
      <w:r w:rsidR="00027BE9" w:rsidRPr="00271AA7">
        <w:rPr>
          <w:lang w:val="id-ID"/>
        </w:rPr>
        <w:t>dalam kegiatan yang ada di panti</w:t>
      </w:r>
      <w:r w:rsidR="001967AC" w:rsidRPr="00271AA7">
        <w:rPr>
          <w:lang w:val="id-ID"/>
        </w:rPr>
        <w:t>.</w:t>
      </w:r>
    </w:p>
    <w:p w14:paraId="69065BFD" w14:textId="77777777" w:rsidR="009F2CCF" w:rsidRPr="00271AA7" w:rsidRDefault="009F2CCF" w:rsidP="00271AA7">
      <w:pPr>
        <w:spacing w:before="0" w:after="0" w:line="360" w:lineRule="auto"/>
        <w:rPr>
          <w:lang w:val="id-ID"/>
        </w:rPr>
      </w:pPr>
    </w:p>
    <w:p w14:paraId="3403DE70" w14:textId="3173E374" w:rsidR="009F2CCF" w:rsidRPr="00271AA7" w:rsidRDefault="009F2CCF" w:rsidP="00271AA7">
      <w:pPr>
        <w:spacing w:before="0" w:after="0" w:line="360" w:lineRule="auto"/>
        <w:ind w:firstLine="0"/>
        <w:rPr>
          <w:b/>
          <w:bCs/>
          <w:lang w:val="id-ID"/>
        </w:rPr>
      </w:pPr>
      <w:r w:rsidRPr="00271AA7">
        <w:rPr>
          <w:b/>
          <w:bCs/>
          <w:lang w:val="id-ID"/>
        </w:rPr>
        <w:t>UCAPAN TERIMA KASIH</w:t>
      </w:r>
    </w:p>
    <w:p w14:paraId="13794D40" w14:textId="77777777" w:rsidR="009F2CCF" w:rsidRPr="00271AA7" w:rsidRDefault="009F2CCF" w:rsidP="00271AA7">
      <w:pPr>
        <w:spacing w:before="0" w:after="0" w:line="360" w:lineRule="auto"/>
        <w:rPr>
          <w:lang w:val="id-ID"/>
        </w:rPr>
      </w:pPr>
      <w:r w:rsidRPr="00271AA7">
        <w:rPr>
          <w:lang w:val="id-ID"/>
        </w:rPr>
        <w:t>Terima kasih kepada Kementerian Riset dan Teknologi Pendidikan Tinggi yang telah memberikan biaya riset penelitian ini.</w:t>
      </w:r>
    </w:p>
    <w:p w14:paraId="707BD628" w14:textId="77777777" w:rsidR="009F2CCF" w:rsidRPr="00271AA7" w:rsidRDefault="009F2CCF" w:rsidP="00271AA7">
      <w:pPr>
        <w:spacing w:before="0" w:after="0" w:line="360" w:lineRule="auto"/>
        <w:rPr>
          <w:lang w:val="id-ID"/>
        </w:rPr>
      </w:pPr>
    </w:p>
    <w:p w14:paraId="59D3B517" w14:textId="348850F8" w:rsidR="009F2CCF" w:rsidRPr="00271AA7" w:rsidRDefault="009F2CCF" w:rsidP="00271AA7">
      <w:pPr>
        <w:tabs>
          <w:tab w:val="left" w:pos="270"/>
        </w:tabs>
        <w:spacing w:before="0" w:after="0" w:line="360" w:lineRule="auto"/>
        <w:ind w:left="709" w:hanging="709"/>
        <w:rPr>
          <w:b/>
          <w:lang w:val="id-ID"/>
        </w:rPr>
      </w:pPr>
      <w:r w:rsidRPr="00271AA7">
        <w:rPr>
          <w:b/>
          <w:lang w:val="id-ID"/>
        </w:rPr>
        <w:t>DAFTAR PUSTAKA</w:t>
      </w:r>
    </w:p>
    <w:p w14:paraId="1ADCB669" w14:textId="02BD4C5D" w:rsidR="000F434A" w:rsidRPr="00271AA7" w:rsidRDefault="009F2CCF" w:rsidP="00271AA7">
      <w:pPr>
        <w:widowControl w:val="0"/>
        <w:autoSpaceDE w:val="0"/>
        <w:autoSpaceDN w:val="0"/>
        <w:adjustRightInd w:val="0"/>
        <w:spacing w:before="0" w:after="0" w:line="360" w:lineRule="auto"/>
        <w:ind w:left="480" w:hanging="480"/>
        <w:rPr>
          <w:noProof/>
        </w:rPr>
      </w:pPr>
      <w:r w:rsidRPr="00271AA7">
        <w:rPr>
          <w:b/>
          <w:lang w:val="id-ID"/>
        </w:rPr>
        <w:fldChar w:fldCharType="begin" w:fldLock="1"/>
      </w:r>
      <w:r w:rsidRPr="00271AA7">
        <w:rPr>
          <w:b/>
          <w:lang w:val="id-ID"/>
        </w:rPr>
        <w:instrText xml:space="preserve">ADDIN Mendeley Bibliography CSL_BIBLIOGRAPHY </w:instrText>
      </w:r>
      <w:r w:rsidRPr="00271AA7">
        <w:rPr>
          <w:b/>
          <w:lang w:val="id-ID"/>
        </w:rPr>
        <w:fldChar w:fldCharType="separate"/>
      </w:r>
      <w:r w:rsidR="000F434A" w:rsidRPr="00271AA7">
        <w:rPr>
          <w:noProof/>
        </w:rPr>
        <w:t xml:space="preserve">Arnau, A., Ferrer, M., Espaulella, J., Serrarols, M., Canudas, J., &amp; Formiga, F. (2012). Factors associated with functional status in a population aged ≥75 years without total dependence. </w:t>
      </w:r>
      <w:r w:rsidR="000F434A" w:rsidRPr="00271AA7">
        <w:rPr>
          <w:i/>
          <w:iCs/>
          <w:noProof/>
        </w:rPr>
        <w:t>Gaceta Sanitaria</w:t>
      </w:r>
      <w:r w:rsidR="000F434A" w:rsidRPr="00271AA7">
        <w:rPr>
          <w:noProof/>
        </w:rPr>
        <w:t>. https://doi.org/10.1016/j.gaceta.2011.09.035</w:t>
      </w:r>
    </w:p>
    <w:p w14:paraId="204E98C9"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D’Onofrio, G., Sancarlo, D., Panza, F., Copetti, M., Cascavilla, L., Paris, F., … Pilotto, A. (2013). Neuropsychiatric Symptoms and Functional Status in Alzheimer’s Disease and Vascular Dementia Patients. </w:t>
      </w:r>
      <w:r w:rsidRPr="00271AA7">
        <w:rPr>
          <w:i/>
          <w:iCs/>
          <w:noProof/>
        </w:rPr>
        <w:t>Current Alzheimer Research</w:t>
      </w:r>
      <w:r w:rsidRPr="00271AA7">
        <w:rPr>
          <w:noProof/>
        </w:rPr>
        <w:t>. https://doi.org/10.2174/156720512801322582</w:t>
      </w:r>
    </w:p>
    <w:p w14:paraId="02482B2B"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Databoks. (2019). Jumlah Penduduk Indonesia 2019 Mencapai 267 Juta Jiwa |. </w:t>
      </w:r>
      <w:r w:rsidRPr="00271AA7">
        <w:rPr>
          <w:i/>
          <w:iCs/>
          <w:noProof/>
        </w:rPr>
        <w:t>Dkatadata.Co.Id</w:t>
      </w:r>
      <w:r w:rsidRPr="00271AA7">
        <w:rPr>
          <w:noProof/>
        </w:rPr>
        <w:t>.</w:t>
      </w:r>
    </w:p>
    <w:p w14:paraId="25ACC36D"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Graf, C. (2008). The lawton instrumental activities of daily living scale. </w:t>
      </w:r>
      <w:r w:rsidRPr="00271AA7">
        <w:rPr>
          <w:i/>
          <w:iCs/>
          <w:noProof/>
        </w:rPr>
        <w:t>American Journal of Nursing</w:t>
      </w:r>
      <w:r w:rsidRPr="00271AA7">
        <w:rPr>
          <w:noProof/>
        </w:rPr>
        <w:t>. https://doi.org/10.1097/01.NAJ.0000314810.46029.74</w:t>
      </w:r>
    </w:p>
    <w:p w14:paraId="6FD1E5EB"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Inocian, E. P., Inocian, E. P., &amp; Ysatam, E. I. (2014). The dependency needs in the activities of daily living performance among Filipino elderly. </w:t>
      </w:r>
      <w:r w:rsidRPr="00271AA7">
        <w:rPr>
          <w:i/>
          <w:iCs/>
          <w:noProof/>
        </w:rPr>
        <w:t>International Research Journal of Medicine and Medical Sciences</w:t>
      </w:r>
      <w:r w:rsidRPr="00271AA7">
        <w:rPr>
          <w:noProof/>
        </w:rPr>
        <w:t>.</w:t>
      </w:r>
    </w:p>
    <w:p w14:paraId="626E577D"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Ismail, S. O. (2015). Faktor-faktor yang Mempengaruhi Kemandirian Lansia. </w:t>
      </w:r>
      <w:r w:rsidRPr="00271AA7">
        <w:rPr>
          <w:i/>
          <w:iCs/>
          <w:noProof/>
        </w:rPr>
        <w:t>Fakultas Ilmu-Ilmu Kesehatan</w:t>
      </w:r>
      <w:r w:rsidRPr="00271AA7">
        <w:rPr>
          <w:noProof/>
        </w:rPr>
        <w:t>. https://doi.org/10.1017/CBO9781107415324.004</w:t>
      </w:r>
    </w:p>
    <w:p w14:paraId="3E1F3EA3"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Jekel, K., Damian, M., Wattmo, C., Hausner, L., Bullock, R., Connelly, P. J., … Frölich, L. (2015). Mild cognitive impairment and deficits in instrumental activities of daily living: A systematic review. </w:t>
      </w:r>
      <w:r w:rsidRPr="00271AA7">
        <w:rPr>
          <w:i/>
          <w:iCs/>
          <w:noProof/>
        </w:rPr>
        <w:t>Alzheimer’s Research and Therapy</w:t>
      </w:r>
      <w:r w:rsidRPr="00271AA7">
        <w:rPr>
          <w:noProof/>
        </w:rPr>
        <w:t>. https://doi.org/10.1186/s13195-015-0099-0</w:t>
      </w:r>
    </w:p>
    <w:p w14:paraId="4FB2C017"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Jumita, R., Azrimaidaliza, A., &amp; Machmud, R. (2012). KEMANDIRIAN LANSIA DIWILAYAH KERJA PUSKESMAS LAMPASI KOTA PAYAKUMBUH. </w:t>
      </w:r>
      <w:r w:rsidRPr="00271AA7">
        <w:rPr>
          <w:i/>
          <w:iCs/>
          <w:noProof/>
        </w:rPr>
        <w:t>Jurnal Kesehatan Masyarakat Andalas</w:t>
      </w:r>
      <w:r w:rsidRPr="00271AA7">
        <w:rPr>
          <w:noProof/>
        </w:rPr>
        <w:t>. https://doi.org/10.24893/JKMA.6.2.86-94.2012</w:t>
      </w:r>
    </w:p>
    <w:p w14:paraId="17801A22"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Kemenkes RI. (2017). Analisis Lansia di Indonesia. </w:t>
      </w:r>
      <w:r w:rsidRPr="00271AA7">
        <w:rPr>
          <w:i/>
          <w:iCs/>
          <w:noProof/>
        </w:rPr>
        <w:t>Pusat Data Dan Informasi Kementerian Kesehatan RI</w:t>
      </w:r>
      <w:r w:rsidRPr="00271AA7">
        <w:rPr>
          <w:noProof/>
        </w:rPr>
        <w:t>.</w:t>
      </w:r>
    </w:p>
    <w:p w14:paraId="287753C8"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Kodri, K., &amp; Rahmayati, E. (2017). FAKTOR YANG BERHUBUNGAN DENGAN KEMANDIRIAN LANSIA DALAM MELAKUKAN AKTIVITAS SEHARI-HARI. </w:t>
      </w:r>
      <w:r w:rsidRPr="00271AA7">
        <w:rPr>
          <w:i/>
          <w:iCs/>
          <w:noProof/>
        </w:rPr>
        <w:t>Jurnal Ilmiah Keperawatan Sai Betik</w:t>
      </w:r>
      <w:r w:rsidRPr="00271AA7">
        <w:rPr>
          <w:noProof/>
        </w:rPr>
        <w:t>. https://doi.org/10.26630/JKEP.V12I1.355</w:t>
      </w:r>
    </w:p>
    <w:p w14:paraId="04D5F9CD"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Koskas, P., Henry-Feugeas, M. C., Feugeas, J. P., Poissonnet, A., Pons-Peyneau, C., Wolmark, Y., &amp; Drunat, O. (2014). The lawton instrumental activities daily living/activities daily living scales: A sensitive test to Alzheimer disease in community-dwelling elderly people? </w:t>
      </w:r>
      <w:r w:rsidRPr="00271AA7">
        <w:rPr>
          <w:i/>
          <w:iCs/>
          <w:noProof/>
        </w:rPr>
        <w:t>Journal of Geriatric Psychiatry and Neurology</w:t>
      </w:r>
      <w:r w:rsidRPr="00271AA7">
        <w:rPr>
          <w:noProof/>
        </w:rPr>
        <w:t>. https://doi.org/10.1177/0891988714522694</w:t>
      </w:r>
    </w:p>
    <w:p w14:paraId="1FDCCE4B"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Livingston, G., Sommerlad, A., Orgeta, V., Costafreda, S. G., Huntley, J., Ames, D., … Mukadam, N. (2017). Dementia prevention, intervention, and care. </w:t>
      </w:r>
      <w:r w:rsidRPr="00271AA7">
        <w:rPr>
          <w:i/>
          <w:iCs/>
          <w:noProof/>
        </w:rPr>
        <w:t>The Lancet</w:t>
      </w:r>
      <w:r w:rsidRPr="00271AA7">
        <w:rPr>
          <w:noProof/>
        </w:rPr>
        <w:t>. https://doi.org/10.1016/S0140-6736(17)31363-6</w:t>
      </w:r>
    </w:p>
    <w:p w14:paraId="74E2DC26"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Morais, A., Santos, S., &amp; Lebre, P. (2019). Psychomotor, Functional, and Cognitive Profiles in Older People with and without Dementia:What Connections? </w:t>
      </w:r>
      <w:r w:rsidRPr="00271AA7">
        <w:rPr>
          <w:i/>
          <w:iCs/>
          <w:noProof/>
        </w:rPr>
        <w:t>Dementia</w:t>
      </w:r>
      <w:r w:rsidRPr="00271AA7">
        <w:rPr>
          <w:noProof/>
        </w:rPr>
        <w:t>. https://doi.org/10.1177/1471301217719624</w:t>
      </w:r>
    </w:p>
    <w:p w14:paraId="3E2493E4"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Perdossi. (2015). </w:t>
      </w:r>
      <w:r w:rsidRPr="00271AA7">
        <w:rPr>
          <w:i/>
          <w:iCs/>
          <w:noProof/>
        </w:rPr>
        <w:t>Panduan Praktik Klinik Diagnosis dan Penatalaksanaan Demensia</w:t>
      </w:r>
      <w:r w:rsidRPr="00271AA7">
        <w:rPr>
          <w:noProof/>
        </w:rPr>
        <w:t>. Jakarta Pusat.</w:t>
      </w:r>
    </w:p>
    <w:p w14:paraId="1C4A75DC"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Tomioka, K., Kurumatani, N., &amp; Hosoi, H. (2016). Association between social participation and instrumental activities of daily living among community-dwelling older adults. </w:t>
      </w:r>
      <w:r w:rsidRPr="00271AA7">
        <w:rPr>
          <w:i/>
          <w:iCs/>
          <w:noProof/>
        </w:rPr>
        <w:t>Journal of Epidemiology</w:t>
      </w:r>
      <w:r w:rsidRPr="00271AA7">
        <w:rPr>
          <w:noProof/>
        </w:rPr>
        <w:t>. https://doi.org/10.2188/jea.JE20150253</w:t>
      </w:r>
    </w:p>
    <w:p w14:paraId="6F983F34"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Villarreal, A. E., Grajales, S., López, L., Oviedo, D. C., Carreira, M. B., Gómez, L. A., … Britton, G. B. (2018). Limitations in Activities of Daily Living among Dementia-Free Older Adults in Panama. </w:t>
      </w:r>
      <w:r w:rsidRPr="00271AA7">
        <w:rPr>
          <w:i/>
          <w:iCs/>
          <w:noProof/>
        </w:rPr>
        <w:t>Ageing International</w:t>
      </w:r>
      <w:r w:rsidRPr="00271AA7">
        <w:rPr>
          <w:noProof/>
        </w:rPr>
        <w:t>. https://doi.org/10.1007/s12126-018-9321-2</w:t>
      </w:r>
    </w:p>
    <w:p w14:paraId="3EBD9644" w14:textId="77777777" w:rsidR="000F434A" w:rsidRPr="00271AA7" w:rsidRDefault="000F434A" w:rsidP="00271AA7">
      <w:pPr>
        <w:widowControl w:val="0"/>
        <w:autoSpaceDE w:val="0"/>
        <w:autoSpaceDN w:val="0"/>
        <w:adjustRightInd w:val="0"/>
        <w:spacing w:before="0" w:after="0" w:line="360" w:lineRule="auto"/>
        <w:ind w:left="480" w:hanging="480"/>
        <w:rPr>
          <w:noProof/>
        </w:rPr>
      </w:pPr>
      <w:r w:rsidRPr="00271AA7">
        <w:rPr>
          <w:noProof/>
        </w:rPr>
        <w:t xml:space="preserve">Wang, H., Chen, K., Pan, Y., Jing, F., &amp; Liu, H. (2013). Associations and Impact Factors between Living Arrangements and Functional Disability among Older Chinese Adults. </w:t>
      </w:r>
      <w:r w:rsidRPr="00271AA7">
        <w:rPr>
          <w:i/>
          <w:iCs/>
          <w:noProof/>
        </w:rPr>
        <w:t>PLoS ONE</w:t>
      </w:r>
      <w:r w:rsidRPr="00271AA7">
        <w:rPr>
          <w:noProof/>
        </w:rPr>
        <w:t>. https://doi.org/10.1371/journal.pone.0053879</w:t>
      </w:r>
    </w:p>
    <w:p w14:paraId="2FDD6A4A" w14:textId="6CC533E3" w:rsidR="00B447BD" w:rsidRPr="00271AA7" w:rsidRDefault="009F2CCF" w:rsidP="00271AA7">
      <w:pPr>
        <w:spacing w:before="0" w:after="0" w:line="360" w:lineRule="auto"/>
        <w:ind w:firstLine="426"/>
        <w:rPr>
          <w:lang w:val="id-ID"/>
        </w:rPr>
      </w:pPr>
      <w:r w:rsidRPr="00271AA7">
        <w:rPr>
          <w:b/>
          <w:lang w:val="id-ID"/>
        </w:rPr>
        <w:fldChar w:fldCharType="end"/>
      </w:r>
      <w:r w:rsidR="00EC1467" w:rsidRPr="00271AA7">
        <w:t xml:space="preserve"> </w:t>
      </w:r>
    </w:p>
    <w:sectPr w:rsidR="00B447BD" w:rsidRPr="00271AA7" w:rsidSect="00271AA7">
      <w:type w:val="continuous"/>
      <w:pgSz w:w="11909" w:h="16834" w:code="9"/>
      <w:pgMar w:top="1701" w:right="1440" w:bottom="1440" w:left="1701" w:header="794" w:footer="794" w:gutter="0"/>
      <w:pgNumType w:start="142"/>
      <w:cols w:space="9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A5FC" w14:textId="77777777" w:rsidR="00D624B4" w:rsidRDefault="00D624B4">
      <w:pPr>
        <w:spacing w:after="0" w:line="240" w:lineRule="auto"/>
      </w:pPr>
      <w:r>
        <w:separator/>
      </w:r>
    </w:p>
  </w:endnote>
  <w:endnote w:type="continuationSeparator" w:id="0">
    <w:p w14:paraId="2AB5661A" w14:textId="77777777" w:rsidR="00D624B4" w:rsidRDefault="00D6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500000000000000"/>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eurofurence">
    <w:altName w:val="eurofurence"/>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913152"/>
      <w:docPartObj>
        <w:docPartGallery w:val="Page Numbers (Bottom of Page)"/>
        <w:docPartUnique/>
      </w:docPartObj>
    </w:sdtPr>
    <w:sdtEndPr>
      <w:rPr>
        <w:noProof/>
      </w:rPr>
    </w:sdtEndPr>
    <w:sdtContent>
      <w:p w14:paraId="50AB1A84" w14:textId="52DFB3EB" w:rsidR="00D624B4" w:rsidRPr="00E42500" w:rsidRDefault="00D624B4" w:rsidP="00E42500">
        <w:pPr>
          <w:pStyle w:val="Footer"/>
          <w:spacing w:after="0" w:line="240" w:lineRule="auto"/>
          <w:jc w:val="right"/>
        </w:pPr>
        <w:r w:rsidRPr="003B53AA">
          <w:ptab w:relativeTo="margin" w:alignment="left" w:leader="none"/>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FA724" w14:textId="6F194793" w:rsidR="00D624B4" w:rsidRPr="00E42500" w:rsidRDefault="00D624B4" w:rsidP="00E42500">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C4AA4" w14:textId="121E0888" w:rsidR="00D624B4" w:rsidRPr="007E15C6" w:rsidRDefault="00D624B4" w:rsidP="00A50FAD">
    <w:pPr>
      <w:pStyle w:val="Footer"/>
      <w:tabs>
        <w:tab w:val="center" w:pos="4535"/>
        <w:tab w:val="left" w:pos="5218"/>
      </w:tabs>
      <w:spacing w:after="0" w:line="240" w:lineRule="auto"/>
    </w:pPr>
    <w:r>
      <w:tab/>
    </w:r>
    <w:r>
      <w:tab/>
    </w:r>
    <w:sdt>
      <w:sdtPr>
        <w:id w:val="1350363936"/>
        <w:docPartObj>
          <w:docPartGallery w:val="Page Numbers (Bottom of Page)"/>
          <w:docPartUnique/>
        </w:docPartObj>
      </w:sdtPr>
      <w:sdtEndPr>
        <w:rPr>
          <w:noProof/>
        </w:rPr>
      </w:sdtEndPr>
      <w:sdtContent/>
    </w:sdt>
    <w:r>
      <w:rPr>
        <w:noProof/>
      </w:rPr>
      <w:tab/>
    </w:r>
  </w:p>
  <w:p w14:paraId="254E4184" w14:textId="77777777" w:rsidR="00D624B4" w:rsidRDefault="00D62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2135" w14:textId="77777777" w:rsidR="00D624B4" w:rsidRDefault="00D624B4">
      <w:pPr>
        <w:spacing w:after="0" w:line="240" w:lineRule="auto"/>
      </w:pPr>
      <w:r>
        <w:separator/>
      </w:r>
    </w:p>
  </w:footnote>
  <w:footnote w:type="continuationSeparator" w:id="0">
    <w:p w14:paraId="3A7DE6E2" w14:textId="77777777" w:rsidR="00D624B4" w:rsidRDefault="00D6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8509" w14:textId="78755535" w:rsidR="00D624B4" w:rsidRPr="001A1E5E" w:rsidRDefault="00D624B4" w:rsidP="001A1E5E">
    <w:pPr>
      <w:pStyle w:val="Header"/>
      <w:jc w:val="center"/>
      <w:rPr>
        <w:rFonts w:asciiTheme="majorHAnsi" w:hAnsiTheme="majorHAnsi" w:cstheme="majorHAnsi"/>
        <w:sz w:val="18"/>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7ED7" w14:textId="01021CAC" w:rsidR="00D624B4" w:rsidRPr="001A1E5E" w:rsidRDefault="00D624B4" w:rsidP="001A1E5E">
    <w:pPr>
      <w:pStyle w:val="Header"/>
      <w:jc w:val="center"/>
      <w:rPr>
        <w:rFonts w:asciiTheme="majorHAnsi" w:hAnsiTheme="majorHAnsi" w:cstheme="majorHAns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D766B"/>
    <w:multiLevelType w:val="hybridMultilevel"/>
    <w:tmpl w:val="7D360D10"/>
    <w:lvl w:ilvl="0" w:tplc="C0A40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184F60"/>
    <w:multiLevelType w:val="hybridMultilevel"/>
    <w:tmpl w:val="BD02A9D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213A56"/>
    <w:multiLevelType w:val="hybridMultilevel"/>
    <w:tmpl w:val="BDA88D2C"/>
    <w:lvl w:ilvl="0" w:tplc="915CECCA">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3" w15:restartNumberingAfterBreak="0">
    <w:nsid w:val="217A6A6E"/>
    <w:multiLevelType w:val="hybridMultilevel"/>
    <w:tmpl w:val="CB6CA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71CD2"/>
    <w:multiLevelType w:val="hybridMultilevel"/>
    <w:tmpl w:val="AC582946"/>
    <w:lvl w:ilvl="0" w:tplc="B65C6DDA">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5" w15:restartNumberingAfterBreak="0">
    <w:nsid w:val="33B26313"/>
    <w:multiLevelType w:val="hybridMultilevel"/>
    <w:tmpl w:val="CB6CA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17D0D"/>
    <w:multiLevelType w:val="hybridMultilevel"/>
    <w:tmpl w:val="B6DEE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32095"/>
    <w:multiLevelType w:val="hybridMultilevel"/>
    <w:tmpl w:val="C2781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D5432"/>
    <w:multiLevelType w:val="hybridMultilevel"/>
    <w:tmpl w:val="14627776"/>
    <w:lvl w:ilvl="0" w:tplc="DCFA0E9E">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9" w15:restartNumberingAfterBreak="0">
    <w:nsid w:val="6BDA6436"/>
    <w:multiLevelType w:val="hybridMultilevel"/>
    <w:tmpl w:val="C7C0B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53703FE"/>
    <w:multiLevelType w:val="hybridMultilevel"/>
    <w:tmpl w:val="DA466BDA"/>
    <w:lvl w:ilvl="0" w:tplc="1C506EAE">
      <w:start w:val="1"/>
      <w:numFmt w:val="lowerLetter"/>
      <w:lvlText w:val="%1."/>
      <w:lvlJc w:val="left"/>
      <w:pPr>
        <w:ind w:left="927" w:hanging="360"/>
      </w:pPr>
      <w:rPr>
        <w:rFonts w:hint="default"/>
        <w:sz w:val="24"/>
      </w:rPr>
    </w:lvl>
    <w:lvl w:ilvl="1" w:tplc="04D4A1B0">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767068AC"/>
    <w:multiLevelType w:val="hybridMultilevel"/>
    <w:tmpl w:val="36468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5"/>
  </w:num>
  <w:num w:numId="5">
    <w:abstractNumId w:val="3"/>
  </w:num>
  <w:num w:numId="6">
    <w:abstractNumId w:val="9"/>
  </w:num>
  <w:num w:numId="7">
    <w:abstractNumId w:val="11"/>
  </w:num>
  <w:num w:numId="8">
    <w:abstractNumId w:val="2"/>
  </w:num>
  <w:num w:numId="9">
    <w:abstractNumId w:val="8"/>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mirrorMargins/>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28"/>
    <w:rsid w:val="00005421"/>
    <w:rsid w:val="0001669D"/>
    <w:rsid w:val="00027BE9"/>
    <w:rsid w:val="00054FDF"/>
    <w:rsid w:val="000565AB"/>
    <w:rsid w:val="00057BDD"/>
    <w:rsid w:val="00075E70"/>
    <w:rsid w:val="00081146"/>
    <w:rsid w:val="0008644B"/>
    <w:rsid w:val="0009610F"/>
    <w:rsid w:val="000C6C01"/>
    <w:rsid w:val="000D70FB"/>
    <w:rsid w:val="000F434A"/>
    <w:rsid w:val="0012244C"/>
    <w:rsid w:val="0013032E"/>
    <w:rsid w:val="00132DBB"/>
    <w:rsid w:val="00151FFD"/>
    <w:rsid w:val="00153BEA"/>
    <w:rsid w:val="00167167"/>
    <w:rsid w:val="00186C14"/>
    <w:rsid w:val="0019631E"/>
    <w:rsid w:val="001967AC"/>
    <w:rsid w:val="00197A54"/>
    <w:rsid w:val="00197C06"/>
    <w:rsid w:val="001A1E5E"/>
    <w:rsid w:val="001B7768"/>
    <w:rsid w:val="002107B7"/>
    <w:rsid w:val="0021275C"/>
    <w:rsid w:val="00214499"/>
    <w:rsid w:val="002163E0"/>
    <w:rsid w:val="00271AA7"/>
    <w:rsid w:val="002A1EBC"/>
    <w:rsid w:val="002B1AE3"/>
    <w:rsid w:val="002C05F0"/>
    <w:rsid w:val="002F4F4F"/>
    <w:rsid w:val="00316AE5"/>
    <w:rsid w:val="00342CBF"/>
    <w:rsid w:val="00353291"/>
    <w:rsid w:val="00353A5B"/>
    <w:rsid w:val="00364D1E"/>
    <w:rsid w:val="003658EB"/>
    <w:rsid w:val="003733CD"/>
    <w:rsid w:val="00377E76"/>
    <w:rsid w:val="003828C6"/>
    <w:rsid w:val="003A2CD1"/>
    <w:rsid w:val="003B2966"/>
    <w:rsid w:val="003B53AA"/>
    <w:rsid w:val="003C0126"/>
    <w:rsid w:val="003C5C6B"/>
    <w:rsid w:val="004653C2"/>
    <w:rsid w:val="0048321B"/>
    <w:rsid w:val="00495080"/>
    <w:rsid w:val="0049691A"/>
    <w:rsid w:val="004A2C43"/>
    <w:rsid w:val="004B745F"/>
    <w:rsid w:val="005243DD"/>
    <w:rsid w:val="00564E14"/>
    <w:rsid w:val="005B5C8C"/>
    <w:rsid w:val="005D2CFA"/>
    <w:rsid w:val="005D308C"/>
    <w:rsid w:val="005E589A"/>
    <w:rsid w:val="00616E7E"/>
    <w:rsid w:val="006234C1"/>
    <w:rsid w:val="00645025"/>
    <w:rsid w:val="00680174"/>
    <w:rsid w:val="00690458"/>
    <w:rsid w:val="00715F4A"/>
    <w:rsid w:val="00724E58"/>
    <w:rsid w:val="00734C37"/>
    <w:rsid w:val="00751DC1"/>
    <w:rsid w:val="00770538"/>
    <w:rsid w:val="00783B7F"/>
    <w:rsid w:val="007979C0"/>
    <w:rsid w:val="007A014E"/>
    <w:rsid w:val="007A2CA8"/>
    <w:rsid w:val="007E15C6"/>
    <w:rsid w:val="007E1EFA"/>
    <w:rsid w:val="007E5033"/>
    <w:rsid w:val="007F7D90"/>
    <w:rsid w:val="00800843"/>
    <w:rsid w:val="00801208"/>
    <w:rsid w:val="00805763"/>
    <w:rsid w:val="00807D67"/>
    <w:rsid w:val="008350CB"/>
    <w:rsid w:val="008419DC"/>
    <w:rsid w:val="00842B28"/>
    <w:rsid w:val="00846C0D"/>
    <w:rsid w:val="008538B9"/>
    <w:rsid w:val="00871670"/>
    <w:rsid w:val="00885244"/>
    <w:rsid w:val="008B3916"/>
    <w:rsid w:val="008E6CCA"/>
    <w:rsid w:val="00910381"/>
    <w:rsid w:val="009402F1"/>
    <w:rsid w:val="00964600"/>
    <w:rsid w:val="00980244"/>
    <w:rsid w:val="009938BE"/>
    <w:rsid w:val="009B38FE"/>
    <w:rsid w:val="009C6889"/>
    <w:rsid w:val="009D1545"/>
    <w:rsid w:val="009D5F2C"/>
    <w:rsid w:val="009E1B8F"/>
    <w:rsid w:val="009F2CCF"/>
    <w:rsid w:val="009F4BCF"/>
    <w:rsid w:val="00A50FAD"/>
    <w:rsid w:val="00A6343E"/>
    <w:rsid w:val="00A6478A"/>
    <w:rsid w:val="00A66EB1"/>
    <w:rsid w:val="00AB77B5"/>
    <w:rsid w:val="00B03641"/>
    <w:rsid w:val="00B14ACB"/>
    <w:rsid w:val="00B378E7"/>
    <w:rsid w:val="00B447BD"/>
    <w:rsid w:val="00B45462"/>
    <w:rsid w:val="00B515BC"/>
    <w:rsid w:val="00B61B83"/>
    <w:rsid w:val="00B743CA"/>
    <w:rsid w:val="00BA405B"/>
    <w:rsid w:val="00BB1536"/>
    <w:rsid w:val="00BC7A2E"/>
    <w:rsid w:val="00BD0AC8"/>
    <w:rsid w:val="00BE7C58"/>
    <w:rsid w:val="00C0089E"/>
    <w:rsid w:val="00C436AD"/>
    <w:rsid w:val="00C843AA"/>
    <w:rsid w:val="00C923D7"/>
    <w:rsid w:val="00C975C9"/>
    <w:rsid w:val="00CE7280"/>
    <w:rsid w:val="00D22DCB"/>
    <w:rsid w:val="00D56ACE"/>
    <w:rsid w:val="00D60E8A"/>
    <w:rsid w:val="00D624B4"/>
    <w:rsid w:val="00D803C1"/>
    <w:rsid w:val="00DA472F"/>
    <w:rsid w:val="00DA6888"/>
    <w:rsid w:val="00DC26BB"/>
    <w:rsid w:val="00DE77F2"/>
    <w:rsid w:val="00DF769A"/>
    <w:rsid w:val="00E037F2"/>
    <w:rsid w:val="00E361FC"/>
    <w:rsid w:val="00E42500"/>
    <w:rsid w:val="00E747B0"/>
    <w:rsid w:val="00EA005A"/>
    <w:rsid w:val="00EA25D1"/>
    <w:rsid w:val="00EA4D5C"/>
    <w:rsid w:val="00EC1467"/>
    <w:rsid w:val="00EE1F70"/>
    <w:rsid w:val="00EE492A"/>
    <w:rsid w:val="00EF2116"/>
    <w:rsid w:val="00EF75EC"/>
    <w:rsid w:val="00EF7AE0"/>
    <w:rsid w:val="00F12C17"/>
    <w:rsid w:val="00F8005E"/>
    <w:rsid w:val="00F8694B"/>
    <w:rsid w:val="00FA4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7413F8"/>
  <w14:defaultImageDpi w14:val="300"/>
  <w15:docId w15:val="{734CE726-69DF-4846-8899-6716487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CA"/>
    <w:pPr>
      <w:spacing w:before="120" w:after="160" w:line="240" w:lineRule="exact"/>
      <w:ind w:firstLine="567"/>
      <w:contextualSpacing/>
      <w:jc w:val="both"/>
    </w:pPr>
    <w:rPr>
      <w:rFonts w:ascii="Times New Roman" w:eastAsia="Times New Roman" w:hAnsi="Times New Roman" w:cs="Times New Roman"/>
      <w:sz w:val="22"/>
      <w:szCs w:val="22"/>
    </w:rPr>
  </w:style>
  <w:style w:type="paragraph" w:styleId="Heading1">
    <w:name w:val="heading 1"/>
    <w:basedOn w:val="Normal"/>
    <w:next w:val="Normal"/>
    <w:link w:val="Heading1Char"/>
    <w:autoRedefine/>
    <w:qFormat/>
    <w:rsid w:val="00153BEA"/>
    <w:pPr>
      <w:keepNext/>
      <w:spacing w:after="0" w:line="240" w:lineRule="auto"/>
      <w:jc w:val="center"/>
      <w:outlineLvl w:val="0"/>
    </w:pPr>
    <w:rPr>
      <w:b/>
      <w:sz w:val="28"/>
      <w:szCs w:val="20"/>
      <w:lang w:val="x-none" w:eastAsia="x-none"/>
    </w:rPr>
  </w:style>
  <w:style w:type="paragraph" w:styleId="Heading2">
    <w:name w:val="heading 2"/>
    <w:basedOn w:val="Normal"/>
    <w:next w:val="Normal"/>
    <w:link w:val="Heading2Char"/>
    <w:autoRedefine/>
    <w:uiPriority w:val="9"/>
    <w:unhideWhenUsed/>
    <w:qFormat/>
    <w:rsid w:val="008B391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01669D"/>
    <w:pPr>
      <w:keepNext/>
      <w:keepLines/>
      <w:spacing w:before="40" w:after="0" w:line="240" w:lineRule="auto"/>
      <w:jc w:val="center"/>
      <w:outlineLvl w:val="2"/>
    </w:pPr>
    <w:rPr>
      <w:rFonts w:eastAsiaTheme="majorEastAsia" w:cstheme="majorBidi"/>
      <w:i/>
      <w:szCs w:val="24"/>
    </w:rPr>
  </w:style>
  <w:style w:type="paragraph" w:styleId="Heading4">
    <w:name w:val="heading 4"/>
    <w:basedOn w:val="Normal"/>
    <w:next w:val="Normal"/>
    <w:link w:val="Heading4Char"/>
    <w:autoRedefine/>
    <w:uiPriority w:val="9"/>
    <w:unhideWhenUsed/>
    <w:qFormat/>
    <w:rsid w:val="00801208"/>
    <w:pPr>
      <w:keepNext/>
      <w:keepLines/>
      <w:spacing w:before="0" w:after="240"/>
      <w:ind w:firstLine="0"/>
      <w:jc w:val="center"/>
      <w:outlineLvl w:val="3"/>
    </w:pPr>
    <w:rPr>
      <w:rFonts w:eastAsiaTheme="majorEastAsia" w:cstheme="majorBidi"/>
      <w:b/>
      <w:iCs/>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2B28"/>
    <w:pPr>
      <w:spacing w:after="200" w:line="276" w:lineRule="auto"/>
      <w:ind w:left="720"/>
    </w:pPr>
  </w:style>
  <w:style w:type="paragraph" w:styleId="Header">
    <w:name w:val="header"/>
    <w:basedOn w:val="Normal"/>
    <w:link w:val="HeaderChar"/>
    <w:uiPriority w:val="99"/>
    <w:unhideWhenUsed/>
    <w:rsid w:val="00842B28"/>
    <w:pPr>
      <w:tabs>
        <w:tab w:val="center" w:pos="4320"/>
        <w:tab w:val="right" w:pos="8640"/>
      </w:tabs>
    </w:pPr>
  </w:style>
  <w:style w:type="character" w:customStyle="1" w:styleId="HeaderChar">
    <w:name w:val="Header Char"/>
    <w:basedOn w:val="DefaultParagraphFont"/>
    <w:link w:val="Header"/>
    <w:uiPriority w:val="99"/>
    <w:rsid w:val="00842B28"/>
    <w:rPr>
      <w:rFonts w:ascii="Calibri" w:eastAsia="Times New Roman" w:hAnsi="Calibri" w:cs="Times New Roman"/>
      <w:sz w:val="22"/>
      <w:szCs w:val="22"/>
    </w:rPr>
  </w:style>
  <w:style w:type="paragraph" w:styleId="Footer">
    <w:name w:val="footer"/>
    <w:basedOn w:val="Normal"/>
    <w:link w:val="FooterChar"/>
    <w:uiPriority w:val="99"/>
    <w:unhideWhenUsed/>
    <w:rsid w:val="00842B28"/>
    <w:pPr>
      <w:tabs>
        <w:tab w:val="center" w:pos="4320"/>
        <w:tab w:val="right" w:pos="8640"/>
      </w:tabs>
    </w:pPr>
  </w:style>
  <w:style w:type="character" w:customStyle="1" w:styleId="FooterChar">
    <w:name w:val="Footer Char"/>
    <w:basedOn w:val="DefaultParagraphFont"/>
    <w:link w:val="Footer"/>
    <w:uiPriority w:val="99"/>
    <w:rsid w:val="00842B28"/>
    <w:rPr>
      <w:rFonts w:ascii="Calibri" w:eastAsia="Times New Roman" w:hAnsi="Calibri" w:cs="Times New Roman"/>
      <w:sz w:val="22"/>
      <w:szCs w:val="22"/>
    </w:rPr>
  </w:style>
  <w:style w:type="character" w:styleId="PageNumber">
    <w:name w:val="page number"/>
    <w:uiPriority w:val="99"/>
    <w:semiHidden/>
    <w:unhideWhenUsed/>
    <w:rsid w:val="00842B28"/>
  </w:style>
  <w:style w:type="paragraph" w:styleId="NoSpacing">
    <w:name w:val="No Spacing"/>
    <w:uiPriority w:val="1"/>
    <w:qFormat/>
    <w:rsid w:val="00842B28"/>
    <w:rPr>
      <w:rFonts w:ascii="Calibri" w:eastAsia="Times New Roman" w:hAnsi="Calibri" w:cs="Times New Roman"/>
      <w:sz w:val="22"/>
      <w:szCs w:val="22"/>
      <w:lang w:val="id-ID"/>
    </w:rPr>
  </w:style>
  <w:style w:type="character" w:customStyle="1" w:styleId="st">
    <w:name w:val="st"/>
    <w:rsid w:val="00842B28"/>
    <w:rPr>
      <w:rFonts w:cs="Times New Roman"/>
    </w:rPr>
  </w:style>
  <w:style w:type="paragraph" w:styleId="BodyTextIndent2">
    <w:name w:val="Body Text Indent 2"/>
    <w:basedOn w:val="Normal"/>
    <w:link w:val="BodyTextIndent2Char"/>
    <w:uiPriority w:val="99"/>
    <w:unhideWhenUsed/>
    <w:rsid w:val="00842B28"/>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842B28"/>
    <w:rPr>
      <w:rFonts w:ascii="Calibri" w:eastAsia="Times New Roman" w:hAnsi="Calibri" w:cs="Times New Roman"/>
      <w:sz w:val="22"/>
      <w:szCs w:val="22"/>
      <w:lang w:val="id-ID"/>
    </w:rPr>
  </w:style>
  <w:style w:type="character" w:customStyle="1" w:styleId="A5">
    <w:name w:val="A5"/>
    <w:uiPriority w:val="99"/>
    <w:rsid w:val="00842B28"/>
    <w:rPr>
      <w:rFonts w:cs="eurofurence"/>
      <w:color w:val="000000"/>
      <w:sz w:val="22"/>
      <w:szCs w:val="22"/>
    </w:rPr>
  </w:style>
  <w:style w:type="character" w:customStyle="1" w:styleId="a">
    <w:name w:val="a"/>
    <w:rsid w:val="00842B28"/>
  </w:style>
  <w:style w:type="paragraph" w:styleId="Subtitle">
    <w:name w:val="Subtitle"/>
    <w:basedOn w:val="Normal"/>
    <w:link w:val="SubtitleChar"/>
    <w:autoRedefine/>
    <w:qFormat/>
    <w:rsid w:val="00DA6888"/>
    <w:pPr>
      <w:spacing w:after="0" w:line="360" w:lineRule="auto"/>
      <w:ind w:firstLine="0"/>
    </w:pPr>
    <w:rPr>
      <w:b/>
      <w:bCs/>
      <w:szCs w:val="24"/>
    </w:rPr>
  </w:style>
  <w:style w:type="character" w:customStyle="1" w:styleId="SubtitleChar">
    <w:name w:val="Subtitle Char"/>
    <w:basedOn w:val="DefaultParagraphFont"/>
    <w:link w:val="Subtitle"/>
    <w:rsid w:val="00DA6888"/>
    <w:rPr>
      <w:rFonts w:ascii="Times New Roman" w:eastAsia="Times New Roman" w:hAnsi="Times New Roman" w:cs="Times New Roman"/>
      <w:b/>
      <w:bCs/>
      <w:sz w:val="22"/>
    </w:rPr>
  </w:style>
  <w:style w:type="paragraph" w:styleId="BodyTextIndent">
    <w:name w:val="Body Text Indent"/>
    <w:basedOn w:val="Normal"/>
    <w:link w:val="BodyTextIndentChar"/>
    <w:uiPriority w:val="99"/>
    <w:semiHidden/>
    <w:unhideWhenUsed/>
    <w:rsid w:val="00842B28"/>
    <w:pPr>
      <w:spacing w:after="120"/>
      <w:ind w:left="360"/>
    </w:pPr>
  </w:style>
  <w:style w:type="character" w:customStyle="1" w:styleId="BodyTextIndentChar">
    <w:name w:val="Body Text Indent Char"/>
    <w:basedOn w:val="DefaultParagraphFont"/>
    <w:link w:val="BodyTextIndent"/>
    <w:uiPriority w:val="99"/>
    <w:semiHidden/>
    <w:rsid w:val="00842B28"/>
    <w:rPr>
      <w:rFonts w:ascii="Calibri" w:eastAsia="Times New Roman" w:hAnsi="Calibri" w:cs="Times New Roman"/>
      <w:sz w:val="22"/>
      <w:szCs w:val="22"/>
    </w:rPr>
  </w:style>
  <w:style w:type="paragraph" w:styleId="Title">
    <w:name w:val="Title"/>
    <w:basedOn w:val="Normal"/>
    <w:link w:val="TitleChar"/>
    <w:autoRedefine/>
    <w:uiPriority w:val="10"/>
    <w:qFormat/>
    <w:rsid w:val="00153BEA"/>
    <w:pPr>
      <w:spacing w:after="0" w:line="360" w:lineRule="auto"/>
      <w:jc w:val="center"/>
    </w:pPr>
    <w:rPr>
      <w:b/>
      <w:bCs/>
      <w:szCs w:val="24"/>
    </w:rPr>
  </w:style>
  <w:style w:type="character" w:customStyle="1" w:styleId="TitleChar">
    <w:name w:val="Title Char"/>
    <w:basedOn w:val="DefaultParagraphFont"/>
    <w:link w:val="Title"/>
    <w:uiPriority w:val="10"/>
    <w:rsid w:val="00153BEA"/>
    <w:rPr>
      <w:rFonts w:ascii="Times New Roman" w:eastAsia="Times New Roman" w:hAnsi="Times New Roman" w:cs="Times New Roman"/>
      <w:b/>
      <w:bCs/>
      <w:sz w:val="22"/>
    </w:rPr>
  </w:style>
  <w:style w:type="table" w:styleId="TableGrid">
    <w:name w:val="Table Grid"/>
    <w:basedOn w:val="TableNormal"/>
    <w:uiPriority w:val="59"/>
    <w:rsid w:val="00842B2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A2CD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22DC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2DCB"/>
    <w:rPr>
      <w:rFonts w:ascii="Lucida Grande" w:eastAsia="Times New Roman" w:hAnsi="Lucida Grande" w:cs="Times New Roman"/>
      <w:sz w:val="18"/>
      <w:szCs w:val="18"/>
    </w:rPr>
  </w:style>
  <w:style w:type="character" w:styleId="Hyperlink">
    <w:name w:val="Hyperlink"/>
    <w:basedOn w:val="DefaultParagraphFont"/>
    <w:uiPriority w:val="99"/>
    <w:unhideWhenUsed/>
    <w:rsid w:val="009B38FE"/>
    <w:rPr>
      <w:color w:val="0000FF" w:themeColor="hyperlink"/>
      <w:u w:val="single"/>
    </w:rPr>
  </w:style>
  <w:style w:type="table" w:styleId="ColorfulGrid-Accent2">
    <w:name w:val="Colorful Grid Accent 2"/>
    <w:basedOn w:val="TableNormal"/>
    <w:uiPriority w:val="73"/>
    <w:rsid w:val="009B38F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FollowedHyperlink">
    <w:name w:val="FollowedHyperlink"/>
    <w:basedOn w:val="DefaultParagraphFont"/>
    <w:uiPriority w:val="99"/>
    <w:semiHidden/>
    <w:unhideWhenUsed/>
    <w:rsid w:val="00342CBF"/>
    <w:rPr>
      <w:color w:val="800080" w:themeColor="followedHyperlink"/>
      <w:u w:val="single"/>
    </w:rPr>
  </w:style>
  <w:style w:type="paragraph" w:customStyle="1" w:styleId="PageNumber1">
    <w:name w:val="Page Number1"/>
    <w:basedOn w:val="Normal"/>
    <w:rsid w:val="009D5F2C"/>
    <w:pPr>
      <w:suppressAutoHyphens/>
      <w:spacing w:after="0" w:line="240" w:lineRule="auto"/>
      <w:jc w:val="center"/>
    </w:pPr>
    <w:rPr>
      <w:rFonts w:ascii="Times" w:hAnsi="Times"/>
      <w:sz w:val="24"/>
      <w:szCs w:val="20"/>
      <w:lang w:eastAsia="ar-SA"/>
    </w:rPr>
  </w:style>
  <w:style w:type="character" w:customStyle="1" w:styleId="hps">
    <w:name w:val="hps"/>
    <w:rsid w:val="009D5F2C"/>
  </w:style>
  <w:style w:type="character" w:customStyle="1" w:styleId="shorttext">
    <w:name w:val="short_text"/>
    <w:basedOn w:val="DefaultParagraphFont"/>
    <w:rsid w:val="009D5F2C"/>
  </w:style>
  <w:style w:type="character" w:customStyle="1" w:styleId="Heading1Char">
    <w:name w:val="Heading 1 Char"/>
    <w:basedOn w:val="DefaultParagraphFont"/>
    <w:link w:val="Heading1"/>
    <w:rsid w:val="00153BEA"/>
    <w:rPr>
      <w:rFonts w:ascii="Times New Roman" w:eastAsia="Times New Roman" w:hAnsi="Times New Roman" w:cs="Times New Roman"/>
      <w:b/>
      <w:sz w:val="28"/>
      <w:szCs w:val="20"/>
      <w:lang w:val="x-none" w:eastAsia="x-none"/>
    </w:rPr>
  </w:style>
  <w:style w:type="paragraph" w:customStyle="1" w:styleId="Default">
    <w:name w:val="Default"/>
    <w:rsid w:val="00B03641"/>
    <w:pPr>
      <w:autoSpaceDE w:val="0"/>
      <w:autoSpaceDN w:val="0"/>
      <w:adjustRightInd w:val="0"/>
    </w:pPr>
    <w:rPr>
      <w:rFonts w:ascii="Times New Roman" w:eastAsia="Times New Roman" w:hAnsi="Times New Roman" w:cs="Times New Roman"/>
      <w:color w:val="000000"/>
      <w:lang w:val="id-ID" w:eastAsia="id-ID"/>
    </w:rPr>
  </w:style>
  <w:style w:type="paragraph" w:styleId="HTMLPreformatted">
    <w:name w:val="HTML Preformatted"/>
    <w:basedOn w:val="Normal"/>
    <w:link w:val="HTMLPreformattedChar"/>
    <w:uiPriority w:val="99"/>
    <w:unhideWhenUsed/>
    <w:rsid w:val="0087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71670"/>
    <w:rPr>
      <w:rFonts w:ascii="Courier New" w:eastAsia="Times New Roman" w:hAnsi="Courier New" w:cs="Courier New"/>
      <w:sz w:val="20"/>
      <w:szCs w:val="20"/>
    </w:rPr>
  </w:style>
  <w:style w:type="table" w:styleId="LightShading">
    <w:name w:val="Light Shading"/>
    <w:basedOn w:val="TableNormal"/>
    <w:uiPriority w:val="60"/>
    <w:rsid w:val="00871670"/>
    <w:rPr>
      <w:rFonts w:eastAsiaTheme="minorHAnsi"/>
      <w:color w:val="000000" w:themeColor="text1" w:themeShade="BF"/>
      <w:sz w:val="22"/>
      <w:szCs w:val="22"/>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leauthoretc">
    <w:name w:val="titleauthoretc"/>
    <w:rsid w:val="00871670"/>
  </w:style>
  <w:style w:type="character" w:customStyle="1" w:styleId="apple-converted-space">
    <w:name w:val="apple-converted-space"/>
    <w:basedOn w:val="DefaultParagraphFont"/>
    <w:rsid w:val="007979C0"/>
  </w:style>
  <w:style w:type="table" w:customStyle="1" w:styleId="LightShading2">
    <w:name w:val="Light Shading2"/>
    <w:basedOn w:val="TableNormal"/>
    <w:uiPriority w:val="60"/>
    <w:rsid w:val="007979C0"/>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7979C0"/>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12C17"/>
    <w:pPr>
      <w:spacing w:before="100" w:beforeAutospacing="1" w:after="100" w:afterAutospacing="1" w:line="240" w:lineRule="auto"/>
    </w:pPr>
    <w:rPr>
      <w:sz w:val="24"/>
      <w:szCs w:val="24"/>
    </w:rPr>
  </w:style>
  <w:style w:type="paragraph" w:styleId="Bibliography">
    <w:name w:val="Bibliography"/>
    <w:basedOn w:val="Normal"/>
    <w:next w:val="Normal"/>
    <w:uiPriority w:val="37"/>
    <w:semiHidden/>
    <w:unhideWhenUsed/>
    <w:rsid w:val="00F12C17"/>
  </w:style>
  <w:style w:type="character" w:customStyle="1" w:styleId="ListParagraphChar">
    <w:name w:val="List Paragraph Char"/>
    <w:basedOn w:val="DefaultParagraphFont"/>
    <w:link w:val="ListParagraph"/>
    <w:uiPriority w:val="34"/>
    <w:locked/>
    <w:rsid w:val="009938BE"/>
    <w:rPr>
      <w:rFonts w:ascii="Calibri" w:eastAsia="Times New Roman" w:hAnsi="Calibri" w:cs="Times New Roman"/>
      <w:sz w:val="22"/>
      <w:szCs w:val="22"/>
    </w:rPr>
  </w:style>
  <w:style w:type="character" w:styleId="Emphasis">
    <w:name w:val="Emphasis"/>
    <w:basedOn w:val="DefaultParagraphFont"/>
    <w:uiPriority w:val="20"/>
    <w:qFormat/>
    <w:rsid w:val="00964600"/>
    <w:rPr>
      <w:i/>
      <w:iCs/>
    </w:rPr>
  </w:style>
  <w:style w:type="paragraph" w:styleId="BodyText">
    <w:name w:val="Body Text"/>
    <w:basedOn w:val="Normal"/>
    <w:link w:val="BodyTextChar"/>
    <w:uiPriority w:val="99"/>
    <w:semiHidden/>
    <w:unhideWhenUsed/>
    <w:rsid w:val="00964600"/>
    <w:pPr>
      <w:spacing w:after="120"/>
    </w:pPr>
  </w:style>
  <w:style w:type="character" w:customStyle="1" w:styleId="BodyTextChar">
    <w:name w:val="Body Text Char"/>
    <w:basedOn w:val="DefaultParagraphFont"/>
    <w:link w:val="BodyText"/>
    <w:uiPriority w:val="99"/>
    <w:semiHidden/>
    <w:rsid w:val="00964600"/>
    <w:rPr>
      <w:rFonts w:ascii="Calibri" w:eastAsia="Times New Roman" w:hAnsi="Calibri" w:cs="Times New Roman"/>
      <w:sz w:val="22"/>
      <w:szCs w:val="22"/>
    </w:rPr>
  </w:style>
  <w:style w:type="character" w:customStyle="1" w:styleId="exlresultdetails">
    <w:name w:val="exlresultdetails"/>
    <w:basedOn w:val="DefaultParagraphFont"/>
    <w:rsid w:val="003B2966"/>
  </w:style>
  <w:style w:type="character" w:customStyle="1" w:styleId="searchword">
    <w:name w:val="searchword"/>
    <w:basedOn w:val="DefaultParagraphFont"/>
    <w:rsid w:val="003B2966"/>
  </w:style>
  <w:style w:type="character" w:customStyle="1" w:styleId="addmd">
    <w:name w:val="addmd"/>
    <w:basedOn w:val="DefaultParagraphFont"/>
    <w:rsid w:val="003B2966"/>
  </w:style>
  <w:style w:type="character" w:styleId="Strong">
    <w:name w:val="Strong"/>
    <w:uiPriority w:val="99"/>
    <w:qFormat/>
    <w:rsid w:val="00AB77B5"/>
    <w:rPr>
      <w:rFonts w:cs="Times New Roman"/>
      <w:b/>
      <w:bCs/>
    </w:rPr>
  </w:style>
  <w:style w:type="character" w:customStyle="1" w:styleId="ft0">
    <w:name w:val="ft0"/>
    <w:uiPriority w:val="99"/>
    <w:rsid w:val="00AB77B5"/>
    <w:rPr>
      <w:rFonts w:cs="Times New Roman"/>
    </w:rPr>
  </w:style>
  <w:style w:type="character" w:customStyle="1" w:styleId="ShortAbstract">
    <w:name w:val="Short Abstract"/>
    <w:rsid w:val="002B1AE3"/>
    <w:rPr>
      <w:rFonts w:ascii="Times New Roman" w:eastAsia="Times New Roman" w:hAnsi="Times New Roman"/>
      <w:sz w:val="20"/>
    </w:rPr>
  </w:style>
  <w:style w:type="character" w:customStyle="1" w:styleId="Heading2Char">
    <w:name w:val="Heading 2 Char"/>
    <w:basedOn w:val="DefaultParagraphFont"/>
    <w:link w:val="Heading2"/>
    <w:uiPriority w:val="9"/>
    <w:rsid w:val="008B3916"/>
    <w:rPr>
      <w:rFonts w:ascii="Times New Roman" w:eastAsiaTheme="majorEastAsia" w:hAnsi="Times New Roman" w:cstheme="majorBidi"/>
      <w:b/>
      <w:sz w:val="22"/>
      <w:szCs w:val="26"/>
    </w:rPr>
  </w:style>
  <w:style w:type="character" w:customStyle="1" w:styleId="Heading3Char">
    <w:name w:val="Heading 3 Char"/>
    <w:basedOn w:val="DefaultParagraphFont"/>
    <w:link w:val="Heading3"/>
    <w:uiPriority w:val="9"/>
    <w:rsid w:val="0001669D"/>
    <w:rPr>
      <w:rFonts w:ascii="Times New Roman" w:eastAsiaTheme="majorEastAsia" w:hAnsi="Times New Roman" w:cstheme="majorBidi"/>
      <w:i/>
      <w:sz w:val="22"/>
    </w:rPr>
  </w:style>
  <w:style w:type="paragraph" w:customStyle="1" w:styleId="Title2">
    <w:name w:val="Title2"/>
    <w:basedOn w:val="Title"/>
    <w:link w:val="Title2Char"/>
    <w:autoRedefine/>
    <w:qFormat/>
    <w:rsid w:val="0019631E"/>
    <w:pPr>
      <w:ind w:firstLine="0"/>
      <w:jc w:val="left"/>
    </w:pPr>
    <w:rPr>
      <w:lang w:val="id-ID"/>
    </w:rPr>
  </w:style>
  <w:style w:type="character" w:customStyle="1" w:styleId="Title2Char">
    <w:name w:val="Title2 Char"/>
    <w:basedOn w:val="TitleChar"/>
    <w:link w:val="Title2"/>
    <w:rsid w:val="0019631E"/>
    <w:rPr>
      <w:rFonts w:ascii="Times New Roman" w:eastAsia="Times New Roman" w:hAnsi="Times New Roman" w:cs="Times New Roman"/>
      <w:b/>
      <w:bCs/>
      <w:sz w:val="22"/>
      <w:lang w:val="id-ID"/>
    </w:rPr>
  </w:style>
  <w:style w:type="table" w:customStyle="1" w:styleId="PlainTable31">
    <w:name w:val="Plain Table 31"/>
    <w:basedOn w:val="TableNormal"/>
    <w:uiPriority w:val="99"/>
    <w:rsid w:val="008B39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8B39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801208"/>
    <w:rPr>
      <w:rFonts w:ascii="Times New Roman" w:eastAsiaTheme="majorEastAsia" w:hAnsi="Times New Roman" w:cstheme="majorBidi"/>
      <w:b/>
      <w:iCs/>
      <w:sz w:val="20"/>
      <w:szCs w:val="22"/>
      <w:lang w:val="id-ID"/>
    </w:rPr>
  </w:style>
  <w:style w:type="paragraph" w:customStyle="1" w:styleId="Normal1">
    <w:name w:val="Normal1"/>
    <w:rsid w:val="00D624B4"/>
    <w:pPr>
      <w:widowControl w:val="0"/>
    </w:pPr>
    <w:rPr>
      <w:rFonts w:ascii="Times New Roman" w:eastAsia="Times New Roman" w:hAnsi="Times New Roman" w:cs="Times New Roman"/>
      <w:color w:val="000000"/>
      <w:sz w:val="20"/>
      <w:szCs w:val="20"/>
      <w:lang w:val="id-ID" w:eastAsia="id-ID"/>
    </w:rPr>
  </w:style>
  <w:style w:type="table" w:customStyle="1" w:styleId="ListTable6Colorful1">
    <w:name w:val="List Table 6 Colorful1"/>
    <w:basedOn w:val="TableNormal"/>
    <w:uiPriority w:val="51"/>
    <w:rsid w:val="00D624B4"/>
    <w:rPr>
      <w:rFonts w:ascii="Calibri" w:eastAsiaTheme="minorHAnsi" w:hAnsi="Calibri"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DD91-8236-4063-A136-40D0BB1A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11960</Words>
  <Characters>68172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User</cp:lastModifiedBy>
  <cp:revision>7</cp:revision>
  <cp:lastPrinted>2016-12-17T01:36:00Z</cp:lastPrinted>
  <dcterms:created xsi:type="dcterms:W3CDTF">2019-11-27T15:16:00Z</dcterms:created>
  <dcterms:modified xsi:type="dcterms:W3CDTF">2019-11-28T03:01:00Z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http://csl.mendeley.com/styles/23014911/vancouver-mji</vt:lpwstr>
  </property>
  <property fmtid="{D5CDD505-2E9C-101B-9397-08002B2CF9AE}" pid="21" name="Mendeley Recent Style Name 9_1">
    <vt:lpwstr>Vancouver (superscript) - Medical Journal of Indonesia</vt:lpwstr>
  </property>
  <property fmtid="{D5CDD505-2E9C-101B-9397-08002B2CF9AE}" pid="22" name="Mendeley Document_1">
    <vt:lpwstr>True</vt:lpwstr>
  </property>
  <property fmtid="{D5CDD505-2E9C-101B-9397-08002B2CF9AE}" pid="23" name="Mendeley Unique User Id_1">
    <vt:lpwstr>dca0d971-fc6f-3a46-b96f-2fcfec53ee81</vt:lpwstr>
  </property>
  <property fmtid="{D5CDD505-2E9C-101B-9397-08002B2CF9AE}" pid="24" name="Mendeley Citation Style_1">
    <vt:lpwstr>http://www.zotero.org/styles/apa</vt:lpwstr>
  </property>
</Properties>
</file>