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21C" w:rsidRPr="00E61690" w:rsidRDefault="00E61690" w:rsidP="00BD6B37">
      <w:pPr>
        <w:pBdr>
          <w:top w:val="nil"/>
          <w:left w:val="nil"/>
          <w:bottom w:val="nil"/>
          <w:right w:val="nil"/>
          <w:between w:val="nil"/>
        </w:pBdr>
        <w:ind w:firstLine="567"/>
        <w:jc w:val="center"/>
        <w:rPr>
          <w:rFonts w:ascii="Times New Roman" w:hAnsi="Times New Roman"/>
          <w:b/>
          <w:sz w:val="28"/>
          <w:szCs w:val="28"/>
          <w:lang w:val="en-US"/>
        </w:rPr>
      </w:pPr>
      <w:proofErr w:type="spellStart"/>
      <w:r>
        <w:rPr>
          <w:rFonts w:ascii="Times New Roman" w:hAnsi="Times New Roman"/>
          <w:b/>
          <w:sz w:val="28"/>
          <w:szCs w:val="28"/>
          <w:lang w:val="en-US"/>
        </w:rPr>
        <w:t>Pengaruh</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Faktor</w:t>
      </w:r>
      <w:proofErr w:type="spellEnd"/>
      <w:r>
        <w:rPr>
          <w:rFonts w:ascii="Times New Roman" w:hAnsi="Times New Roman"/>
          <w:b/>
          <w:sz w:val="28"/>
          <w:szCs w:val="28"/>
          <w:lang w:val="en-US"/>
        </w:rPr>
        <w:t xml:space="preserve"> Internal dan </w:t>
      </w:r>
      <w:proofErr w:type="spellStart"/>
      <w:r>
        <w:rPr>
          <w:rFonts w:ascii="Times New Roman" w:hAnsi="Times New Roman"/>
          <w:b/>
          <w:sz w:val="28"/>
          <w:szCs w:val="28"/>
          <w:lang w:val="en-US"/>
        </w:rPr>
        <w:t>Eksternal</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Terhadap</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Profitabilitas</w:t>
      </w:r>
      <w:proofErr w:type="spellEnd"/>
      <w:r>
        <w:rPr>
          <w:rFonts w:ascii="Times New Roman" w:hAnsi="Times New Roman"/>
          <w:b/>
          <w:sz w:val="28"/>
          <w:szCs w:val="28"/>
          <w:lang w:val="en-US"/>
        </w:rPr>
        <w:t xml:space="preserve"> Pada Bank Syariah di Indonesia</w:t>
      </w:r>
    </w:p>
    <w:p w:rsidR="00BD6B37" w:rsidRDefault="00BD6B37" w:rsidP="00E61690">
      <w:pPr>
        <w:pBdr>
          <w:top w:val="nil"/>
          <w:left w:val="nil"/>
          <w:bottom w:val="nil"/>
          <w:right w:val="nil"/>
          <w:between w:val="nil"/>
        </w:pBdr>
        <w:rPr>
          <w:rFonts w:ascii="Times New Roman" w:eastAsia="Times New Roman" w:hAnsi="Times New Roman" w:cs="Times New Roman"/>
          <w:b/>
          <w:color w:val="000000"/>
          <w:sz w:val="24"/>
          <w:szCs w:val="24"/>
        </w:rPr>
      </w:pPr>
    </w:p>
    <w:p w:rsidR="00BD6B37" w:rsidRPr="00744857" w:rsidRDefault="00BD6B37" w:rsidP="00BD6B37">
      <w:pPr>
        <w:jc w:val="center"/>
        <w:rPr>
          <w:rFonts w:ascii="Times New Roman" w:hAnsi="Times New Roman"/>
          <w:b/>
          <w:sz w:val="24"/>
          <w:szCs w:val="24"/>
        </w:rPr>
      </w:pPr>
      <w:r>
        <w:rPr>
          <w:rFonts w:ascii="Times New Roman" w:hAnsi="Times New Roman"/>
          <w:b/>
          <w:sz w:val="24"/>
          <w:szCs w:val="24"/>
        </w:rPr>
        <w:t>Dedi Supiyadi</w:t>
      </w:r>
      <w:r w:rsidRPr="00744857">
        <w:rPr>
          <w:rFonts w:ascii="Times New Roman" w:hAnsi="Times New Roman"/>
          <w:b/>
          <w:sz w:val="24"/>
          <w:szCs w:val="24"/>
          <w:vertAlign w:val="superscript"/>
        </w:rPr>
        <w:t>1</w:t>
      </w:r>
      <w:r>
        <w:rPr>
          <w:rFonts w:ascii="Times New Roman" w:hAnsi="Times New Roman"/>
          <w:b/>
          <w:sz w:val="24"/>
          <w:szCs w:val="24"/>
        </w:rPr>
        <w:t>, Budi S. Purnomo</w:t>
      </w:r>
      <w:r>
        <w:rPr>
          <w:rFonts w:ascii="Times New Roman" w:hAnsi="Times New Roman"/>
          <w:b/>
          <w:sz w:val="24"/>
          <w:szCs w:val="24"/>
          <w:vertAlign w:val="superscript"/>
        </w:rPr>
        <w:t>2</w:t>
      </w:r>
    </w:p>
    <w:p w:rsidR="00CE721C" w:rsidRDefault="00943EC8" w:rsidP="00BD6B37">
      <w:pPr>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Studi</w:t>
      </w:r>
      <w:r w:rsidR="00BD6B37">
        <w:rPr>
          <w:rFonts w:ascii="Times New Roman" w:eastAsia="Times New Roman" w:hAnsi="Times New Roman" w:cs="Times New Roman"/>
          <w:sz w:val="24"/>
          <w:szCs w:val="24"/>
        </w:rPr>
        <w:t xml:space="preserve"> Akuntansi</w:t>
      </w:r>
      <w:r>
        <w:rPr>
          <w:rFonts w:ascii="Times New Roman" w:eastAsia="Times New Roman" w:hAnsi="Times New Roman" w:cs="Times New Roman"/>
          <w:sz w:val="24"/>
          <w:szCs w:val="24"/>
        </w:rPr>
        <w:t xml:space="preserve">, Fakultas </w:t>
      </w:r>
      <w:r w:rsidR="00BD6B37">
        <w:rPr>
          <w:rFonts w:ascii="Times New Roman" w:eastAsia="Times New Roman" w:hAnsi="Times New Roman" w:cs="Times New Roman"/>
          <w:sz w:val="24"/>
          <w:szCs w:val="24"/>
        </w:rPr>
        <w:t xml:space="preserve">Pendidikan </w:t>
      </w:r>
      <w:r>
        <w:rPr>
          <w:rFonts w:ascii="Times New Roman" w:eastAsia="Times New Roman" w:hAnsi="Times New Roman" w:cs="Times New Roman"/>
          <w:sz w:val="24"/>
          <w:szCs w:val="24"/>
        </w:rPr>
        <w:t>Ekonomi</w:t>
      </w:r>
      <w:r w:rsidR="00BD6B37">
        <w:rPr>
          <w:rFonts w:ascii="Times New Roman" w:eastAsia="Times New Roman" w:hAnsi="Times New Roman" w:cs="Times New Roman"/>
          <w:sz w:val="24"/>
          <w:szCs w:val="24"/>
        </w:rPr>
        <w:t xml:space="preserve"> dan Bisnis</w:t>
      </w:r>
      <w:r>
        <w:rPr>
          <w:rFonts w:ascii="Times New Roman" w:eastAsia="Times New Roman" w:hAnsi="Times New Roman" w:cs="Times New Roman"/>
          <w:sz w:val="24"/>
          <w:szCs w:val="24"/>
        </w:rPr>
        <w:t xml:space="preserve"> Universitas </w:t>
      </w:r>
      <w:r w:rsidR="00BD6B37">
        <w:rPr>
          <w:rFonts w:ascii="Times New Roman" w:eastAsia="Times New Roman" w:hAnsi="Times New Roman" w:cs="Times New Roman"/>
          <w:sz w:val="24"/>
          <w:szCs w:val="24"/>
        </w:rPr>
        <w:t>Pendidikan Indonesia, Bandung, Indonesia</w:t>
      </w:r>
    </w:p>
    <w:p w:rsidR="00BD6B37" w:rsidRDefault="00BD6B37" w:rsidP="00BD6B37">
      <w:pPr>
        <w:ind w:firstLine="567"/>
        <w:jc w:val="center"/>
        <w:rPr>
          <w:rFonts w:ascii="Times New Roman" w:eastAsia="Times New Roman" w:hAnsi="Times New Roman" w:cs="Times New Roman"/>
          <w:b/>
          <w:sz w:val="24"/>
          <w:szCs w:val="24"/>
        </w:rPr>
      </w:pPr>
    </w:p>
    <w:p w:rsidR="00BD6B37" w:rsidRPr="000B7AEE" w:rsidRDefault="00943EC8" w:rsidP="00BD6B37">
      <w:pPr>
        <w:pStyle w:val="Heading3"/>
        <w:jc w:val="both"/>
        <w:rPr>
          <w:rFonts w:ascii="Times New Roman" w:hAnsi="Times New Roman"/>
          <w:b w:val="0"/>
          <w:i/>
          <w:sz w:val="18"/>
        </w:rPr>
      </w:pPr>
      <w:r>
        <w:rPr>
          <w:rFonts w:ascii="Times New Roman" w:eastAsia="Times New Roman" w:hAnsi="Times New Roman" w:cs="Times New Roman"/>
          <w:i/>
          <w:sz w:val="20"/>
          <w:szCs w:val="20"/>
        </w:rPr>
        <w:t xml:space="preserve">Abstract. </w:t>
      </w:r>
      <w:r w:rsidR="00BD6B37" w:rsidRPr="000B7AEE">
        <w:rPr>
          <w:rFonts w:ascii="Times New Roman" w:hAnsi="Times New Roman"/>
          <w:b w:val="0"/>
          <w:i/>
          <w:sz w:val="20"/>
        </w:rPr>
        <w:t>This study aims t</w:t>
      </w:r>
      <w:r w:rsidR="00BD6B37">
        <w:rPr>
          <w:rFonts w:ascii="Times New Roman" w:hAnsi="Times New Roman"/>
          <w:b w:val="0"/>
          <w:i/>
          <w:sz w:val="20"/>
        </w:rPr>
        <w:t>o determine the Internal and Ex</w:t>
      </w:r>
      <w:r w:rsidR="00BD6B37" w:rsidRPr="000B7AEE">
        <w:rPr>
          <w:rFonts w:ascii="Times New Roman" w:hAnsi="Times New Roman"/>
          <w:b w:val="0"/>
          <w:i/>
          <w:sz w:val="20"/>
        </w:rPr>
        <w:t xml:space="preserve">ternal determinant of </w:t>
      </w:r>
      <w:r w:rsidR="00BD6B37">
        <w:rPr>
          <w:rFonts w:ascii="Times New Roman" w:hAnsi="Times New Roman"/>
          <w:b w:val="0"/>
          <w:i/>
          <w:sz w:val="20"/>
          <w:lang w:val="en-US"/>
        </w:rPr>
        <w:t>Sharia</w:t>
      </w:r>
      <w:r w:rsidR="00BD6B37">
        <w:rPr>
          <w:rFonts w:ascii="Times New Roman" w:hAnsi="Times New Roman"/>
          <w:b w:val="0"/>
          <w:i/>
          <w:sz w:val="20"/>
        </w:rPr>
        <w:t xml:space="preserve"> banking in Indonesia</w:t>
      </w:r>
      <w:r w:rsidR="00BD6B37" w:rsidRPr="000B7AEE">
        <w:rPr>
          <w:rFonts w:ascii="Times New Roman" w:hAnsi="Times New Roman"/>
          <w:b w:val="0"/>
          <w:i/>
          <w:sz w:val="20"/>
        </w:rPr>
        <w:t xml:space="preserve">. The research method used in this study is the explanatory method. We use secondary data obtained from the Indonesian Central Bank and </w:t>
      </w:r>
      <w:r w:rsidR="00BD6B37">
        <w:rPr>
          <w:rFonts w:ascii="Times New Roman" w:hAnsi="Times New Roman"/>
          <w:b w:val="0"/>
          <w:i/>
          <w:sz w:val="20"/>
          <w:lang w:val="en-US"/>
        </w:rPr>
        <w:t>Syria</w:t>
      </w:r>
      <w:r w:rsidR="00BD6B37" w:rsidRPr="000B7AEE">
        <w:rPr>
          <w:rFonts w:ascii="Times New Roman" w:hAnsi="Times New Roman"/>
          <w:b w:val="0"/>
          <w:i/>
          <w:sz w:val="20"/>
        </w:rPr>
        <w:t xml:space="preserve"> Bank</w:t>
      </w:r>
      <w:r w:rsidR="00BD6B37">
        <w:rPr>
          <w:rFonts w:ascii="Times New Roman" w:hAnsi="Times New Roman"/>
          <w:b w:val="0"/>
          <w:i/>
          <w:sz w:val="20"/>
        </w:rPr>
        <w:t xml:space="preserve"> annual reports and then analy</w:t>
      </w:r>
      <w:r w:rsidR="00BD6B37">
        <w:rPr>
          <w:rFonts w:ascii="Times New Roman" w:hAnsi="Times New Roman"/>
          <w:b w:val="0"/>
          <w:i/>
          <w:sz w:val="20"/>
          <w:lang w:val="en-US"/>
        </w:rPr>
        <w:t>z</w:t>
      </w:r>
      <w:r w:rsidR="00BD6B37" w:rsidRPr="000B7AEE">
        <w:rPr>
          <w:rFonts w:ascii="Times New Roman" w:hAnsi="Times New Roman"/>
          <w:b w:val="0"/>
          <w:i/>
          <w:sz w:val="20"/>
        </w:rPr>
        <w:t>e the data using multiple linear regressions. The result of the study shows that Islamic Banks in Indonesia influenced by Credi</w:t>
      </w:r>
      <w:r w:rsidR="00BD6B37" w:rsidRPr="000B7AEE">
        <w:rPr>
          <w:rStyle w:val="Heading3Char"/>
          <w:rFonts w:ascii="Times New Roman" w:hAnsi="Times New Roman"/>
          <w:i/>
          <w:sz w:val="20"/>
        </w:rPr>
        <w:t>t</w:t>
      </w:r>
      <w:r w:rsidR="00BD6B37" w:rsidRPr="000B7AEE">
        <w:rPr>
          <w:rFonts w:ascii="Times New Roman" w:hAnsi="Times New Roman"/>
          <w:b w:val="0"/>
          <w:i/>
          <w:sz w:val="20"/>
        </w:rPr>
        <w:t xml:space="preserve"> Risk, Capital Adequacy Ratio, Company Size and Liquidity Risk, the study found that credit risk, liquidity risk had a positive effect while capital adequacy and firm size had a negative effect on the profitability of </w:t>
      </w:r>
      <w:r w:rsidR="00BD6B37">
        <w:rPr>
          <w:rFonts w:ascii="Times New Roman" w:hAnsi="Times New Roman"/>
          <w:b w:val="0"/>
          <w:i/>
          <w:sz w:val="20"/>
          <w:lang w:val="en-US"/>
        </w:rPr>
        <w:t>Sharia</w:t>
      </w:r>
      <w:r w:rsidR="00BD6B37" w:rsidRPr="000B7AEE">
        <w:rPr>
          <w:rFonts w:ascii="Times New Roman" w:hAnsi="Times New Roman"/>
          <w:b w:val="0"/>
          <w:i/>
          <w:sz w:val="20"/>
        </w:rPr>
        <w:t xml:space="preserve"> Banking in Indonesia.</w:t>
      </w:r>
    </w:p>
    <w:p w:rsidR="00CE721C" w:rsidRDefault="00943EC8">
      <w:pPr>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br/>
      </w: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BD6B37" w:rsidRPr="00BD6B37">
        <w:rPr>
          <w:rFonts w:ascii="Times New Roman" w:eastAsia="Times New Roman" w:hAnsi="Times New Roman" w:cs="Times New Roman"/>
          <w:i/>
          <w:sz w:val="20"/>
          <w:szCs w:val="20"/>
        </w:rPr>
        <w:t>Credit</w:t>
      </w:r>
      <w:r w:rsidRPr="00BD6B37">
        <w:rPr>
          <w:rFonts w:ascii="Times New Roman" w:eastAsia="Times New Roman" w:hAnsi="Times New Roman" w:cs="Times New Roman"/>
          <w:i/>
          <w:sz w:val="20"/>
          <w:szCs w:val="20"/>
        </w:rPr>
        <w:t xml:space="preserve"> </w:t>
      </w:r>
      <w:r w:rsidR="00BD6B37" w:rsidRPr="00BD6B37">
        <w:rPr>
          <w:rFonts w:ascii="Times New Roman" w:hAnsi="Times New Roman"/>
          <w:i/>
          <w:iCs/>
          <w:color w:val="000000" w:themeColor="text1"/>
          <w:sz w:val="20"/>
          <w:szCs w:val="20"/>
        </w:rPr>
        <w:t>Risk; Capital Adequacy Ratio; Inflation; Liquidity Risk;Return on Equity;Sharia Banking;Size</w:t>
      </w:r>
      <w:r w:rsidR="00BD6B37">
        <w:rPr>
          <w:rFonts w:ascii="Times New Roman" w:hAnsi="Times New Roman"/>
          <w:i/>
          <w:iCs/>
          <w:color w:val="000000" w:themeColor="text1"/>
          <w:sz w:val="20"/>
          <w:szCs w:val="20"/>
        </w:rPr>
        <w:t>.</w:t>
      </w:r>
    </w:p>
    <w:p w:rsidR="00CE721C" w:rsidRDefault="00CE721C">
      <w:pPr>
        <w:jc w:val="both"/>
        <w:rPr>
          <w:rFonts w:ascii="Times New Roman" w:eastAsia="Times New Roman" w:hAnsi="Times New Roman" w:cs="Times New Roman"/>
          <w:b/>
          <w:sz w:val="20"/>
          <w:szCs w:val="20"/>
        </w:rPr>
      </w:pPr>
    </w:p>
    <w:p w:rsidR="00BD6B37" w:rsidRPr="00DE6002" w:rsidRDefault="00943EC8" w:rsidP="00BD6B37">
      <w:pPr>
        <w:pStyle w:val="BasicParagraph"/>
        <w:spacing w:line="240" w:lineRule="auto"/>
        <w:jc w:val="both"/>
        <w:rPr>
          <w:rFonts w:ascii="Times New Roman" w:hAnsi="Times New Roman" w:cs="Times New Roman"/>
          <w:i/>
          <w:color w:val="000000" w:themeColor="text1"/>
          <w:lang w:val="en-US"/>
        </w:rPr>
      </w:pPr>
      <w:proofErr w:type="spellStart"/>
      <w:r>
        <w:rPr>
          <w:rFonts w:ascii="Times New Roman" w:eastAsia="Times New Roman" w:hAnsi="Times New Roman" w:cs="Times New Roman"/>
          <w:b/>
        </w:rPr>
        <w:t>Abstrak</w:t>
      </w:r>
      <w:proofErr w:type="spellEnd"/>
      <w:r>
        <w:rPr>
          <w:rFonts w:ascii="Times New Roman" w:eastAsia="Times New Roman" w:hAnsi="Times New Roman" w:cs="Times New Roman"/>
        </w:rPr>
        <w:t xml:space="preserve">. </w:t>
      </w:r>
      <w:proofErr w:type="spellStart"/>
      <w:r w:rsidR="009B33E0">
        <w:rPr>
          <w:rFonts w:ascii="Times New Roman" w:hAnsi="Times New Roman" w:cs="Times New Roman"/>
          <w:i/>
          <w:color w:val="000000" w:themeColor="text1"/>
          <w:lang w:val="en-US"/>
        </w:rPr>
        <w:t>Tujua</w:t>
      </w:r>
      <w:r w:rsidR="00BD6B37">
        <w:rPr>
          <w:rFonts w:ascii="Times New Roman" w:hAnsi="Times New Roman" w:cs="Times New Roman"/>
          <w:i/>
          <w:color w:val="000000" w:themeColor="text1"/>
          <w:lang w:val="en-US"/>
        </w:rPr>
        <w:t>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penelitian</w:t>
      </w:r>
      <w:proofErr w:type="spellEnd"/>
      <w:r w:rsidR="00BD6B37">
        <w:rPr>
          <w:rFonts w:ascii="Times New Roman" w:hAnsi="Times New Roman" w:cs="Times New Roman"/>
          <w:i/>
          <w:color w:val="000000" w:themeColor="text1"/>
          <w:lang w:val="en-US"/>
        </w:rPr>
        <w:t xml:space="preserve"> ini </w:t>
      </w:r>
      <w:proofErr w:type="spellStart"/>
      <w:r w:rsidR="00BD6B37">
        <w:rPr>
          <w:rFonts w:ascii="Times New Roman" w:hAnsi="Times New Roman" w:cs="Times New Roman"/>
          <w:i/>
          <w:color w:val="000000" w:themeColor="text1"/>
          <w:lang w:val="en-US"/>
        </w:rPr>
        <w:t>adalah</w:t>
      </w:r>
      <w:proofErr w:type="spellEnd"/>
      <w:r w:rsidR="00BD6B37">
        <w:rPr>
          <w:rFonts w:ascii="Times New Roman" w:hAnsi="Times New Roman" w:cs="Times New Roman"/>
          <w:i/>
          <w:color w:val="000000" w:themeColor="text1"/>
          <w:lang w:val="en-US"/>
        </w:rPr>
        <w:t xml:space="preserve"> untuk </w:t>
      </w:r>
      <w:proofErr w:type="spellStart"/>
      <w:r w:rsidR="00BD6B37">
        <w:rPr>
          <w:rFonts w:ascii="Times New Roman" w:hAnsi="Times New Roman" w:cs="Times New Roman"/>
          <w:i/>
          <w:color w:val="000000" w:themeColor="text1"/>
          <w:lang w:val="en-US"/>
        </w:rPr>
        <w:t>meneliti</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faktor</w:t>
      </w:r>
      <w:proofErr w:type="spellEnd"/>
      <w:r w:rsidR="00BD6B37">
        <w:rPr>
          <w:rFonts w:ascii="Times New Roman" w:hAnsi="Times New Roman" w:cs="Times New Roman"/>
          <w:i/>
          <w:color w:val="000000" w:themeColor="text1"/>
          <w:lang w:val="en-US"/>
        </w:rPr>
        <w:t xml:space="preserve"> internal dan </w:t>
      </w:r>
      <w:proofErr w:type="spellStart"/>
      <w:r w:rsidR="00BD6B37">
        <w:rPr>
          <w:rFonts w:ascii="Times New Roman" w:hAnsi="Times New Roman" w:cs="Times New Roman"/>
          <w:i/>
          <w:color w:val="000000" w:themeColor="text1"/>
          <w:lang w:val="en-US"/>
        </w:rPr>
        <w:t>faktor</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eksternal</w:t>
      </w:r>
      <w:proofErr w:type="spellEnd"/>
      <w:r w:rsidR="00BD6B37">
        <w:rPr>
          <w:rFonts w:ascii="Times New Roman" w:hAnsi="Times New Roman" w:cs="Times New Roman"/>
          <w:i/>
          <w:color w:val="000000" w:themeColor="text1"/>
          <w:lang w:val="en-US"/>
        </w:rPr>
        <w:t xml:space="preserve"> Bank </w:t>
      </w:r>
      <w:proofErr w:type="spellStart"/>
      <w:r w:rsidR="00BD6B37">
        <w:rPr>
          <w:rFonts w:ascii="Times New Roman" w:hAnsi="Times New Roman" w:cs="Times New Roman"/>
          <w:i/>
          <w:color w:val="000000" w:themeColor="text1"/>
          <w:lang w:val="en-US"/>
        </w:rPr>
        <w:t>Syaria</w:t>
      </w:r>
      <w:proofErr w:type="spellEnd"/>
      <w:r w:rsidR="00BD6B37">
        <w:rPr>
          <w:rFonts w:ascii="Times New Roman" w:hAnsi="Times New Roman" w:cs="Times New Roman"/>
          <w:i/>
          <w:color w:val="000000" w:themeColor="text1"/>
          <w:lang w:val="en-US"/>
        </w:rPr>
        <w:t xml:space="preserve"> di Indonesia. </w:t>
      </w:r>
      <w:proofErr w:type="spellStart"/>
      <w:r w:rsidR="00BD6B37">
        <w:rPr>
          <w:rFonts w:ascii="Times New Roman" w:hAnsi="Times New Roman" w:cs="Times New Roman"/>
          <w:i/>
          <w:color w:val="000000" w:themeColor="text1"/>
          <w:lang w:val="en-US"/>
        </w:rPr>
        <w:t>Penelitian</w:t>
      </w:r>
      <w:proofErr w:type="spellEnd"/>
      <w:r w:rsidR="00BD6B37">
        <w:rPr>
          <w:rFonts w:ascii="Times New Roman" w:hAnsi="Times New Roman" w:cs="Times New Roman"/>
          <w:i/>
          <w:color w:val="000000" w:themeColor="text1"/>
          <w:lang w:val="en-US"/>
        </w:rPr>
        <w:t xml:space="preserve"> ini </w:t>
      </w:r>
      <w:proofErr w:type="spellStart"/>
      <w:r w:rsidR="00BD6B37">
        <w:rPr>
          <w:rFonts w:ascii="Times New Roman" w:hAnsi="Times New Roman" w:cs="Times New Roman"/>
          <w:i/>
          <w:color w:val="000000" w:themeColor="text1"/>
          <w:lang w:val="en-US"/>
        </w:rPr>
        <w:t>menggunakan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metode</w:t>
      </w:r>
      <w:proofErr w:type="spellEnd"/>
      <w:r w:rsidR="00BD6B37">
        <w:rPr>
          <w:rFonts w:ascii="Times New Roman" w:hAnsi="Times New Roman" w:cs="Times New Roman"/>
          <w:i/>
          <w:color w:val="000000" w:themeColor="text1"/>
          <w:lang w:val="en-US"/>
        </w:rPr>
        <w:t xml:space="preserve"> explanatory, data </w:t>
      </w:r>
      <w:proofErr w:type="spellStart"/>
      <w:r w:rsidR="00BD6B37">
        <w:rPr>
          <w:rFonts w:ascii="Times New Roman" w:hAnsi="Times New Roman" w:cs="Times New Roman"/>
          <w:i/>
          <w:color w:val="000000" w:themeColor="text1"/>
          <w:lang w:val="en-US"/>
        </w:rPr>
        <w:t>berasal</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dari</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laporaran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tahunan</w:t>
      </w:r>
      <w:proofErr w:type="spellEnd"/>
      <w:r w:rsidR="00BD6B37">
        <w:rPr>
          <w:rFonts w:ascii="Times New Roman" w:hAnsi="Times New Roman" w:cs="Times New Roman"/>
          <w:i/>
          <w:color w:val="000000" w:themeColor="text1"/>
          <w:lang w:val="en-US"/>
        </w:rPr>
        <w:t xml:space="preserve"> yang di </w:t>
      </w:r>
      <w:proofErr w:type="spellStart"/>
      <w:r w:rsidR="00BD6B37">
        <w:rPr>
          <w:rFonts w:ascii="Times New Roman" w:hAnsi="Times New Roman" w:cs="Times New Roman"/>
          <w:i/>
          <w:color w:val="000000" w:themeColor="text1"/>
          <w:lang w:val="en-US"/>
        </w:rPr>
        <w:t>peroleh</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dari</w:t>
      </w:r>
      <w:proofErr w:type="spellEnd"/>
      <w:r w:rsidR="00BD6B37">
        <w:rPr>
          <w:rFonts w:ascii="Times New Roman" w:hAnsi="Times New Roman" w:cs="Times New Roman"/>
          <w:i/>
          <w:color w:val="000000" w:themeColor="text1"/>
          <w:lang w:val="en-US"/>
        </w:rPr>
        <w:t xml:space="preserve"> Bank Indonesia </w:t>
      </w:r>
      <w:proofErr w:type="spellStart"/>
      <w:r w:rsidR="00BD6B37">
        <w:rPr>
          <w:rFonts w:ascii="Times New Roman" w:hAnsi="Times New Roman" w:cs="Times New Roman"/>
          <w:i/>
          <w:color w:val="000000" w:themeColor="text1"/>
          <w:lang w:val="en-US"/>
        </w:rPr>
        <w:t>maupun</w:t>
      </w:r>
      <w:proofErr w:type="spellEnd"/>
      <w:r w:rsidR="00BD6B37">
        <w:rPr>
          <w:rFonts w:ascii="Times New Roman" w:hAnsi="Times New Roman" w:cs="Times New Roman"/>
          <w:i/>
          <w:color w:val="000000" w:themeColor="text1"/>
          <w:lang w:val="en-US"/>
        </w:rPr>
        <w:t xml:space="preserve"> Bank Syariah, data </w:t>
      </w:r>
      <w:proofErr w:type="spellStart"/>
      <w:r w:rsidR="00BD6B37">
        <w:rPr>
          <w:rFonts w:ascii="Times New Roman" w:hAnsi="Times New Roman" w:cs="Times New Roman"/>
          <w:i/>
          <w:color w:val="000000" w:themeColor="text1"/>
          <w:lang w:val="en-US"/>
        </w:rPr>
        <w:t>kemudian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diolah</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menggunakan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analisis</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regresi</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berganda</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Penelitian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menemukan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bahwa</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profitabilitas</w:t>
      </w:r>
      <w:proofErr w:type="spellEnd"/>
      <w:r w:rsidR="00BD6B37">
        <w:rPr>
          <w:rFonts w:ascii="Times New Roman" w:hAnsi="Times New Roman" w:cs="Times New Roman"/>
          <w:i/>
          <w:color w:val="000000" w:themeColor="text1"/>
          <w:lang w:val="en-US"/>
        </w:rPr>
        <w:t xml:space="preserve"> Bank Syariah di Indonesia </w:t>
      </w:r>
      <w:proofErr w:type="spellStart"/>
      <w:r w:rsidR="00BD6B37">
        <w:rPr>
          <w:rFonts w:ascii="Times New Roman" w:hAnsi="Times New Roman" w:cs="Times New Roman"/>
          <w:i/>
          <w:color w:val="000000" w:themeColor="text1"/>
          <w:lang w:val="en-US"/>
        </w:rPr>
        <w:t>dipegaruhi</w:t>
      </w:r>
      <w:proofErr w:type="spellEnd"/>
      <w:r w:rsidR="00BD6B37">
        <w:rPr>
          <w:rFonts w:ascii="Times New Roman" w:hAnsi="Times New Roman" w:cs="Times New Roman"/>
          <w:i/>
          <w:color w:val="000000" w:themeColor="text1"/>
          <w:lang w:val="en-US"/>
        </w:rPr>
        <w:t xml:space="preserve"> oleh </w:t>
      </w:r>
      <w:proofErr w:type="spellStart"/>
      <w:r w:rsidR="00BD6B37">
        <w:rPr>
          <w:rFonts w:ascii="Times New Roman" w:hAnsi="Times New Roman" w:cs="Times New Roman"/>
          <w:i/>
          <w:color w:val="000000" w:themeColor="text1"/>
          <w:lang w:val="en-US"/>
        </w:rPr>
        <w:t>Resiko</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Kredit</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Kecukupan</w:t>
      </w:r>
      <w:proofErr w:type="spellEnd"/>
      <w:r w:rsidR="00BD6B37">
        <w:rPr>
          <w:rFonts w:ascii="Times New Roman" w:hAnsi="Times New Roman" w:cs="Times New Roman"/>
          <w:i/>
          <w:color w:val="000000" w:themeColor="text1"/>
          <w:lang w:val="en-US"/>
        </w:rPr>
        <w:t xml:space="preserve"> Modal, </w:t>
      </w:r>
      <w:proofErr w:type="spellStart"/>
      <w:r w:rsidR="00BD6B37">
        <w:rPr>
          <w:rFonts w:ascii="Times New Roman" w:hAnsi="Times New Roman" w:cs="Times New Roman"/>
          <w:i/>
          <w:color w:val="000000" w:themeColor="text1"/>
          <w:lang w:val="en-US"/>
        </w:rPr>
        <w:t>Ukuran</w:t>
      </w:r>
      <w:proofErr w:type="spellEnd"/>
      <w:r w:rsidR="00BD6B37">
        <w:rPr>
          <w:rFonts w:ascii="Times New Roman" w:hAnsi="Times New Roman" w:cs="Times New Roman"/>
          <w:i/>
          <w:color w:val="000000" w:themeColor="text1"/>
          <w:lang w:val="en-US"/>
        </w:rPr>
        <w:t xml:space="preserve"> Pe</w:t>
      </w:r>
      <w:r w:rsidR="009B33E0">
        <w:rPr>
          <w:rFonts w:ascii="Times New Roman" w:hAnsi="Times New Roman" w:cs="Times New Roman"/>
          <w:i/>
          <w:color w:val="000000" w:themeColor="text1"/>
          <w:lang w:val="en-US"/>
        </w:rPr>
        <w:t xml:space="preserve">rusahaan dan </w:t>
      </w:r>
      <w:proofErr w:type="spellStart"/>
      <w:r w:rsidR="009B33E0">
        <w:rPr>
          <w:rFonts w:ascii="Times New Roman" w:hAnsi="Times New Roman" w:cs="Times New Roman"/>
          <w:i/>
          <w:color w:val="000000" w:themeColor="text1"/>
          <w:lang w:val="en-US"/>
        </w:rPr>
        <w:t>Resiko</w:t>
      </w:r>
      <w:proofErr w:type="spellEnd"/>
      <w:r w:rsidR="009B33E0">
        <w:rPr>
          <w:rFonts w:ascii="Times New Roman" w:hAnsi="Times New Roman" w:cs="Times New Roman"/>
          <w:i/>
          <w:color w:val="000000" w:themeColor="text1"/>
          <w:lang w:val="en-US"/>
        </w:rPr>
        <w:t xml:space="preserve"> </w:t>
      </w:r>
      <w:proofErr w:type="spellStart"/>
      <w:r w:rsidR="009B33E0">
        <w:rPr>
          <w:rFonts w:ascii="Times New Roman" w:hAnsi="Times New Roman" w:cs="Times New Roman"/>
          <w:i/>
          <w:color w:val="000000" w:themeColor="text1"/>
          <w:lang w:val="en-US"/>
        </w:rPr>
        <w:t>Liquiditas</w:t>
      </w:r>
      <w:proofErr w:type="spellEnd"/>
      <w:r w:rsidR="009B33E0">
        <w:rPr>
          <w:rFonts w:ascii="Times New Roman" w:hAnsi="Times New Roman" w:cs="Times New Roman"/>
          <w:i/>
          <w:color w:val="000000" w:themeColor="text1"/>
          <w:lang w:val="en-US"/>
        </w:rPr>
        <w:t xml:space="preserve">. </w:t>
      </w:r>
      <w:r w:rsidR="009B33E0">
        <w:rPr>
          <w:rFonts w:ascii="Times New Roman" w:hAnsi="Times New Roman" w:cs="Times New Roman"/>
          <w:i/>
          <w:color w:val="000000" w:themeColor="text1"/>
          <w:lang w:val="id-ID"/>
        </w:rPr>
        <w:t>H</w:t>
      </w:r>
      <w:proofErr w:type="spellStart"/>
      <w:r w:rsidR="00BD6B37">
        <w:rPr>
          <w:rFonts w:ascii="Times New Roman" w:hAnsi="Times New Roman" w:cs="Times New Roman"/>
          <w:i/>
          <w:color w:val="000000" w:themeColor="text1"/>
          <w:lang w:val="en-US"/>
        </w:rPr>
        <w:t>asil</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penelitian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menemukan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bahwa</w:t>
      </w:r>
      <w:proofErr w:type="spellEnd"/>
      <w:r w:rsidR="00BD6B37">
        <w:rPr>
          <w:rFonts w:ascii="Times New Roman" w:hAnsi="Times New Roman" w:cs="Times New Roman"/>
          <w:i/>
          <w:color w:val="000000" w:themeColor="text1"/>
          <w:lang w:val="en-US"/>
        </w:rPr>
        <w:t xml:space="preserve"> </w:t>
      </w:r>
      <w:proofErr w:type="spellStart"/>
      <w:r w:rsidR="00BD6B37" w:rsidRPr="00BC3F2B">
        <w:rPr>
          <w:rFonts w:ascii="Times New Roman" w:hAnsi="Times New Roman" w:cs="Times New Roman"/>
          <w:i/>
          <w:color w:val="000000" w:themeColor="text1"/>
          <w:lang w:val="en-US"/>
        </w:rPr>
        <w:t>Resiko</w:t>
      </w:r>
      <w:proofErr w:type="spellEnd"/>
      <w:r w:rsidR="00BD6B37" w:rsidRPr="00BC3F2B">
        <w:rPr>
          <w:rFonts w:ascii="Times New Roman" w:hAnsi="Times New Roman" w:cs="Times New Roman"/>
          <w:i/>
          <w:color w:val="000000" w:themeColor="text1"/>
          <w:lang w:val="en-US"/>
        </w:rPr>
        <w:t xml:space="preserve"> </w:t>
      </w:r>
      <w:proofErr w:type="spellStart"/>
      <w:r w:rsidR="00BD6B37" w:rsidRPr="00BC3F2B">
        <w:rPr>
          <w:rFonts w:ascii="Times New Roman" w:hAnsi="Times New Roman" w:cs="Times New Roman"/>
          <w:i/>
          <w:color w:val="000000" w:themeColor="text1"/>
          <w:lang w:val="en-US"/>
        </w:rPr>
        <w:t>Kredit</w:t>
      </w:r>
      <w:proofErr w:type="spellEnd"/>
      <w:r w:rsidR="00BD6B37">
        <w:rPr>
          <w:rFonts w:ascii="Times New Roman" w:hAnsi="Times New Roman" w:cs="Times New Roman"/>
          <w:i/>
          <w:color w:val="000000" w:themeColor="text1"/>
          <w:lang w:val="en-US"/>
        </w:rPr>
        <w:t xml:space="preserve"> dan </w:t>
      </w:r>
      <w:proofErr w:type="spellStart"/>
      <w:r w:rsidR="00BD6B37">
        <w:rPr>
          <w:rFonts w:ascii="Times New Roman" w:hAnsi="Times New Roman" w:cs="Times New Roman"/>
          <w:i/>
          <w:color w:val="000000" w:themeColor="text1"/>
          <w:lang w:val="en-US"/>
        </w:rPr>
        <w:t>Resiko</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Liquiditas</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berpengaruh</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positif</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sementara</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ukuran</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perusahaan</w:t>
      </w:r>
      <w:proofErr w:type="spellEnd"/>
      <w:r w:rsidR="00BD6B37">
        <w:rPr>
          <w:rFonts w:ascii="Times New Roman" w:hAnsi="Times New Roman" w:cs="Times New Roman"/>
          <w:i/>
          <w:color w:val="000000" w:themeColor="text1"/>
          <w:lang w:val="en-US"/>
        </w:rPr>
        <w:t xml:space="preserve"> dan </w:t>
      </w:r>
      <w:proofErr w:type="spellStart"/>
      <w:r w:rsidR="00BD6B37">
        <w:rPr>
          <w:rFonts w:ascii="Times New Roman" w:hAnsi="Times New Roman" w:cs="Times New Roman"/>
          <w:i/>
          <w:color w:val="000000" w:themeColor="text1"/>
          <w:lang w:val="en-US"/>
        </w:rPr>
        <w:t>kecukupan</w:t>
      </w:r>
      <w:proofErr w:type="spellEnd"/>
      <w:r w:rsidR="00BD6B37">
        <w:rPr>
          <w:rFonts w:ascii="Times New Roman" w:hAnsi="Times New Roman" w:cs="Times New Roman"/>
          <w:i/>
          <w:color w:val="000000" w:themeColor="text1"/>
          <w:lang w:val="en-US"/>
        </w:rPr>
        <w:t xml:space="preserve"> modal </w:t>
      </w:r>
      <w:proofErr w:type="spellStart"/>
      <w:r w:rsidR="00BD6B37">
        <w:rPr>
          <w:rFonts w:ascii="Times New Roman" w:hAnsi="Times New Roman" w:cs="Times New Roman"/>
          <w:i/>
          <w:color w:val="000000" w:themeColor="text1"/>
          <w:lang w:val="en-US"/>
        </w:rPr>
        <w:t>berpengaruh</w:t>
      </w:r>
      <w:proofErr w:type="spellEnd"/>
      <w:r w:rsidR="00BD6B37">
        <w:rPr>
          <w:rFonts w:ascii="Times New Roman" w:hAnsi="Times New Roman" w:cs="Times New Roman"/>
          <w:i/>
          <w:color w:val="000000" w:themeColor="text1"/>
          <w:lang w:val="en-US"/>
        </w:rPr>
        <w:t xml:space="preserve"> negative </w:t>
      </w:r>
      <w:proofErr w:type="spellStart"/>
      <w:r w:rsidR="00BD6B37">
        <w:rPr>
          <w:rFonts w:ascii="Times New Roman" w:hAnsi="Times New Roman" w:cs="Times New Roman"/>
          <w:i/>
          <w:color w:val="000000" w:themeColor="text1"/>
          <w:lang w:val="en-US"/>
        </w:rPr>
        <w:t>terhadap</w:t>
      </w:r>
      <w:proofErr w:type="spellEnd"/>
      <w:r w:rsidR="00BD6B37">
        <w:rPr>
          <w:rFonts w:ascii="Times New Roman" w:hAnsi="Times New Roman" w:cs="Times New Roman"/>
          <w:i/>
          <w:color w:val="000000" w:themeColor="text1"/>
          <w:lang w:val="en-US"/>
        </w:rPr>
        <w:t xml:space="preserve"> </w:t>
      </w:r>
      <w:proofErr w:type="spellStart"/>
      <w:r w:rsidR="00BD6B37">
        <w:rPr>
          <w:rFonts w:ascii="Times New Roman" w:hAnsi="Times New Roman" w:cs="Times New Roman"/>
          <w:i/>
          <w:color w:val="000000" w:themeColor="text1"/>
          <w:lang w:val="en-US"/>
        </w:rPr>
        <w:t>profitabilitas</w:t>
      </w:r>
      <w:proofErr w:type="spellEnd"/>
      <w:r w:rsidR="00BD6B37">
        <w:rPr>
          <w:rFonts w:ascii="Times New Roman" w:hAnsi="Times New Roman" w:cs="Times New Roman"/>
          <w:i/>
          <w:color w:val="000000" w:themeColor="text1"/>
          <w:lang w:val="en-US"/>
        </w:rPr>
        <w:t xml:space="preserve"> Bank Syariah di Indonesia.</w:t>
      </w:r>
    </w:p>
    <w:p w:rsidR="00BD6B37" w:rsidRPr="00744857" w:rsidRDefault="00BD6B37" w:rsidP="00BD6B37">
      <w:pPr>
        <w:pStyle w:val="BasicParagraph"/>
        <w:spacing w:line="240" w:lineRule="auto"/>
        <w:jc w:val="both"/>
        <w:rPr>
          <w:rFonts w:ascii="Times New Roman" w:hAnsi="Times New Roman" w:cs="Times New Roman"/>
          <w:i/>
          <w:color w:val="000000" w:themeColor="text1"/>
          <w:lang w:val="id-ID"/>
        </w:rPr>
      </w:pPr>
    </w:p>
    <w:p w:rsidR="00BD6B37" w:rsidRPr="00BC3F2B" w:rsidRDefault="00BD6B37" w:rsidP="00BD6B37">
      <w:pPr>
        <w:pStyle w:val="BasicParagraph"/>
        <w:spacing w:line="240" w:lineRule="auto"/>
        <w:jc w:val="both"/>
        <w:rPr>
          <w:rFonts w:ascii="Times New Roman" w:hAnsi="Times New Roman" w:cs="Times New Roman"/>
          <w:i/>
          <w:iCs/>
          <w:color w:val="000000" w:themeColor="text1"/>
          <w:lang w:val="en-US"/>
        </w:rPr>
      </w:pPr>
      <w:r w:rsidRPr="00744857">
        <w:rPr>
          <w:rFonts w:ascii="Times New Roman" w:hAnsi="Times New Roman" w:cs="Times New Roman"/>
          <w:b/>
          <w:color w:val="000000" w:themeColor="text1"/>
          <w:lang w:val="id-ID"/>
        </w:rPr>
        <w:t xml:space="preserve">Kata Kunci: </w:t>
      </w:r>
      <w:r>
        <w:rPr>
          <w:rFonts w:ascii="Times New Roman" w:hAnsi="Times New Roman" w:cs="Times New Roman"/>
          <w:i/>
          <w:iCs/>
          <w:color w:val="000000" w:themeColor="text1"/>
          <w:lang w:val="en-US"/>
        </w:rPr>
        <w:t xml:space="preserve">Bank Syariah; </w:t>
      </w:r>
      <w:proofErr w:type="spellStart"/>
      <w:r>
        <w:rPr>
          <w:rFonts w:ascii="Times New Roman" w:hAnsi="Times New Roman" w:cs="Times New Roman"/>
          <w:i/>
          <w:iCs/>
          <w:color w:val="000000" w:themeColor="text1"/>
          <w:lang w:val="en-US"/>
        </w:rPr>
        <w:t>Inflasi</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i/>
          <w:iCs/>
          <w:color w:val="000000" w:themeColor="text1"/>
          <w:lang w:val="en-US"/>
        </w:rPr>
        <w:t>Kecukupan</w:t>
      </w:r>
      <w:proofErr w:type="spellEnd"/>
      <w:r>
        <w:rPr>
          <w:rFonts w:ascii="Times New Roman" w:hAnsi="Times New Roman" w:cs="Times New Roman"/>
          <w:i/>
          <w:iCs/>
          <w:color w:val="000000" w:themeColor="text1"/>
          <w:lang w:val="en-US"/>
        </w:rPr>
        <w:t xml:space="preserve"> Modal; </w:t>
      </w:r>
      <w:proofErr w:type="spellStart"/>
      <w:r>
        <w:rPr>
          <w:rFonts w:ascii="Times New Roman" w:hAnsi="Times New Roman" w:cs="Times New Roman"/>
          <w:i/>
          <w:iCs/>
          <w:color w:val="000000" w:themeColor="text1"/>
          <w:lang w:val="en-US"/>
        </w:rPr>
        <w:t>Resiko</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i/>
          <w:iCs/>
          <w:color w:val="000000" w:themeColor="text1"/>
          <w:lang w:val="en-US"/>
        </w:rPr>
        <w:t>Kredit</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i/>
          <w:iCs/>
          <w:color w:val="000000" w:themeColor="text1"/>
          <w:lang w:val="en-US"/>
        </w:rPr>
        <w:t>Resiko</w:t>
      </w:r>
      <w:proofErr w:type="spellEnd"/>
      <w:r>
        <w:rPr>
          <w:rFonts w:ascii="Times New Roman" w:hAnsi="Times New Roman" w:cs="Times New Roman"/>
          <w:i/>
          <w:iCs/>
          <w:color w:val="000000" w:themeColor="text1"/>
          <w:lang w:val="en-US"/>
        </w:rPr>
        <w:t xml:space="preserve"> </w:t>
      </w:r>
      <w:proofErr w:type="spellStart"/>
      <w:r>
        <w:rPr>
          <w:rFonts w:ascii="Times New Roman" w:hAnsi="Times New Roman" w:cs="Times New Roman"/>
          <w:i/>
          <w:iCs/>
          <w:color w:val="000000" w:themeColor="text1"/>
          <w:lang w:val="en-US"/>
        </w:rPr>
        <w:t>Liquiditas;Return</w:t>
      </w:r>
      <w:proofErr w:type="spellEnd"/>
      <w:r>
        <w:rPr>
          <w:rFonts w:ascii="Times New Roman" w:hAnsi="Times New Roman" w:cs="Times New Roman"/>
          <w:i/>
          <w:iCs/>
          <w:color w:val="000000" w:themeColor="text1"/>
          <w:lang w:val="en-US"/>
        </w:rPr>
        <w:t xml:space="preserve"> on Equity; </w:t>
      </w:r>
      <w:proofErr w:type="spellStart"/>
      <w:r>
        <w:rPr>
          <w:rFonts w:ascii="Times New Roman" w:hAnsi="Times New Roman" w:cs="Times New Roman"/>
          <w:i/>
          <w:iCs/>
          <w:color w:val="000000" w:themeColor="text1"/>
          <w:lang w:val="en-US"/>
        </w:rPr>
        <w:t>Ukuran</w:t>
      </w:r>
      <w:proofErr w:type="spellEnd"/>
      <w:r>
        <w:rPr>
          <w:rFonts w:ascii="Times New Roman" w:hAnsi="Times New Roman" w:cs="Times New Roman"/>
          <w:i/>
          <w:iCs/>
          <w:color w:val="000000" w:themeColor="text1"/>
          <w:lang w:val="en-US"/>
        </w:rPr>
        <w:t xml:space="preserve"> Perusahaan.</w:t>
      </w:r>
    </w:p>
    <w:p w:rsidR="00BD6B37" w:rsidRDefault="00BD6B37" w:rsidP="00BD6B37">
      <w:pPr>
        <w:jc w:val="both"/>
        <w:rPr>
          <w:rFonts w:ascii="Times New Roman" w:eastAsia="Times New Roman" w:hAnsi="Times New Roman" w:cs="Times New Roman"/>
          <w:b/>
          <w:i/>
          <w:color w:val="000000"/>
          <w:sz w:val="20"/>
          <w:szCs w:val="20"/>
        </w:rPr>
      </w:pPr>
    </w:p>
    <w:p w:rsidR="00BD6B37" w:rsidRDefault="00BD6B37" w:rsidP="00BD6B37">
      <w:pPr>
        <w:jc w:val="both"/>
        <w:rPr>
          <w:rFonts w:ascii="Times New Roman" w:eastAsia="Times New Roman" w:hAnsi="Times New Roman" w:cs="Times New Roman"/>
          <w:b/>
          <w:i/>
          <w:color w:val="000000"/>
          <w:sz w:val="20"/>
          <w:szCs w:val="20"/>
        </w:rPr>
      </w:pPr>
    </w:p>
    <w:p w:rsidR="00CE721C" w:rsidRPr="009B33E0" w:rsidRDefault="00943EC8" w:rsidP="009B33E0">
      <w:pPr>
        <w:rPr>
          <w:rFonts w:ascii="Times New Roman" w:hAnsi="Times New Roman"/>
          <w:sz w:val="20"/>
          <w:szCs w:val="20"/>
        </w:rPr>
      </w:pPr>
      <w:r>
        <w:rPr>
          <w:rFonts w:ascii="Times New Roman" w:eastAsia="Times New Roman" w:hAnsi="Times New Roman" w:cs="Times New Roman"/>
          <w:b/>
          <w:i/>
          <w:color w:val="000000"/>
          <w:sz w:val="20"/>
          <w:szCs w:val="20"/>
        </w:rPr>
        <w:t>Corresponding author.</w:t>
      </w:r>
      <w:r>
        <w:rPr>
          <w:rFonts w:ascii="Times New Roman" w:eastAsia="Times New Roman" w:hAnsi="Times New Roman" w:cs="Times New Roman"/>
          <w:sz w:val="20"/>
          <w:szCs w:val="20"/>
        </w:rPr>
        <w:t xml:space="preserve">Email: </w:t>
      </w:r>
      <w:hyperlink r:id="rId8" w:history="1">
        <w:r w:rsidR="009B33E0" w:rsidRPr="009B33E0">
          <w:rPr>
            <w:rStyle w:val="Hyperlink"/>
            <w:rFonts w:ascii="Times New Roman" w:eastAsia="Times New Roman" w:hAnsi="Times New Roman" w:cs="Times New Roman"/>
            <w:color w:val="auto"/>
            <w:sz w:val="20"/>
            <w:szCs w:val="20"/>
            <w:u w:val="none"/>
          </w:rPr>
          <w:t>supiyadi@student.upi.edu</w:t>
        </w:r>
      </w:hyperlink>
      <w:r w:rsidR="009B33E0" w:rsidRPr="009B33E0">
        <w:rPr>
          <w:rFonts w:ascii="Times New Roman" w:eastAsia="Times New Roman" w:hAnsi="Times New Roman" w:cs="Times New Roman"/>
          <w:sz w:val="20"/>
          <w:szCs w:val="20"/>
        </w:rPr>
        <w:t xml:space="preserve">, </w:t>
      </w:r>
      <w:hyperlink r:id="rId9" w:history="1">
        <w:r w:rsidR="009B33E0" w:rsidRPr="009B33E0">
          <w:rPr>
            <w:rStyle w:val="Hyperlink"/>
            <w:rFonts w:ascii="Times New Roman" w:hAnsi="Times New Roman" w:cs="Times New Roman"/>
            <w:color w:val="auto"/>
            <w:sz w:val="20"/>
            <w:szCs w:val="20"/>
            <w:u w:val="none"/>
          </w:rPr>
          <w:t>budi.purnomo@upi.edu</w:t>
        </w:r>
      </w:hyperlink>
    </w:p>
    <w:p w:rsidR="00CE721C" w:rsidRPr="009277AC" w:rsidRDefault="00943EC8" w:rsidP="009277AC">
      <w:pPr>
        <w:pBdr>
          <w:top w:val="nil"/>
          <w:left w:val="nil"/>
          <w:bottom w:val="nil"/>
          <w:right w:val="nil"/>
          <w:between w:val="nil"/>
        </w:pBdr>
        <w:rPr>
          <w:rFonts w:ascii="Times New Roman" w:hAnsi="Times New Roman"/>
          <w:b/>
          <w:sz w:val="28"/>
          <w:szCs w:val="28"/>
        </w:rPr>
      </w:pPr>
      <w:r>
        <w:rPr>
          <w:rFonts w:ascii="Times New Roman" w:eastAsia="Times New Roman" w:hAnsi="Times New Roman" w:cs="Times New Roman"/>
          <w:b/>
          <w:i/>
          <w:color w:val="000000"/>
          <w:sz w:val="20"/>
          <w:szCs w:val="20"/>
        </w:rPr>
        <w:t xml:space="preserve">How to cite this article. </w:t>
      </w:r>
      <w:r w:rsidR="009B33E0">
        <w:rPr>
          <w:rFonts w:ascii="Times New Roman" w:eastAsia="Times New Roman" w:hAnsi="Times New Roman" w:cs="Times New Roman"/>
          <w:sz w:val="20"/>
          <w:szCs w:val="20"/>
        </w:rPr>
        <w:t xml:space="preserve">Dedi Supiyadi </w:t>
      </w:r>
      <w:r>
        <w:rPr>
          <w:rFonts w:ascii="Times New Roman" w:eastAsia="Times New Roman" w:hAnsi="Times New Roman" w:cs="Times New Roman"/>
          <w:sz w:val="20"/>
          <w:szCs w:val="20"/>
        </w:rPr>
        <w:t xml:space="preserve"> &amp; </w:t>
      </w:r>
      <w:r w:rsidR="009B33E0">
        <w:rPr>
          <w:rFonts w:ascii="Times New Roman" w:eastAsia="Times New Roman" w:hAnsi="Times New Roman" w:cs="Times New Roman"/>
          <w:sz w:val="20"/>
          <w:szCs w:val="20"/>
        </w:rPr>
        <w:t>Budi S. Purnomo</w:t>
      </w:r>
      <w:r>
        <w:rPr>
          <w:rFonts w:ascii="Times New Roman" w:eastAsia="Times New Roman" w:hAnsi="Times New Roman" w:cs="Times New Roman"/>
          <w:color w:val="000000"/>
          <w:sz w:val="20"/>
          <w:szCs w:val="20"/>
        </w:rPr>
        <w:t>.2019.</w:t>
      </w:r>
      <w:r w:rsidR="009B33E0" w:rsidRPr="009B33E0">
        <w:rPr>
          <w:rFonts w:ascii="Times New Roman" w:hAnsi="Times New Roman"/>
          <w:b/>
          <w:sz w:val="28"/>
          <w:szCs w:val="28"/>
        </w:rPr>
        <w:t xml:space="preserve"> </w:t>
      </w:r>
      <w:r w:rsidR="009277AC" w:rsidRPr="009277AC">
        <w:rPr>
          <w:rFonts w:ascii="Times New Roman" w:hAnsi="Times New Roman"/>
          <w:sz w:val="20"/>
          <w:szCs w:val="28"/>
        </w:rPr>
        <w:t xml:space="preserve">Determinant Of </w:t>
      </w:r>
      <w:r w:rsidR="009277AC" w:rsidRPr="009277AC">
        <w:rPr>
          <w:rFonts w:ascii="Times New Roman" w:hAnsi="Times New Roman"/>
          <w:sz w:val="20"/>
          <w:szCs w:val="28"/>
          <w:lang w:val="en-US"/>
        </w:rPr>
        <w:t>Sharia</w:t>
      </w:r>
      <w:r w:rsidR="009277AC" w:rsidRPr="009277AC">
        <w:rPr>
          <w:rFonts w:ascii="Times New Roman" w:hAnsi="Times New Roman"/>
          <w:sz w:val="20"/>
          <w:szCs w:val="28"/>
        </w:rPr>
        <w:t xml:space="preserve"> Bank Profitability In Indonesia</w:t>
      </w:r>
      <w:r w:rsidR="009277AC">
        <w:rPr>
          <w:rFonts w:ascii="Times New Roman" w:hAnsi="Times New Roman"/>
          <w:sz w:val="20"/>
          <w:szCs w:val="28"/>
        </w:rPr>
        <w:t>.</w:t>
      </w:r>
      <w:r w:rsidR="009277AC">
        <w:rPr>
          <w:rFonts w:ascii="Times New Roman" w:hAnsi="Times New Roman"/>
          <w:b/>
          <w:sz w:val="28"/>
          <w:szCs w:val="28"/>
        </w:rPr>
        <w:t xml:space="preserve"> </w:t>
      </w:r>
      <w:r>
        <w:rPr>
          <w:rFonts w:ascii="Times New Roman" w:eastAsia="Times New Roman" w:hAnsi="Times New Roman" w:cs="Times New Roman"/>
          <w:i/>
          <w:sz w:val="20"/>
          <w:szCs w:val="20"/>
        </w:rPr>
        <w:t>Jurnal Riset Akuntansi dan Keuangan</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7</w:t>
      </w:r>
      <w:r>
        <w:rPr>
          <w:rFonts w:ascii="Times New Roman" w:eastAsia="Times New Roman" w:hAnsi="Times New Roman" w:cs="Times New Roman"/>
          <w:sz w:val="20"/>
          <w:szCs w:val="20"/>
        </w:rPr>
        <w:t xml:space="preserve">(1), 11–12. </w:t>
      </w:r>
    </w:p>
    <w:p w:rsidR="00CE721C" w:rsidRDefault="00943EC8">
      <w:pPr>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History of article.</w:t>
      </w:r>
      <w:r>
        <w:rPr>
          <w:rFonts w:ascii="Times New Roman" w:eastAsia="Times New Roman" w:hAnsi="Times New Roman" w:cs="Times New Roman"/>
          <w:color w:val="000000"/>
          <w:sz w:val="20"/>
          <w:szCs w:val="20"/>
        </w:rPr>
        <w:t xml:space="preserve"> Received: January 2019, Revision: Maret 2019, Published: April 2019</w:t>
      </w:r>
    </w:p>
    <w:p w:rsidR="00CE721C" w:rsidRDefault="00943EC8">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Online ISSN: 2541-061X.Print ISSN: 2338-1507. DOI:</w:t>
      </w:r>
    </w:p>
    <w:p w:rsidR="00CE721C" w:rsidRDefault="00943EC8">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Copyright©2019. Published by Jurnal Riset Akuntansi dan Keuangan. Program Studi Akuntansi. FPEB. UPI</w:t>
      </w:r>
      <w:r w:rsidR="006845D3">
        <w:rPr>
          <w:rFonts w:ascii="Times New Roman" w:eastAsia="Times New Roman" w:hAnsi="Times New Roman" w:cs="Times New Roman"/>
          <w:color w:val="000000"/>
          <w:sz w:val="20"/>
          <w:szCs w:val="20"/>
        </w:rPr>
        <w:t>.</w:t>
      </w:r>
    </w:p>
    <w:p w:rsidR="00CE721C" w:rsidRDefault="00CE721C">
      <w:pPr>
        <w:ind w:firstLine="567"/>
        <w:jc w:val="both"/>
        <w:rPr>
          <w:rFonts w:ascii="Times New Roman" w:eastAsia="Times New Roman" w:hAnsi="Times New Roman" w:cs="Times New Roman"/>
          <w:b/>
          <w:sz w:val="24"/>
          <w:szCs w:val="24"/>
        </w:rPr>
      </w:pPr>
    </w:p>
    <w:p w:rsidR="00CE721C" w:rsidRDefault="00CE721C">
      <w:pPr>
        <w:jc w:val="both"/>
        <w:rPr>
          <w:rFonts w:ascii="Times New Roman" w:eastAsia="Times New Roman" w:hAnsi="Times New Roman" w:cs="Times New Roman"/>
          <w:b/>
          <w:sz w:val="24"/>
          <w:szCs w:val="24"/>
        </w:rPr>
        <w:sectPr w:rsidR="00CE721C" w:rsidSect="00FD44D7">
          <w:headerReference w:type="even" r:id="rId10"/>
          <w:headerReference w:type="default" r:id="rId11"/>
          <w:footerReference w:type="even" r:id="rId12"/>
          <w:footerReference w:type="default" r:id="rId13"/>
          <w:pgSz w:w="11906" w:h="16838"/>
          <w:pgMar w:top="1411" w:right="1282" w:bottom="1411" w:left="1282" w:header="706" w:footer="706" w:gutter="0"/>
          <w:pgNumType w:start="1"/>
          <w:cols w:space="720"/>
        </w:sectPr>
      </w:pPr>
    </w:p>
    <w:p w:rsidR="00CE721C" w:rsidRDefault="00943EC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6845D3" w:rsidRDefault="006845D3" w:rsidP="006845D3">
      <w:pPr>
        <w:pStyle w:val="Heading4"/>
        <w:jc w:val="both"/>
        <w:rPr>
          <w:b w:val="0"/>
          <w:i/>
        </w:rPr>
      </w:pPr>
      <w:r>
        <w:rPr>
          <w:b w:val="0"/>
        </w:rPr>
        <w:t xml:space="preserve">Bank </w:t>
      </w:r>
      <w:proofErr w:type="spellStart"/>
      <w:r>
        <w:rPr>
          <w:b w:val="0"/>
        </w:rPr>
        <w:t>syariah</w:t>
      </w:r>
      <w:proofErr w:type="spellEnd"/>
      <w:r>
        <w:rPr>
          <w:b w:val="0"/>
        </w:rPr>
        <w:t xml:space="preserve"> </w:t>
      </w:r>
      <w:proofErr w:type="spellStart"/>
      <w:r>
        <w:rPr>
          <w:b w:val="0"/>
        </w:rPr>
        <w:t>tumbuh</w:t>
      </w:r>
      <w:proofErr w:type="spellEnd"/>
      <w:r>
        <w:rPr>
          <w:b w:val="0"/>
        </w:rPr>
        <w:t xml:space="preserve"> dan </w:t>
      </w:r>
      <w:proofErr w:type="spellStart"/>
      <w:r>
        <w:rPr>
          <w:b w:val="0"/>
        </w:rPr>
        <w:t>berkembang</w:t>
      </w:r>
      <w:proofErr w:type="spellEnd"/>
      <w:r>
        <w:rPr>
          <w:b w:val="0"/>
        </w:rPr>
        <w:t xml:space="preserve"> </w:t>
      </w:r>
      <w:proofErr w:type="spellStart"/>
      <w:r>
        <w:rPr>
          <w:b w:val="0"/>
        </w:rPr>
        <w:t>sangat</w:t>
      </w:r>
      <w:proofErr w:type="spellEnd"/>
      <w:r>
        <w:rPr>
          <w:b w:val="0"/>
        </w:rPr>
        <w:t xml:space="preserve"> </w:t>
      </w:r>
      <w:proofErr w:type="spellStart"/>
      <w:r>
        <w:rPr>
          <w:b w:val="0"/>
        </w:rPr>
        <w:t>pesat</w:t>
      </w:r>
      <w:proofErr w:type="spellEnd"/>
      <w:r>
        <w:rPr>
          <w:b w:val="0"/>
        </w:rPr>
        <w:t xml:space="preserve"> </w:t>
      </w:r>
      <w:proofErr w:type="spellStart"/>
      <w:r>
        <w:rPr>
          <w:b w:val="0"/>
        </w:rPr>
        <w:t>baik</w:t>
      </w:r>
      <w:proofErr w:type="spellEnd"/>
      <w:r>
        <w:rPr>
          <w:b w:val="0"/>
        </w:rPr>
        <w:t xml:space="preserve"> di negara-negara </w:t>
      </w:r>
      <w:proofErr w:type="spellStart"/>
      <w:r>
        <w:rPr>
          <w:b w:val="0"/>
        </w:rPr>
        <w:t>muslim</w:t>
      </w:r>
      <w:proofErr w:type="spellEnd"/>
      <w:r>
        <w:rPr>
          <w:b w:val="0"/>
        </w:rPr>
        <w:t xml:space="preserve"> </w:t>
      </w:r>
      <w:proofErr w:type="spellStart"/>
      <w:r>
        <w:rPr>
          <w:b w:val="0"/>
        </w:rPr>
        <w:t>maupun</w:t>
      </w:r>
      <w:proofErr w:type="spellEnd"/>
      <w:r>
        <w:rPr>
          <w:b w:val="0"/>
        </w:rPr>
        <w:t xml:space="preserve"> di negara non-</w:t>
      </w:r>
      <w:proofErr w:type="spellStart"/>
      <w:r>
        <w:rPr>
          <w:b w:val="0"/>
        </w:rPr>
        <w:t>muslim</w:t>
      </w:r>
      <w:proofErr w:type="spellEnd"/>
      <w:r>
        <w:rPr>
          <w:b w:val="0"/>
        </w:rPr>
        <w:t xml:space="preserve">, </w:t>
      </w:r>
      <w:proofErr w:type="spellStart"/>
      <w:r>
        <w:rPr>
          <w:b w:val="0"/>
        </w:rPr>
        <w:t>mulai</w:t>
      </w:r>
      <w:proofErr w:type="spellEnd"/>
      <w:r>
        <w:rPr>
          <w:b w:val="0"/>
        </w:rPr>
        <w:t xml:space="preserve"> </w:t>
      </w:r>
      <w:proofErr w:type="spellStart"/>
      <w:r>
        <w:rPr>
          <w:b w:val="0"/>
        </w:rPr>
        <w:t>dari</w:t>
      </w:r>
      <w:proofErr w:type="spellEnd"/>
      <w:r>
        <w:rPr>
          <w:b w:val="0"/>
        </w:rPr>
        <w:t xml:space="preserve"> negara </w:t>
      </w:r>
      <w:proofErr w:type="spellStart"/>
      <w:r>
        <w:rPr>
          <w:b w:val="0"/>
        </w:rPr>
        <w:t>asia</w:t>
      </w:r>
      <w:proofErr w:type="spellEnd"/>
      <w:r>
        <w:rPr>
          <w:b w:val="0"/>
        </w:rPr>
        <w:t xml:space="preserve">, Australia, Afrika, negara </w:t>
      </w:r>
      <w:proofErr w:type="spellStart"/>
      <w:r>
        <w:rPr>
          <w:b w:val="0"/>
        </w:rPr>
        <w:t>teluk</w:t>
      </w:r>
      <w:proofErr w:type="spellEnd"/>
      <w:r>
        <w:rPr>
          <w:b w:val="0"/>
        </w:rPr>
        <w:t xml:space="preserve"> </w:t>
      </w:r>
      <w:proofErr w:type="spellStart"/>
      <w:r>
        <w:rPr>
          <w:b w:val="0"/>
        </w:rPr>
        <w:t>sampai</w:t>
      </w:r>
      <w:proofErr w:type="spellEnd"/>
      <w:r>
        <w:rPr>
          <w:b w:val="0"/>
        </w:rPr>
        <w:t xml:space="preserve"> </w:t>
      </w:r>
      <w:proofErr w:type="spellStart"/>
      <w:r>
        <w:rPr>
          <w:b w:val="0"/>
        </w:rPr>
        <w:t>Eropa</w:t>
      </w:r>
      <w:proofErr w:type="spellEnd"/>
      <w:r>
        <w:rPr>
          <w:b w:val="0"/>
        </w:rPr>
        <w:t xml:space="preserve"> dan Amerika</w:t>
      </w:r>
      <w:r w:rsidR="00C86557" w:rsidRPr="00346DEE">
        <w:rPr>
          <w:b w:val="0"/>
          <w:i/>
        </w:rPr>
        <w:fldChar w:fldCharType="begin" w:fldLock="1"/>
      </w:r>
      <w:r w:rsidRPr="00346DEE">
        <w:rPr>
          <w:b w:val="0"/>
        </w:rPr>
        <w:instrText>ADDIN CSL_CITATION { "citationItems" : [ { "id" : "ITEM-1", "itemData" : { "DOI" : "DOI 10.1007/978-3-319-45910-3", "abstract" : "Islamic banking has attracted attention in financial economics literature due to its fast-paced growth. Concurrently, there is established amount of literature that presents the positive impact of banking development on economic growth, which attracts attention and debates whether Islamic banking would also have a similar impact and how Islamic banking could impact the economic stability? To answer these questions, this chapter examines the impact of the development of Islamic banking on economic growth and volatility by using a sample of 21 OIC member countries having both Islamic and conventional banks for the period of 2007\u20132013. Results show that, even though Islamic banking is relatively smaller in size, it is found to be conducive to economic growth but does not impact economic volatility. We also found that Islamic banking is playing a complementary role toward conventional banking practices in the selected counties.", "author" : [ { "dropping-particle" : "", "family" : "Azmi", "given" : "Mohsin Ali and Wajahat", "non-dropping-particle" : "", "parse-names" : false, "suffix" : "" } ], "container-title" : "Palgrave CIBFR Studies in Islamic Finance", "id" : "ITEM-1", "issued" : { "date-parts" : [ [ "2017" ] ] }, "page" : "15-32", "publisher" : "Springer International Publishing AG", "publisher-place" : "Gewerbestrasse 11, 6330 Cham, Switzerland", "title" : "Impact of Islamic Banking on Economic Growth and Volatility: Evidence from the OIC Member Countries", "type" : "paper-conference" }, "uris" : [ "http://www.mendeley.com/documents/?uuid=00eb448a-e0e3-4879-8e69-8436e48dea6c" ] } ], "mendeley" : { "formattedCitation" : "(Azmi, 2017)", "plainTextFormattedCitation" : "(Azmi, 2017)", "previouslyFormattedCitation" : "(Azmi, 2017)" }, "properties" : { "noteIndex" : 1 }, "schema" : "https://github.com/citation-style-language/schema/raw/master/csl-citation.json" }</w:instrText>
      </w:r>
      <w:r w:rsidR="00C86557" w:rsidRPr="00346DEE">
        <w:rPr>
          <w:b w:val="0"/>
          <w:i/>
        </w:rPr>
        <w:fldChar w:fldCharType="separate"/>
      </w:r>
      <w:r w:rsidRPr="00346DEE">
        <w:rPr>
          <w:b w:val="0"/>
          <w:noProof/>
        </w:rPr>
        <w:t>(Azmi, 2017)</w:t>
      </w:r>
      <w:r w:rsidR="00C86557" w:rsidRPr="00346DEE">
        <w:rPr>
          <w:b w:val="0"/>
          <w:i/>
        </w:rPr>
        <w:fldChar w:fldCharType="end"/>
      </w:r>
      <w:r w:rsidRPr="00346DEE">
        <w:rPr>
          <w:b w:val="0"/>
          <w:lang w:val="id-ID"/>
        </w:rPr>
        <w:t xml:space="preserve">, dengan total asset US$2.293 trillion </w:t>
      </w:r>
      <w:r w:rsidR="00C86557" w:rsidRPr="00346DEE">
        <w:rPr>
          <w:b w:val="0"/>
          <w:i/>
        </w:rPr>
        <w:fldChar w:fldCharType="begin" w:fldLock="1"/>
      </w:r>
      <w:r w:rsidRPr="00346DEE">
        <w:rPr>
          <w:b w:val="0"/>
        </w:rPr>
        <w:instrText>ADDIN CSL_CITATION { "citationItems" : [ { "id" : "ITEM-1", "itemData" : { "DOI" : "10.1596/978-1-4648-0926-2", "ISBN" : "9781464809262", "author" : [ { "dropping-particle" : "", "family" : "GIFR", "given" : "", "non-dropping-particle" : "", "parse-names" : false, "suffix" : "" } ], "id" : "ITEM-1", "issued" : { "date-parts" : [ [ "2016" ] ] }, "number-of-pages" : "251", "title" : "Islamic Finance: A Catalyst for Shared Prosperity?", "type" : "book" }, "uris" : [ "http://www.mendeley.com/documents/?uuid=434a544c-a464-4720-a421-2baeb67ed3b9" ] } ], "mendeley" : { "formattedCitation" : "(GIFR, 2016)", "plainTextFormattedCitation" : "(GIFR, 2016)", "previouslyFormattedCitation" : "(GIFR, 2016)" }, "properties" : { "noteIndex" : 1 }, "schema" : "https://github.com/citation-style-language/schema/raw/master/csl-citation.json" }</w:instrText>
      </w:r>
      <w:r w:rsidR="00C86557" w:rsidRPr="00346DEE">
        <w:rPr>
          <w:b w:val="0"/>
          <w:i/>
        </w:rPr>
        <w:fldChar w:fldCharType="separate"/>
      </w:r>
      <w:r w:rsidRPr="00346DEE">
        <w:rPr>
          <w:b w:val="0"/>
          <w:noProof/>
        </w:rPr>
        <w:t>(GIFR, 2016)</w:t>
      </w:r>
      <w:r w:rsidR="00C86557" w:rsidRPr="00346DEE">
        <w:rPr>
          <w:b w:val="0"/>
          <w:i/>
        </w:rPr>
        <w:fldChar w:fldCharType="end"/>
      </w:r>
      <w:r>
        <w:rPr>
          <w:b w:val="0"/>
          <w:lang w:val="id-ID"/>
        </w:rPr>
        <w:t xml:space="preserve">. </w:t>
      </w:r>
      <w:r w:rsidRPr="00912588">
        <w:rPr>
          <w:b w:val="0"/>
          <w:lang w:val="id-ID"/>
        </w:rPr>
        <w:t xml:space="preserve">Indonesia sebagai negara </w:t>
      </w:r>
      <w:proofErr w:type="spellStart"/>
      <w:r>
        <w:rPr>
          <w:b w:val="0"/>
        </w:rPr>
        <w:t>dengan</w:t>
      </w:r>
      <w:proofErr w:type="spellEnd"/>
      <w:r>
        <w:rPr>
          <w:b w:val="0"/>
        </w:rPr>
        <w:t xml:space="preserve"> </w:t>
      </w:r>
      <w:proofErr w:type="spellStart"/>
      <w:r>
        <w:rPr>
          <w:b w:val="0"/>
        </w:rPr>
        <w:t>penduduk</w:t>
      </w:r>
      <w:proofErr w:type="spellEnd"/>
      <w:r>
        <w:rPr>
          <w:b w:val="0"/>
        </w:rPr>
        <w:t xml:space="preserve"> </w:t>
      </w:r>
      <w:r w:rsidRPr="00912588">
        <w:rPr>
          <w:b w:val="0"/>
          <w:lang w:val="id-ID"/>
        </w:rPr>
        <w:t xml:space="preserve">muslim terbesar didunia </w:t>
      </w:r>
      <w:r w:rsidR="00C86557" w:rsidRPr="00346DEE">
        <w:rPr>
          <w:b w:val="0"/>
          <w:i/>
        </w:rPr>
        <w:fldChar w:fldCharType="begin" w:fldLock="1"/>
      </w:r>
      <w:r>
        <w:rPr>
          <w:b w:val="0"/>
        </w:rPr>
        <w:instrText>ADDIN CSL_CITATION { "citationItems" : [ { "id" : "ITEM-1", "itemData" : { "abstract" : "This research aims to analyze credit risk management in the Indonesia Islamic banking industry. Primarily, the credit risk management is related to policies and procedures, credit risk management activities and credit risk controling or mitigating. Research constructed by weighting a number of indicators that reflect credit risk management activities in Islamic banking. The final results of the research are index of credit risk management of the Indonesia Islamic banking industry and indices of credit risk management in the Islamic banking industry. The Index is counted by the method of scoring with the maximum score of 100 and the industrial index is obtained by combining of each Islamic bank through the calculation of weighted average of individual share of financing. Based on the analysis of primary and secondary data, the index of credit risk management of the Islamic banking industry and index aspects of credit risk management, the index of the Indonesia Islamic banking industry come up to a good criterion. Improving the Quality of credit risk management, can be proceded by bank management by improving risk management aspects which have not been adequately assessed. Moreover, improving the quality of credit risk management by the authority of Islamic banking can be pursued by formulating the banking regulations.", "author" : [ { "dropping-particle" : "", "family" : "Chusaini", "given" : "Agus", "non-dropping-particle" : "", "parse-names" : false, "suffix" : "" }, { "dropping-particle" : "", "family" : "Ismal", "given" : "Rifki", "non-dropping-particle" : "", "parse-names" : false, "suffix" : "" } ], "container-title" : "Afro Eurasian Studies", "id" : "ITEM-1", "issue" : "1 &amp; 2", "issued" : { "date-parts" : [ [ "2013" ] ] }, "page" : "41-55", "title" : "Credit Risk Management in Indonesian Islamic Banking", "type" : "article-journal", "volume" : "2" }, "uris" : [ "http://www.mendeley.com/documents/?uuid=a8e4d5bc-0bbf-4193-9f35-d1051d642f71" ] } ], "mendeley" : { "formattedCitation" : "(Chusaini and Ismal, 2013)", "plainTextFormattedCitation" : "(Chusaini and Ismal, 2013)", "previouslyFormattedCitation" : "(Chusaini and Ismal, 2013)" }, "properties" : { "noteIndex" : 1 }, "schema" : "https://github.com/citation-style-language/schema/raw/master/csl-citation.json" }</w:instrText>
      </w:r>
      <w:r w:rsidR="00C86557" w:rsidRPr="00346DEE">
        <w:rPr>
          <w:b w:val="0"/>
          <w:i/>
        </w:rPr>
        <w:fldChar w:fldCharType="separate"/>
      </w:r>
      <w:r w:rsidRPr="007544C9">
        <w:rPr>
          <w:b w:val="0"/>
          <w:noProof/>
        </w:rPr>
        <w:t>(Chusaini and Ismal, 2013)</w:t>
      </w:r>
      <w:r w:rsidR="00C86557" w:rsidRPr="00346DEE">
        <w:rPr>
          <w:b w:val="0"/>
          <w:i/>
        </w:rPr>
        <w:fldChar w:fldCharType="end"/>
      </w:r>
      <w:r w:rsidRPr="00346DEE">
        <w:rPr>
          <w:b w:val="0"/>
        </w:rPr>
        <w:t>,</w:t>
      </w:r>
      <w:r w:rsidRPr="00912588">
        <w:rPr>
          <w:b w:val="0"/>
          <w:lang w:val="id-ID"/>
        </w:rPr>
        <w:t xml:space="preserve">merupakan potensi untuk mengembangkan bank syariah dalam rangka untuk memberikan pelayanan transaksi keuangan yang sesuai dengan prinsip-prinsip Syariah. System perbankan di Indonesia menganut dual financial system yaitu system perbankan konvensional dan syariah. Berdasarkan data statistik perbankan syariah, jumlah bank Syariah di Indonesia sampai </w:t>
      </w:r>
      <w:r w:rsidRPr="00912588">
        <w:rPr>
          <w:b w:val="0"/>
          <w:lang w:val="id-ID"/>
        </w:rPr>
        <w:t xml:space="preserve">tahun 2016 </w:t>
      </w:r>
      <w:r>
        <w:rPr>
          <w:b w:val="0"/>
          <w:lang w:val="id-ID"/>
        </w:rPr>
        <w:t>terdapat</w:t>
      </w:r>
      <w:r w:rsidRPr="00912588">
        <w:rPr>
          <w:b w:val="0"/>
          <w:lang w:val="id-ID"/>
        </w:rPr>
        <w:t xml:space="preserve"> 199 bank  terdiri dari 12 Bank Umum Syariah, 22 unit usaha Syariah dan 165 BPR syariah yang tersebar di seluruh wilayah Indonesia </w:t>
      </w:r>
      <w:r w:rsidR="00C86557" w:rsidRPr="00AB6AD1">
        <w:rPr>
          <w:b w:val="0"/>
          <w:i/>
        </w:rPr>
        <w:fldChar w:fldCharType="begin" w:fldLock="1"/>
      </w:r>
      <w:r w:rsidRPr="00AB6AD1">
        <w:rPr>
          <w:b w:val="0"/>
        </w:rPr>
        <w:instrText>ADDIN CSL_CITATION { "citationItems" : [ { "id" : "ITEM-1", "itemData" : { "author" : [ { "dropping-particle" : "", "family" : "OJK", "given" : "", "non-dropping-particle" : "", "parse-names" : false, "suffix" : "" } ], "id" : "ITEM-1", "issued" : { "date-parts" : [ [ "2016" ] ] }, "number-of-pages" : "117", "publisher-place" : "Jakarta", "title" : "The Sharia Indonesia Banking Statistic", "type" : "report" }, "uris" : [ "http://www.mendeley.com/documents/?uuid=cd9e25c1-95f1-497d-8aee-fddae03ff4ab" ] } ], "mendeley" : { "formattedCitation" : "(OJK, 2016)", "plainTextFormattedCitation" : "(OJK, 2016)", "previouslyFormattedCitation" : "(OJK, 2016)" }, "properties" : { "noteIndex" : 1 }, "schema" : "https://github.com/citation-style-language/schema/raw/master/csl-citation.json" }</w:instrText>
      </w:r>
      <w:r w:rsidR="00C86557" w:rsidRPr="00AB6AD1">
        <w:rPr>
          <w:b w:val="0"/>
          <w:i/>
        </w:rPr>
        <w:fldChar w:fldCharType="separate"/>
      </w:r>
      <w:r w:rsidRPr="00AB6AD1">
        <w:rPr>
          <w:b w:val="0"/>
          <w:noProof/>
        </w:rPr>
        <w:t>(OJK, 2016)</w:t>
      </w:r>
      <w:r w:rsidR="00C86557" w:rsidRPr="00AB6AD1">
        <w:rPr>
          <w:b w:val="0"/>
          <w:i/>
        </w:rPr>
        <w:fldChar w:fldCharType="end"/>
      </w:r>
      <w:r w:rsidRPr="00AB6AD1">
        <w:rPr>
          <w:b w:val="0"/>
        </w:rPr>
        <w:t>.</w:t>
      </w:r>
      <w:r w:rsidRPr="00346DEE">
        <w:rPr>
          <w:b w:val="0"/>
        </w:rPr>
        <w:t xml:space="preserve">Bank </w:t>
      </w:r>
      <w:proofErr w:type="spellStart"/>
      <w:r w:rsidRPr="00346DEE">
        <w:rPr>
          <w:b w:val="0"/>
        </w:rPr>
        <w:t>sebagai</w:t>
      </w:r>
      <w:proofErr w:type="spellEnd"/>
      <w:r w:rsidRPr="00346DEE">
        <w:rPr>
          <w:b w:val="0"/>
        </w:rPr>
        <w:t xml:space="preserve"> </w:t>
      </w:r>
      <w:proofErr w:type="spellStart"/>
      <w:r w:rsidRPr="00346DEE">
        <w:rPr>
          <w:b w:val="0"/>
        </w:rPr>
        <w:t>lembaga</w:t>
      </w:r>
      <w:proofErr w:type="spellEnd"/>
      <w:r w:rsidRPr="00346DEE">
        <w:rPr>
          <w:b w:val="0"/>
        </w:rPr>
        <w:t xml:space="preserve"> </w:t>
      </w:r>
      <w:proofErr w:type="spellStart"/>
      <w:r w:rsidRPr="00346DEE">
        <w:rPr>
          <w:b w:val="0"/>
        </w:rPr>
        <w:t>pelayanan</w:t>
      </w:r>
      <w:proofErr w:type="spellEnd"/>
      <w:r w:rsidRPr="00346DEE">
        <w:rPr>
          <w:b w:val="0"/>
        </w:rPr>
        <w:t xml:space="preserve"> </w:t>
      </w:r>
      <w:proofErr w:type="spellStart"/>
      <w:r w:rsidRPr="00346DEE">
        <w:rPr>
          <w:b w:val="0"/>
        </w:rPr>
        <w:t>publik</w:t>
      </w:r>
      <w:proofErr w:type="spellEnd"/>
      <w:r>
        <w:rPr>
          <w:b w:val="0"/>
        </w:rPr>
        <w:t xml:space="preserve"> </w:t>
      </w:r>
      <w:proofErr w:type="spellStart"/>
      <w:r>
        <w:rPr>
          <w:b w:val="0"/>
        </w:rPr>
        <w:t>memegang</w:t>
      </w:r>
      <w:proofErr w:type="spellEnd"/>
      <w:r>
        <w:rPr>
          <w:b w:val="0"/>
        </w:rPr>
        <w:t xml:space="preserve"> </w:t>
      </w:r>
      <w:proofErr w:type="spellStart"/>
      <w:r w:rsidRPr="00346DEE">
        <w:rPr>
          <w:b w:val="0"/>
        </w:rPr>
        <w:t>peran</w:t>
      </w:r>
      <w:proofErr w:type="spellEnd"/>
      <w:r w:rsidRPr="00346DEE">
        <w:rPr>
          <w:b w:val="0"/>
        </w:rPr>
        <w:t xml:space="preserve"> </w:t>
      </w:r>
      <w:proofErr w:type="spellStart"/>
      <w:r w:rsidRPr="00346DEE">
        <w:rPr>
          <w:b w:val="0"/>
        </w:rPr>
        <w:t>penting</w:t>
      </w:r>
      <w:proofErr w:type="spellEnd"/>
      <w:r w:rsidRPr="00346DEE">
        <w:rPr>
          <w:b w:val="0"/>
        </w:rPr>
        <w:t xml:space="preserve"> </w:t>
      </w:r>
      <w:proofErr w:type="spellStart"/>
      <w:r w:rsidRPr="00346DEE">
        <w:rPr>
          <w:b w:val="0"/>
        </w:rPr>
        <w:t>terhadap</w:t>
      </w:r>
      <w:proofErr w:type="spellEnd"/>
      <w:r w:rsidRPr="00346DEE">
        <w:rPr>
          <w:b w:val="0"/>
        </w:rPr>
        <w:t xml:space="preserve"> </w:t>
      </w:r>
      <w:proofErr w:type="spellStart"/>
      <w:r w:rsidRPr="00346DEE">
        <w:rPr>
          <w:b w:val="0"/>
        </w:rPr>
        <w:t>pertumbuhan</w:t>
      </w:r>
      <w:proofErr w:type="spellEnd"/>
      <w:r w:rsidRPr="00346DEE">
        <w:rPr>
          <w:b w:val="0"/>
        </w:rPr>
        <w:t xml:space="preserve"> </w:t>
      </w:r>
      <w:proofErr w:type="spellStart"/>
      <w:r w:rsidRPr="00346DEE">
        <w:rPr>
          <w:b w:val="0"/>
        </w:rPr>
        <w:t>ekononomi</w:t>
      </w:r>
      <w:proofErr w:type="spellEnd"/>
      <w:r w:rsidR="00C86557" w:rsidRPr="00346DEE">
        <w:rPr>
          <w:b w:val="0"/>
          <w:i/>
        </w:rPr>
        <w:fldChar w:fldCharType="begin" w:fldLock="1"/>
      </w:r>
      <w:r w:rsidRPr="00346DEE">
        <w:rPr>
          <w:b w:val="0"/>
        </w:rPr>
        <w:instrText>ADDIN CSL_CITATION { "citationItems" : [ { "id" : "ITEM-1", "itemData" : { "abstract" : "Globalization, rapid Industrialization with overall development and volatile stock market has created an unparalleled competitive environment which is necessary for the rapid economic growth which implies a long term rise in per capita of nation. To match the ever growing economic appetite India requires huge investment which can be possible if nations saving are sound and investor are willing to challenge market risk. Ever since Indian economy opened its doors to liberalization and globalization which ultimately explored the financial market potential are prudent result of the foundations laid through the first and second generation reforms, contribution of Reserve Bank of India (RBI) and other policy maker due to which Indian banking industry witnessed radical changes, transformational regulatory requirements and enormous growth in terms of new products and services and overall competition. Thus for competitive survival banks depends on their profitability, efficient management, growth rate and the risk exposure which has a direct impact on its market potential. In the light of these recent developments, a systematic analysis of the profitability and overall performance of Indian scheduled commercial banks is inevitable. The present study attempts to analyze financial performance of ten selected Indian Commercial Banks like SBI, ICICI, Axis, HDFC, BOI, PNB, IDBI, UBI, BOB and Canara Bank during the period 2005-2010 using CAMEL methodology. The variables taken for the study are Capital Adequacy in which Capital Adequacy Ratio (CAR), Debt\u2013Equity Ratio (DER), Advance to Assets (ADV/AST), Asset Quality, in which (NNPAs), Management Efficiency in which Total Advances to Total Deposits (TA/TD), Profit Per Employee (PPE), Return on Net Worth (RONW), Earning Efficiency in which Percentage Growth in Net profit, Net Interest Margin (NIM), Non Interest Income / Total funds (NII/TF) and in Liquidity, Loans to Deposit Ratio (LDR), Liquid Assets / Total Assets (LA/TA) are been evaluated. The study brings out the competitiveness, effectiveness of selected major Commercial banks and in last conclusive remarks been given.", "author" : [ { "dropping-particle" : "", "family" : "Imran", "given" : "Syed", "non-dropping-particle" : "", "parse-names" : false, "suffix" : "" }, { "dropping-particle" : "", "family" : "Ali", "given" : "Nawab", "non-dropping-particle" : "", "parse-names" : false, "suffix" : "" }, { "dropping-particle" : "", "family" : "Quality", "given" : "Asset", "non-dropping-particle" : "", "parse-names" : false, "suffix" : "" }, { "dropping-particle" : "", "family" : "Employee", "given" : "Profit Per", "non-dropping-particle" : "", "parse-names" : false, "suffix" : "" }, { "dropping-particle" : "", "family" : "Efficiency", "given" : "Earning", "non-dropping-particle" : "", "parse-names" : false, "suffix" : "" }, { "dropping-particle" : "", "family" : "Interest", "given" : "Net", "non-dropping-particle" : "", "parse-names" : false, "suffix" : "" } ], "container-title" : "IMS Manthan", "id" : "ITEM-1", "issue" : "1", "issued" : { "date-parts" : [ [ "2012" ] ] }, "page" : "1-14", "title" : "A Study of Ten Indian Commercial Bank \u2019 s Financial Performance using CAMELS Methodology", "type" : "article-journal", "volume" : "VII" }, "uris" : [ "http://www.mendeley.com/documents/?uuid=ca6efa90-32fa-4311-8138-8bcd9612815c" ] } ], "mendeley" : { "formattedCitation" : "(Imran et al., 2012)", "plainTextFormattedCitation" : "(Imran et al., 2012)", "previouslyFormattedCitation" : "(Imran et al., 2012)" }, "properties" : { "noteIndex" : 1 }, "schema" : "https://github.com/citation-style-language/schema/raw/master/csl-citation.json" }</w:instrText>
      </w:r>
      <w:r w:rsidR="00C86557" w:rsidRPr="00346DEE">
        <w:rPr>
          <w:b w:val="0"/>
          <w:i/>
        </w:rPr>
        <w:fldChar w:fldCharType="separate"/>
      </w:r>
      <w:r w:rsidRPr="00346DEE">
        <w:rPr>
          <w:b w:val="0"/>
          <w:noProof/>
        </w:rPr>
        <w:t>(Imran et al., 2012)</w:t>
      </w:r>
      <w:r w:rsidR="00C86557" w:rsidRPr="00346DEE">
        <w:rPr>
          <w:b w:val="0"/>
          <w:i/>
        </w:rPr>
        <w:fldChar w:fldCharType="end"/>
      </w:r>
      <w:r>
        <w:rPr>
          <w:b w:val="0"/>
        </w:rPr>
        <w:t xml:space="preserve">, </w:t>
      </w:r>
      <w:proofErr w:type="spellStart"/>
      <w:r w:rsidRPr="00346DEE">
        <w:rPr>
          <w:b w:val="0"/>
        </w:rPr>
        <w:t>stabilitas</w:t>
      </w:r>
      <w:proofErr w:type="spellEnd"/>
      <w:r w:rsidRPr="00346DEE">
        <w:rPr>
          <w:b w:val="0"/>
        </w:rPr>
        <w:t xml:space="preserve"> Negara</w:t>
      </w:r>
      <w:r w:rsidRPr="00346DEE">
        <w:rPr>
          <w:b w:val="0"/>
          <w:lang w:val="id-ID"/>
        </w:rPr>
        <w:t xml:space="preserve"> dan </w:t>
      </w:r>
      <w:proofErr w:type="spellStart"/>
      <w:r w:rsidRPr="00346DEE">
        <w:rPr>
          <w:b w:val="0"/>
        </w:rPr>
        <w:t>diciptakan</w:t>
      </w:r>
      <w:proofErr w:type="spellEnd"/>
      <w:r w:rsidRPr="00346DEE">
        <w:rPr>
          <w:b w:val="0"/>
        </w:rPr>
        <w:t xml:space="preserve">  untuk  </w:t>
      </w:r>
      <w:proofErr w:type="spellStart"/>
      <w:r w:rsidRPr="00346DEE">
        <w:rPr>
          <w:b w:val="0"/>
        </w:rPr>
        <w:t>da</w:t>
      </w:r>
      <w:r>
        <w:rPr>
          <w:b w:val="0"/>
        </w:rPr>
        <w:t>pat</w:t>
      </w:r>
      <w:proofErr w:type="spellEnd"/>
      <w:r>
        <w:rPr>
          <w:b w:val="0"/>
        </w:rPr>
        <w:t xml:space="preserve">  </w:t>
      </w:r>
      <w:proofErr w:type="spellStart"/>
      <w:r>
        <w:rPr>
          <w:b w:val="0"/>
        </w:rPr>
        <w:t>melindungi</w:t>
      </w:r>
      <w:proofErr w:type="spellEnd"/>
      <w:r>
        <w:rPr>
          <w:b w:val="0"/>
        </w:rPr>
        <w:t xml:space="preserve"> </w:t>
      </w:r>
      <w:proofErr w:type="spellStart"/>
      <w:r>
        <w:rPr>
          <w:b w:val="0"/>
        </w:rPr>
        <w:t>kepentingan</w:t>
      </w:r>
      <w:proofErr w:type="spellEnd"/>
      <w:r>
        <w:rPr>
          <w:b w:val="0"/>
        </w:rPr>
        <w:t xml:space="preserve"> stakeholders </w:t>
      </w:r>
      <w:r w:rsidR="00C86557" w:rsidRPr="00346DEE">
        <w:rPr>
          <w:b w:val="0"/>
          <w:i/>
        </w:rPr>
        <w:fldChar w:fldCharType="begin" w:fldLock="1"/>
      </w:r>
      <w:r w:rsidRPr="00346DEE">
        <w:rPr>
          <w:b w:val="0"/>
        </w:rPr>
        <w:instrText>ADDIN CSL_CITATION { "citationItems" : [ { "id" : "ITEM-1", "itemData" : { "author" : [ { "dropping-particle" : "", "family" : "Governance", "given" : "Komite Nasional Kebijakan Corporate", "non-dropping-particle" : "", "parse-names" : false, "suffix" : "" } ], "id" : "ITEM-1", "issued" : { "date-parts" : [ [ "2010" ] ] }, "page" : "0-16", "title" : "Pedoman Good Corporate Governance Perbankan Indonesia", "type" : "legislation" }, "uris" : [ "http://www.mendeley.com/documents/?uuid=d7f0397f-0121-4470-8475-98de0977b876" ] } ], "mendeley" : { "formattedCitation" : "(Governance, 2010)", "plainTextFormattedCitation" : "(Governance, 2010)", "previouslyFormattedCitation" : "(Governance, 2010)" }, "properties" : { "noteIndex" : 0 }, "schema" : "https://github.com/citation-style-language/schema/raw/master/csl-citation.json" }</w:instrText>
      </w:r>
      <w:r w:rsidR="00C86557" w:rsidRPr="00346DEE">
        <w:rPr>
          <w:b w:val="0"/>
          <w:i/>
        </w:rPr>
        <w:fldChar w:fldCharType="separate"/>
      </w:r>
      <w:r w:rsidRPr="00346DEE">
        <w:rPr>
          <w:b w:val="0"/>
          <w:noProof/>
        </w:rPr>
        <w:t>(Governance, 2010)</w:t>
      </w:r>
      <w:r w:rsidR="00C86557" w:rsidRPr="00346DEE">
        <w:rPr>
          <w:b w:val="0"/>
          <w:i/>
        </w:rPr>
        <w:fldChar w:fldCharType="end"/>
      </w:r>
      <w:r w:rsidRPr="00346DEE">
        <w:rPr>
          <w:b w:val="0"/>
          <w:lang w:val="id-ID"/>
        </w:rPr>
        <w:t>. D</w:t>
      </w:r>
      <w:proofErr w:type="spellStart"/>
      <w:r w:rsidRPr="00346DEE">
        <w:rPr>
          <w:b w:val="0"/>
        </w:rPr>
        <w:t>alam</w:t>
      </w:r>
      <w:proofErr w:type="spellEnd"/>
      <w:r w:rsidRPr="00346DEE">
        <w:rPr>
          <w:b w:val="0"/>
        </w:rPr>
        <w:t xml:space="preserve"> </w:t>
      </w:r>
      <w:proofErr w:type="spellStart"/>
      <w:r w:rsidRPr="00346DEE">
        <w:rPr>
          <w:b w:val="0"/>
        </w:rPr>
        <w:t>melaksanakan</w:t>
      </w:r>
      <w:proofErr w:type="spellEnd"/>
      <w:r w:rsidRPr="00346DEE">
        <w:rPr>
          <w:b w:val="0"/>
        </w:rPr>
        <w:t xml:space="preserve"> </w:t>
      </w:r>
      <w:proofErr w:type="spellStart"/>
      <w:r w:rsidRPr="00346DEE">
        <w:rPr>
          <w:b w:val="0"/>
        </w:rPr>
        <w:t>aktivitasnya</w:t>
      </w:r>
      <w:proofErr w:type="spellEnd"/>
      <w:r w:rsidRPr="00346DEE">
        <w:rPr>
          <w:b w:val="0"/>
        </w:rPr>
        <w:t xml:space="preserve">, bank </w:t>
      </w:r>
      <w:proofErr w:type="spellStart"/>
      <w:r w:rsidRPr="00346DEE">
        <w:rPr>
          <w:b w:val="0"/>
        </w:rPr>
        <w:t>harus</w:t>
      </w:r>
      <w:proofErr w:type="spellEnd"/>
      <w:r w:rsidRPr="00346DEE">
        <w:rPr>
          <w:b w:val="0"/>
        </w:rPr>
        <w:t xml:space="preserve"> </w:t>
      </w:r>
      <w:proofErr w:type="spellStart"/>
      <w:r w:rsidRPr="00346DEE">
        <w:rPr>
          <w:b w:val="0"/>
        </w:rPr>
        <w:t>berpegang</w:t>
      </w:r>
      <w:proofErr w:type="spellEnd"/>
      <w:r w:rsidRPr="00346DEE">
        <w:rPr>
          <w:b w:val="0"/>
        </w:rPr>
        <w:t xml:space="preserve"> pada </w:t>
      </w:r>
      <w:proofErr w:type="spellStart"/>
      <w:r w:rsidRPr="00346DEE">
        <w:rPr>
          <w:b w:val="0"/>
        </w:rPr>
        <w:t>prinsip</w:t>
      </w:r>
      <w:proofErr w:type="spellEnd"/>
      <w:r w:rsidRPr="00346DEE">
        <w:rPr>
          <w:b w:val="0"/>
        </w:rPr>
        <w:t xml:space="preserve"> </w:t>
      </w:r>
      <w:r w:rsidRPr="00CE6158">
        <w:rPr>
          <w:b w:val="0"/>
        </w:rPr>
        <w:t>good corporate governance</w:t>
      </w:r>
      <w:r>
        <w:rPr>
          <w:b w:val="0"/>
        </w:rPr>
        <w:t xml:space="preserve"> </w:t>
      </w:r>
      <w:proofErr w:type="spellStart"/>
      <w:r>
        <w:rPr>
          <w:b w:val="0"/>
        </w:rPr>
        <w:t>yaitu</w:t>
      </w:r>
      <w:proofErr w:type="spellEnd"/>
      <w:r>
        <w:rPr>
          <w:b w:val="0"/>
        </w:rPr>
        <w:t xml:space="preserve">: </w:t>
      </w:r>
      <w:r w:rsidRPr="00EA1B67">
        <w:rPr>
          <w:b w:val="0"/>
        </w:rPr>
        <w:t xml:space="preserve">transparency, accountability, responsibility, independency </w:t>
      </w:r>
      <w:proofErr w:type="spellStart"/>
      <w:r w:rsidRPr="00EA1B67">
        <w:rPr>
          <w:b w:val="0"/>
        </w:rPr>
        <w:t>serta</w:t>
      </w:r>
      <w:proofErr w:type="spellEnd"/>
      <w:r w:rsidRPr="00EA1B67">
        <w:rPr>
          <w:b w:val="0"/>
        </w:rPr>
        <w:t xml:space="preserve"> </w:t>
      </w:r>
      <w:proofErr w:type="spellStart"/>
      <w:r w:rsidRPr="00EA1B67">
        <w:rPr>
          <w:b w:val="0"/>
        </w:rPr>
        <w:t>fairness</w:t>
      </w:r>
      <w:r w:rsidRPr="00346DEE">
        <w:rPr>
          <w:b w:val="0"/>
        </w:rPr>
        <w:t>.Persaingan</w:t>
      </w:r>
      <w:proofErr w:type="spellEnd"/>
      <w:r w:rsidRPr="00346DEE">
        <w:rPr>
          <w:b w:val="0"/>
        </w:rPr>
        <w:t xml:space="preserve"> industry </w:t>
      </w:r>
      <w:proofErr w:type="spellStart"/>
      <w:r w:rsidRPr="00346DEE">
        <w:rPr>
          <w:b w:val="0"/>
        </w:rPr>
        <w:t>keuangan</w:t>
      </w:r>
      <w:proofErr w:type="spellEnd"/>
      <w:r w:rsidRPr="00346DEE">
        <w:rPr>
          <w:b w:val="0"/>
        </w:rPr>
        <w:t xml:space="preserve"> dan </w:t>
      </w:r>
      <w:proofErr w:type="spellStart"/>
      <w:r w:rsidRPr="00346DEE">
        <w:rPr>
          <w:b w:val="0"/>
        </w:rPr>
        <w:t>perbankan</w:t>
      </w:r>
      <w:proofErr w:type="spellEnd"/>
      <w:r w:rsidRPr="00346DEE">
        <w:rPr>
          <w:b w:val="0"/>
        </w:rPr>
        <w:t xml:space="preserve"> di Indonesia </w:t>
      </w:r>
      <w:proofErr w:type="spellStart"/>
      <w:r w:rsidRPr="00346DEE">
        <w:rPr>
          <w:b w:val="0"/>
        </w:rPr>
        <w:t>sangat</w:t>
      </w:r>
      <w:proofErr w:type="spellEnd"/>
      <w:r w:rsidRPr="00346DEE">
        <w:rPr>
          <w:b w:val="0"/>
        </w:rPr>
        <w:t xml:space="preserve"> </w:t>
      </w:r>
      <w:proofErr w:type="spellStart"/>
      <w:r w:rsidRPr="00346DEE">
        <w:rPr>
          <w:b w:val="0"/>
        </w:rPr>
        <w:t>ketat</w:t>
      </w:r>
      <w:proofErr w:type="spellEnd"/>
      <w:r w:rsidRPr="00346DEE">
        <w:rPr>
          <w:b w:val="0"/>
        </w:rPr>
        <w:t xml:space="preserve">, </w:t>
      </w:r>
      <w:proofErr w:type="spellStart"/>
      <w:r w:rsidRPr="00346DEE">
        <w:rPr>
          <w:b w:val="0"/>
        </w:rPr>
        <w:t>serta</w:t>
      </w:r>
      <w:proofErr w:type="spellEnd"/>
      <w:r w:rsidRPr="00346DEE">
        <w:rPr>
          <w:b w:val="0"/>
        </w:rPr>
        <w:t xml:space="preserve"> </w:t>
      </w:r>
      <w:proofErr w:type="spellStart"/>
      <w:r w:rsidRPr="00346DEE">
        <w:rPr>
          <w:b w:val="0"/>
        </w:rPr>
        <w:t>tingkat</w:t>
      </w:r>
      <w:proofErr w:type="spellEnd"/>
      <w:r w:rsidRPr="00346DEE">
        <w:rPr>
          <w:b w:val="0"/>
        </w:rPr>
        <w:t xml:space="preserve"> </w:t>
      </w:r>
      <w:proofErr w:type="spellStart"/>
      <w:r w:rsidRPr="00346DEE">
        <w:rPr>
          <w:b w:val="0"/>
        </w:rPr>
        <w:t>kompleksitas</w:t>
      </w:r>
      <w:proofErr w:type="spellEnd"/>
      <w:r w:rsidRPr="00346DEE">
        <w:rPr>
          <w:b w:val="0"/>
        </w:rPr>
        <w:t xml:space="preserve"> yang </w:t>
      </w:r>
      <w:proofErr w:type="spellStart"/>
      <w:r w:rsidRPr="00346DEE">
        <w:rPr>
          <w:b w:val="0"/>
        </w:rPr>
        <w:t>tinggi</w:t>
      </w:r>
      <w:proofErr w:type="spellEnd"/>
      <w:r w:rsidRPr="00346DEE">
        <w:rPr>
          <w:b w:val="0"/>
        </w:rPr>
        <w:t xml:space="preserve">, </w:t>
      </w:r>
      <w:proofErr w:type="spellStart"/>
      <w:r w:rsidRPr="00346DEE">
        <w:rPr>
          <w:b w:val="0"/>
        </w:rPr>
        <w:t>sangat</w:t>
      </w:r>
      <w:proofErr w:type="spellEnd"/>
      <w:r w:rsidRPr="00346DEE">
        <w:rPr>
          <w:b w:val="0"/>
        </w:rPr>
        <w:t xml:space="preserve"> </w:t>
      </w:r>
      <w:proofErr w:type="spellStart"/>
      <w:r w:rsidRPr="00346DEE">
        <w:rPr>
          <w:b w:val="0"/>
        </w:rPr>
        <w:t>mempengaruhi</w:t>
      </w:r>
      <w:proofErr w:type="spellEnd"/>
      <w:r w:rsidRPr="00346DEE">
        <w:rPr>
          <w:b w:val="0"/>
        </w:rPr>
        <w:t xml:space="preserve"> </w:t>
      </w:r>
      <w:proofErr w:type="spellStart"/>
      <w:r w:rsidRPr="00346DEE">
        <w:rPr>
          <w:b w:val="0"/>
        </w:rPr>
        <w:t>kinerja</w:t>
      </w:r>
      <w:proofErr w:type="spellEnd"/>
      <w:r w:rsidRPr="00346DEE">
        <w:rPr>
          <w:b w:val="0"/>
        </w:rPr>
        <w:t xml:space="preserve"> bank. </w:t>
      </w:r>
      <w:proofErr w:type="spellStart"/>
      <w:r w:rsidRPr="00346DEE">
        <w:rPr>
          <w:b w:val="0"/>
        </w:rPr>
        <w:t>Kompleksitas</w:t>
      </w:r>
      <w:proofErr w:type="spellEnd"/>
      <w:r w:rsidRPr="00346DEE">
        <w:rPr>
          <w:b w:val="0"/>
        </w:rPr>
        <w:t xml:space="preserve"> </w:t>
      </w:r>
      <w:proofErr w:type="spellStart"/>
      <w:r w:rsidRPr="00346DEE">
        <w:rPr>
          <w:b w:val="0"/>
        </w:rPr>
        <w:lastRenderedPageBreak/>
        <w:t>bisnis</w:t>
      </w:r>
      <w:proofErr w:type="spellEnd"/>
      <w:r w:rsidRPr="00346DEE">
        <w:rPr>
          <w:b w:val="0"/>
        </w:rPr>
        <w:t xml:space="preserve"> </w:t>
      </w:r>
      <w:proofErr w:type="spellStart"/>
      <w:r w:rsidRPr="00346DEE">
        <w:rPr>
          <w:b w:val="0"/>
        </w:rPr>
        <w:t>lembaga</w:t>
      </w:r>
      <w:proofErr w:type="spellEnd"/>
      <w:r w:rsidRPr="00346DEE">
        <w:rPr>
          <w:b w:val="0"/>
        </w:rPr>
        <w:t xml:space="preserve"> </w:t>
      </w:r>
      <w:proofErr w:type="spellStart"/>
      <w:r w:rsidRPr="00346DEE">
        <w:rPr>
          <w:b w:val="0"/>
        </w:rPr>
        <w:t>keuangan</w:t>
      </w:r>
      <w:proofErr w:type="spellEnd"/>
      <w:r w:rsidRPr="00346DEE">
        <w:rPr>
          <w:b w:val="0"/>
        </w:rPr>
        <w:t xml:space="preserve"> dan </w:t>
      </w:r>
      <w:proofErr w:type="spellStart"/>
      <w:r w:rsidRPr="00346DEE">
        <w:rPr>
          <w:b w:val="0"/>
        </w:rPr>
        <w:t>perbankan</w:t>
      </w:r>
      <w:proofErr w:type="spellEnd"/>
      <w:r w:rsidRPr="00346DEE">
        <w:rPr>
          <w:b w:val="0"/>
        </w:rPr>
        <w:t xml:space="preserve"> yang </w:t>
      </w:r>
      <w:proofErr w:type="spellStart"/>
      <w:r w:rsidRPr="00346DEE">
        <w:rPr>
          <w:b w:val="0"/>
        </w:rPr>
        <w:t>tinggi</w:t>
      </w:r>
      <w:proofErr w:type="spellEnd"/>
      <w:r w:rsidRPr="00346DEE">
        <w:rPr>
          <w:b w:val="0"/>
        </w:rPr>
        <w:t xml:space="preserve"> </w:t>
      </w:r>
      <w:proofErr w:type="spellStart"/>
      <w:r w:rsidRPr="00346DEE">
        <w:rPr>
          <w:b w:val="0"/>
        </w:rPr>
        <w:t>dapat</w:t>
      </w:r>
      <w:proofErr w:type="spellEnd"/>
      <w:r w:rsidRPr="00346DEE">
        <w:rPr>
          <w:b w:val="0"/>
        </w:rPr>
        <w:t xml:space="preserve"> </w:t>
      </w:r>
      <w:proofErr w:type="spellStart"/>
      <w:r w:rsidRPr="00346DEE">
        <w:rPr>
          <w:b w:val="0"/>
        </w:rPr>
        <w:t>meningkatkan</w:t>
      </w:r>
      <w:proofErr w:type="spellEnd"/>
      <w:r w:rsidRPr="00346DEE">
        <w:rPr>
          <w:b w:val="0"/>
        </w:rPr>
        <w:t xml:space="preserve"> </w:t>
      </w:r>
      <w:proofErr w:type="spellStart"/>
      <w:r w:rsidRPr="00346DEE">
        <w:rPr>
          <w:b w:val="0"/>
        </w:rPr>
        <w:t>risiko</w:t>
      </w:r>
      <w:proofErr w:type="spellEnd"/>
      <w:r w:rsidRPr="00346DEE">
        <w:rPr>
          <w:b w:val="0"/>
        </w:rPr>
        <w:t xml:space="preserve"> </w:t>
      </w:r>
      <w:proofErr w:type="spellStart"/>
      <w:r w:rsidRPr="00346DEE">
        <w:rPr>
          <w:b w:val="0"/>
        </w:rPr>
        <w:t>lembaga</w:t>
      </w:r>
      <w:proofErr w:type="spellEnd"/>
      <w:r w:rsidRPr="00346DEE">
        <w:rPr>
          <w:b w:val="0"/>
        </w:rPr>
        <w:t xml:space="preserve"> </w:t>
      </w:r>
      <w:proofErr w:type="spellStart"/>
      <w:r w:rsidRPr="00346DEE">
        <w:rPr>
          <w:b w:val="0"/>
        </w:rPr>
        <w:t>keuangan</w:t>
      </w:r>
      <w:proofErr w:type="spellEnd"/>
      <w:r w:rsidRPr="00346DEE">
        <w:rPr>
          <w:b w:val="0"/>
        </w:rPr>
        <w:t xml:space="preserve"> dan </w:t>
      </w:r>
      <w:proofErr w:type="spellStart"/>
      <w:r w:rsidRPr="00346DEE">
        <w:rPr>
          <w:b w:val="0"/>
        </w:rPr>
        <w:t>perbankan</w:t>
      </w:r>
      <w:proofErr w:type="spellEnd"/>
      <w:r w:rsidRPr="00346DEE">
        <w:rPr>
          <w:b w:val="0"/>
        </w:rPr>
        <w:t xml:space="preserve"> di Indonesia. </w:t>
      </w:r>
    </w:p>
    <w:p w:rsidR="00193D1C" w:rsidRPr="00346DEE" w:rsidRDefault="006845D3" w:rsidP="00193D1C">
      <w:pPr>
        <w:jc w:val="both"/>
        <w:rPr>
          <w:rFonts w:ascii="Book Antiqua" w:hAnsi="Book Antiqua"/>
          <w:sz w:val="24"/>
          <w:szCs w:val="24"/>
        </w:rPr>
      </w:pPr>
      <w:r w:rsidRPr="00346DEE">
        <w:rPr>
          <w:rFonts w:ascii="Times New Roman" w:hAnsi="Times New Roman"/>
          <w:sz w:val="24"/>
          <w:szCs w:val="24"/>
        </w:rPr>
        <w:t>Rendahnya kinerja bank dapat mempengaruhi kepercayaan masyarakat, investor, dunia usaha dan pemerintah. Oleh karenanya, perbankan termasuk bank-bank Syariah perlu secara konsisten meningkatkan kinerjanya. Salah satu ukuran kinerja perbankan yang</w:t>
      </w:r>
      <w:r w:rsidR="00193D1C">
        <w:rPr>
          <w:rFonts w:ascii="Times New Roman" w:hAnsi="Times New Roman"/>
          <w:sz w:val="24"/>
          <w:szCs w:val="24"/>
        </w:rPr>
        <w:t xml:space="preserve"> </w:t>
      </w:r>
      <w:r w:rsidR="00193D1C" w:rsidRPr="00346DEE">
        <w:rPr>
          <w:rFonts w:ascii="Times New Roman" w:hAnsi="Times New Roman"/>
          <w:sz w:val="24"/>
          <w:szCs w:val="24"/>
        </w:rPr>
        <w:t xml:space="preserve">penting baik untuk investor maupun manajemen adalah profitabilitas. Secara umum, semakin tinggi tingkat profitabilitasnya maka semakin baik kinerja bank tersebut.Profitabilitas menggambarkan stabilitas dan kinerja perbankan </w:t>
      </w:r>
      <w:r w:rsidR="00C86557" w:rsidRPr="00346DEE">
        <w:rPr>
          <w:rFonts w:ascii="Times New Roman" w:hAnsi="Times New Roman"/>
          <w:sz w:val="24"/>
          <w:szCs w:val="24"/>
        </w:rPr>
        <w:fldChar w:fldCharType="begin" w:fldLock="1"/>
      </w:r>
      <w:r w:rsidR="00193D1C">
        <w:rPr>
          <w:rFonts w:ascii="Times New Roman" w:hAnsi="Times New Roman"/>
          <w:sz w:val="24"/>
          <w:szCs w:val="24"/>
        </w:rPr>
        <w:instrText>ADDIN CSL_CITATION { "citationItems" : [ { "id" : "ITEM-1", "itemData" : { "DOI" : "10.1108/IMEFM-12-2014-0120", "ISBN" : "1220140120", "abstract" : "Abstract Purpose \u2013 The purpose of this paper is to ascertain whether Islamic bank profitability is driven by same forces as those driving conventional banking in the Middle East and North Africa(MENA)region. Distinguished by its principles in conformity with sharia, Islamic banking is different from conventional banking, which is likely to affect profitability. Design/methodology/approach \u2013 The paper builds on a dynamic panel data model to identify the banks\u2019 specific determinants and the macroeconomic factors influencing the profitability of a large sample of 51 Islamic banks operating in the MENA region from 1994 to 2012. The system-generalized method of moment estimators are applied. Findings \u2013 The findings reveal that profitability is positively affected by banks\u2019 cost-effectiveness, asset quality and level of capitalization. The results also indicate that non-financing activities allow Islamic banks to earn higher profits. Islamic banks perform better in environments where the gross domestic product and investment are high. There is evidence of several elements of similarities between determinants of the profitability for Islamic and conventional banks. The inflation rate, however, is negatively associated with Islamic bank profitability. Practical Implications \u2013 The authors conclude that profitability determinants did not differ significantly between Islamic and conventional banks.Manyfactors are deemed the same in explaining the profitability of conventional as well as Islamic banks. The findings reported in the current paper might be of interest for policy makers. It is recommended to better implement non-financing activities to improve Islamic bank profitability. Originality/value \u2013 Unlike the previous empirical research, this empirical investigation assesses the issue whether Islamic banks profitability is influenced by same factors as conventional model. It enriches the literature in this regard by considering the specificities of Islamic banking to identify the determinants of profitability. Moreover, this study considers a large sample (51 Islamic banks) through a different selection of countries/banks than previous studies. In addition, the period of study considers the subprime crisis insofar it ranges from 1994 to 2012. Hence, this broader study allows the authors to draw more consistent conclusions", "author" : [ { "dropping-particle" : "", "family" : "Zarrouk", "given" : "Hajer", "non-dropping-particle" : "", "parse-names" : false, "suffix" : "" }, { "dropping-particle" : "Ben", "family" : "Jedidia", "given" : "Khoutem", "non-dropping-particle" : "", "parse-names" : false, "suffix" : "" }, { "dropping-particle" : "", "family" : "Moualhi", "given" : "Mouna", "non-dropping-particle" : "", "parse-names" : false, "suffix" : "" } ], "container-title" : "International Journal of Islamic and Middle Eastern Finance and Management", "id" : "ITEM-1", "issue" : "1", "issued" : { "date-parts" : [ [ "2016" ] ] }, "page" : "46-65", "title" : "Is Islamic bank profitability driven by same forces as conventional banks ?", "type" : "article-journal", "volume" : "9" }, "uris" : [ "http://www.mendeley.com/documents/?uuid=154d1a19-041c-4a7c-afda-8c66e6f61494" ] } ], "mendeley" : { "formattedCitation" : "(Zarrouk et al., 2016)", "plainTextFormattedCitation" : "(Zarrouk et al., 2016)", "previouslyFormattedCitation" : "(Zarrouk et al., 2016)" }, "properties" : { "noteIndex" : 1 }, "schema" : "https://github.com/citation-style-language/schema/raw/master/csl-citation.json" }</w:instrText>
      </w:r>
      <w:r w:rsidR="00C86557" w:rsidRPr="00346DEE">
        <w:rPr>
          <w:rFonts w:ascii="Times New Roman" w:hAnsi="Times New Roman"/>
          <w:sz w:val="24"/>
          <w:szCs w:val="24"/>
        </w:rPr>
        <w:fldChar w:fldCharType="separate"/>
      </w:r>
      <w:r w:rsidR="00193D1C" w:rsidRPr="007544C9">
        <w:rPr>
          <w:rFonts w:ascii="Times New Roman" w:hAnsi="Times New Roman"/>
          <w:noProof/>
          <w:sz w:val="24"/>
          <w:szCs w:val="24"/>
        </w:rPr>
        <w:t>(Zarrouk et al., 2016)</w:t>
      </w:r>
      <w:r w:rsidR="00C86557" w:rsidRPr="00346DEE">
        <w:rPr>
          <w:rFonts w:ascii="Times New Roman" w:hAnsi="Times New Roman"/>
          <w:sz w:val="24"/>
          <w:szCs w:val="24"/>
        </w:rPr>
        <w:fldChar w:fldCharType="end"/>
      </w:r>
      <w:r w:rsidR="00193D1C" w:rsidRPr="00346DEE">
        <w:rPr>
          <w:rFonts w:ascii="Times New Roman" w:hAnsi="Times New Roman"/>
          <w:sz w:val="24"/>
          <w:szCs w:val="24"/>
        </w:rPr>
        <w:t>. Dua rasio yang lazim digunakan untuk mengukur profitabilitas adalah ROE (</w:t>
      </w:r>
      <w:r w:rsidR="00193D1C" w:rsidRPr="00346DEE">
        <w:rPr>
          <w:rFonts w:ascii="Times New Roman" w:hAnsi="Times New Roman"/>
          <w:i/>
          <w:sz w:val="24"/>
          <w:szCs w:val="24"/>
        </w:rPr>
        <w:t xml:space="preserve">return on equity) dan </w:t>
      </w:r>
      <w:r w:rsidR="00193D1C" w:rsidRPr="00346DEE">
        <w:rPr>
          <w:rFonts w:ascii="Times New Roman" w:hAnsi="Times New Roman"/>
          <w:sz w:val="24"/>
          <w:szCs w:val="24"/>
        </w:rPr>
        <w:t>ROA (</w:t>
      </w:r>
      <w:r w:rsidR="00193D1C" w:rsidRPr="00346DEE">
        <w:rPr>
          <w:rFonts w:ascii="Times New Roman" w:hAnsi="Times New Roman"/>
          <w:i/>
          <w:sz w:val="24"/>
          <w:szCs w:val="24"/>
        </w:rPr>
        <w:t>return on asset).</w:t>
      </w:r>
    </w:p>
    <w:p w:rsidR="00193D1C" w:rsidRPr="00346DEE" w:rsidRDefault="00193D1C" w:rsidP="00193D1C">
      <w:pPr>
        <w:jc w:val="both"/>
        <w:rPr>
          <w:rFonts w:ascii="Times New Roman" w:hAnsi="Times New Roman"/>
          <w:sz w:val="24"/>
          <w:szCs w:val="24"/>
        </w:rPr>
      </w:pPr>
      <w:r w:rsidRPr="00346DEE">
        <w:rPr>
          <w:rFonts w:ascii="Times New Roman" w:hAnsi="Times New Roman"/>
          <w:sz w:val="24"/>
          <w:szCs w:val="24"/>
        </w:rPr>
        <w:t xml:space="preserve">Hasil </w:t>
      </w:r>
      <w:r w:rsidRPr="005E24E4">
        <w:rPr>
          <w:rFonts w:ascii="Times New Roman" w:hAnsi="Times New Roman"/>
          <w:sz w:val="24"/>
          <w:szCs w:val="24"/>
        </w:rPr>
        <w:t>studi</w:t>
      </w:r>
      <w:r w:rsidR="00C86557">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"10.1007/BF01733817", "abstract" : "This study examines the effects of management controlled variables on the performance of Islamic banks. Management controlled variables are related to assets, liabilities and expenses management. This study indicates that three major investment activities are revenue generating activities for Islamic banks, whereas savings and investment deposits are costs to the banks. As expected, total expenses are positively correlated with profitability.", "author" : [ { "dropping-particle" : "", "family" : "Haron", "given" : "Sudin", "non-dropping-particle" : "", "parse-names" : false, "suffix" : "" } ], "container-title" : "Asia Pacific Journal of Management", "id" : "ITEM-1", "issue" : "2", "issued" : { "date-parts" : [ [ "1996" ] ] }, "page" : "63-76", "title" : "The effects of management policy on the performance of Islamic banks", "type" : "article-journal", "volume" : "13" }, "uris" : [ "http://www.mendeley.com/documents/?uuid=9999b81e-2d78-4875-96d9-face657ff99f" ] } ], "mendeley" : { "formattedCitation" : "(Haron, 1996)", "plainTextFormattedCitation" : "(Haron, 1996)", "previouslyFormattedCitation" : "(Haron, 1996)" }, "properties" : { "noteIndex" : 2 }, "schema" : "https://github.com/citation-style-language/schema/raw/master/csl-citation.json" }</w:instrText>
      </w:r>
      <w:r w:rsidR="00C86557">
        <w:rPr>
          <w:rFonts w:ascii="Times New Roman" w:hAnsi="Times New Roman"/>
          <w:sz w:val="24"/>
          <w:szCs w:val="24"/>
        </w:rPr>
        <w:fldChar w:fldCharType="separate"/>
      </w:r>
      <w:r w:rsidRPr="007544C9">
        <w:rPr>
          <w:rFonts w:ascii="Times New Roman" w:hAnsi="Times New Roman"/>
          <w:noProof/>
          <w:sz w:val="24"/>
          <w:szCs w:val="24"/>
        </w:rPr>
        <w:t>(Haron, 1996)</w:t>
      </w:r>
      <w:r w:rsidR="00C86557">
        <w:rPr>
          <w:rFonts w:ascii="Times New Roman" w:hAnsi="Times New Roman"/>
          <w:sz w:val="24"/>
          <w:szCs w:val="24"/>
        </w:rPr>
        <w:fldChar w:fldCharType="end"/>
      </w:r>
      <w:r w:rsidRPr="00346DEE">
        <w:rPr>
          <w:rFonts w:ascii="Times New Roman" w:hAnsi="Times New Roman"/>
          <w:sz w:val="24"/>
          <w:szCs w:val="24"/>
        </w:rPr>
        <w:t xml:space="preserve">menyimpulkan bahwa profitability </w:t>
      </w:r>
      <w:r w:rsidRPr="00346DEE">
        <w:rPr>
          <w:rFonts w:ascii="Times New Roman" w:hAnsi="Times New Roman"/>
          <w:i/>
          <w:sz w:val="24"/>
          <w:szCs w:val="24"/>
        </w:rPr>
        <w:t>Islamic bank dipengaruhi oleh liquidity, total expenditures, funds invested in Islamic securities</w:t>
      </w:r>
      <w:r w:rsidRPr="00346DEE">
        <w:rPr>
          <w:rFonts w:ascii="Times New Roman" w:hAnsi="Times New Roman"/>
          <w:sz w:val="24"/>
          <w:szCs w:val="24"/>
        </w:rPr>
        <w:t xml:space="preserve">, prosentase </w:t>
      </w:r>
      <w:r w:rsidRPr="00346DEE">
        <w:rPr>
          <w:rFonts w:ascii="Times New Roman" w:hAnsi="Times New Roman"/>
          <w:i/>
          <w:sz w:val="24"/>
          <w:szCs w:val="24"/>
        </w:rPr>
        <w:t>profit-sharing ratio</w:t>
      </w:r>
      <w:r w:rsidRPr="00346DEE">
        <w:rPr>
          <w:rFonts w:ascii="Times New Roman" w:hAnsi="Times New Roman"/>
          <w:sz w:val="24"/>
          <w:szCs w:val="24"/>
        </w:rPr>
        <w:t xml:space="preserve"> antara bank dan debitur, </w:t>
      </w:r>
      <w:r w:rsidRPr="00346DEE">
        <w:rPr>
          <w:rFonts w:ascii="Times New Roman" w:hAnsi="Times New Roman"/>
          <w:i/>
          <w:sz w:val="24"/>
          <w:szCs w:val="24"/>
        </w:rPr>
        <w:t>interest rates, market share, dan bank size, total capital, money supply</w:t>
      </w:r>
      <w:r w:rsidRPr="00346DEE">
        <w:rPr>
          <w:rFonts w:ascii="Times New Roman" w:hAnsi="Times New Roman"/>
          <w:color w:val="FF0000"/>
          <w:sz w:val="24"/>
          <w:szCs w:val="24"/>
        </w:rPr>
        <w:t xml:space="preserve">. </w:t>
      </w:r>
      <w:r w:rsidRPr="00346DEE">
        <w:rPr>
          <w:rFonts w:ascii="Times New Roman" w:hAnsi="Times New Roman"/>
          <w:sz w:val="24"/>
          <w:szCs w:val="24"/>
        </w:rPr>
        <w:t xml:space="preserve">Studi selanjutnya menemukan fakta bahwa kinerja perbankan dipengaruhi oleh </w:t>
      </w:r>
      <w:r w:rsidRPr="00346DEE">
        <w:rPr>
          <w:rFonts w:ascii="Times New Roman" w:hAnsi="Times New Roman"/>
          <w:i/>
          <w:sz w:val="24"/>
          <w:szCs w:val="24"/>
        </w:rPr>
        <w:t>Credit Risk</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"author" : [ { "dropping-particle" : "", "family" : "Boahene, S. H., Dasah, J. and Agyei", "given" : "S. K", "non-dropping-particle" : "", "parse-names" : false, "suffix" : "" } ], "container-title" : "Research Journal of Finance and Accounting", "id" : "ITEM-1", "issue" : "7", "issued" : { "date-parts" : [ [ "2012" ] ] }, "page" : "6-14", "title" : "Credit risk and profitability of selected banks in Ghana", "type" : "article-journal", "volume" : "3" }, "uris" : [ "http://www.mendeley.com/documents/?uuid=9c62bb72-e466-481e-bb95-bb8851b86732" ] } ], "mendeley" : { "formattedCitation" : "(Boahene, S. H., Dasah, J. and Agyei, 2012)", "plainTextFormattedCitation" : "(Boahene, S. H., Dasah, J. and Agyei, 2012)", "previouslyFormattedCitation" : "(Boahene, S. H., Dasah, J. and Agyei, 2012)"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(Boahene, S. H., Dasah, J. and Agyei, 2012)</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karena resiko kredit memerlukan perhatian khusus seluruh lembaga keuangan </w:t>
      </w:r>
      <w:r w:rsidR="00C86557" w:rsidRPr="00346DEE">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"This study aims to find and analysis factors that influences credit risk of financial institutions in Indonesia. The factors that influences credit risk are suspected by liquidity, profitability, productivity and leverage. Methodology that researcher used is explanatory with the technic collecting data sourced from financial institutions that are listed on the Indonesia stock exchange. The data used in this research is data time series of quarterly financial reporting data from the 2008-2016 financing company. And then, researcher analyzed data by using multiple regression analysis. The result of analysis shows that profitability and leverage ratios have a positive effect on credit risk, while the ratio of liquidity and productivity has a negative effect on credit risk.", "author" : [ { "dropping-particle" : "", "family" : "Supiyadi", "given" : "Dedi", "non-dropping-particle" : "", "parse-names" : false, "suffix" : "" }, { "dropping-particle" : "", "family" : "Machmud", "given" : "Amir", "non-dropping-particle" : "", "parse-names" : false, "suffix" : "" }, { "dropping-particle" : "", "family" : "Dodi", "given" : "Dodi", "non-dropping-particle" : "", "parse-names" : false, "suffix" : "" } ], "container-title" : "Paper Presented At The 2nd International Conference On Economic Education And Entrepreneurship (Iceee 2017), August 03, 2017", "id" : "ITEM-1", "issued" : { "date-parts" : [ [ "2017" ] ] }, "page" : "1-7", "title" : "Factors That Influences Credit Risk of Financing Institutions In Indonesia", "type" : "article-journal", "volume" : "1" }, "uris" : [ "http://www.mendeley.com/documents/?uuid=42ea2aff-213a-4d3a-a48a-bcf6df3a6dd7" ] } ], "mendeley" : { "formattedCitation" : "(Supiyadi et al., 2017)", "plainTextFormattedCitation" : "(Supiyadi et al., 2017)", "previouslyFormattedCitation" : "(Supiyadi et al., 2017)" }, "properties" : { "noteIndex" : 1 }, "schema" : "https://github.com/citation-style-language/schema/raw/master/csl-citation.json" }</w:instrText>
      </w:r>
      <w:r w:rsidR="00C86557" w:rsidRPr="00346DEE">
        <w:rPr>
          <w:rFonts w:ascii="Times New Roman" w:hAnsi="Times New Roman"/>
          <w:sz w:val="24"/>
          <w:szCs w:val="24"/>
        </w:rPr>
        <w:fldChar w:fldCharType="separate"/>
      </w:r>
      <w:r w:rsidRPr="007544C9">
        <w:rPr>
          <w:rFonts w:ascii="Times New Roman" w:hAnsi="Times New Roman"/>
          <w:noProof/>
          <w:sz w:val="24"/>
          <w:szCs w:val="24"/>
        </w:rPr>
        <w:t>(Supiyadi et al., 2017)</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Bank sebagai lembaga penyalur kredit merupakan lembaga yang memiliki tingkat Credit Risk yang paling tinggi, salah satu penyebabnya adalah ketidakmampuan membayar debitur, dan resiko tertinggi lembaga keuangan bersumber dari pinjaman. </w:t>
      </w:r>
      <w:r w:rsidR="00C86557" w:rsidRPr="00346DEE">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"Abstract Banks operate in an environment of considerable risks and uncertainty. Credit risk has always been a vicinity of concern not only to bankers but to all in the business world because the risks of a trading partner not fulfilling his obligations in full on due date can seriously jeopardize the affairs of the other partner. Credit risk management in banks has become more important not only because of the series of financial crisis that the world has experienced in the recent past, but also the introduction of Basel II Accord.", "author" : [ { "dropping-particle" : "", "family" : "Aduda", "given" : "Josiah", "non-dropping-particle" : "", "parse-names" : false, "suffix" : "" }, { "dropping-particle" : "", "family" : "Gitonga", "given" : "James", "non-dropping-particle" : "", "parse-names" : false, "suffix" : "" } ], "container-title" : "Journal of Modern Accounting and Auditing", "id" : "ITEM-1", "issue" : "9", "issued" : { "date-parts" : [ [ "2011" ] ] }, "page" : "934", "title" : "The relationship between credit risk management and profitability among the commercial banks in Kenya", "type" : "article-journal", "volume" : "7" }, "uris" : [ "http://www.mendeley.com/documents/?uuid=33bf5469-3537-4948-9740-13e5c4a258aa" ] } ], "mendeley" : { "formattedCitation" : "(Aduda and Gitonga, 2011)", "plainTextFormattedCitation" : "(Aduda and Gitonga, 2011)", "previouslyFormattedCitation" : "(Aduda and Gitonga, 2011)"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7544C9">
        <w:rPr>
          <w:rFonts w:ascii="Times New Roman" w:hAnsi="Times New Roman"/>
          <w:noProof/>
          <w:sz w:val="24"/>
          <w:szCs w:val="24"/>
        </w:rPr>
        <w:t>(Aduda and Gitonga, 2011)</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mengatakan bahwa resiko kredit bank terdiri dari </w:t>
      </w:r>
      <w:r w:rsidRPr="00346DEE">
        <w:rPr>
          <w:rFonts w:ascii="Times New Roman" w:hAnsi="Times New Roman"/>
          <w:i/>
          <w:sz w:val="24"/>
          <w:szCs w:val="24"/>
        </w:rPr>
        <w:t>acceptance, inter-bank transactions, trade financing, foreign exchange transactions, futures, swaps, options and guarantees</w:t>
      </w:r>
      <w:r w:rsidRPr="00346DEE">
        <w:rPr>
          <w:rFonts w:ascii="Times New Roman" w:hAnsi="Times New Roman"/>
          <w:sz w:val="24"/>
          <w:szCs w:val="24"/>
        </w:rPr>
        <w:t xml:space="preserve">. Resiko kredit tinggi tidak hanya bersumber dari aktivitas Bank Investasi sendiri akan tetapi bersumber dari </w:t>
      </w:r>
      <w:r w:rsidRPr="00346DEE">
        <w:rPr>
          <w:rFonts w:ascii="Times New Roman" w:hAnsi="Times New Roman"/>
          <w:i/>
          <w:sz w:val="24"/>
          <w:szCs w:val="24"/>
        </w:rPr>
        <w:t>Credit Risk, Liquidity Risk dan Market Risk</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"abstract" : "One of the most important functions of banks is the transformation of maturities, i.e. the ability to obtain funding from short term deposits so as to finance loans over a longer term. As a result of such behaviour, banks are exposed to liquidity risk. Liquidity risk occurs when a bank is unable to cover its financial obligation when it is due without bearing any costs. Hence, liquidity risk management can be defined as a regular process to guarantee that the expected and unexpected cash needs can be met at reasonable costs. While, on the liability side, liquidity risk arises when depositors withdraw their money at once or in large amounts, on the asset side, banks are vulnerable to liquidity risk if the demand in loans increases. Hence, this research provides an overview of the authentic principles of the Shari\u2019ah and the main guidelines of Islamic finance with relation to liquidity risk. In addition, attention is focused on the undertaking of specific techniques and policies as well as the initiation special types of supervision to provide high-quality services so as to satisfy the spiritual and objectives of Islamic finance and subsequently to develop a better understanding of liquidity risk management.", "author" : [ { "dropping-particle" : "", "family" : "Mohammad", "given" : "Sabri", "non-dropping-particle" : "", "parse-names" : false, "suffix" : "" } ], "container-title" : "Afro Eurasian Studies", "id" : "ITEM-1", "issue" : "1-2", "issued" : { "date-parts" : [ [ "2013" ] ] }, "page" : "215-230", "title" : "Liquidity Risk Management in Islamic Banks: A Survey", "type" : "article-journal", "volume" : "1" }, "uris" : [ "http://www.mendeley.com/documents/?uuid=8e2a928c-0db1-4f56-b8b5-abf7aba3012f" ] } ], "mendeley" : { "formattedCitation" : "(Mohammad, 2013)", "plainTextFormattedCitation" : "(Mohammad, 2013)", "previouslyFormattedCitation" : "(Mohammad, 2013)"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(Mohammad, 2013)</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keduanya penting untuk diperhatikan dalam rangka menjaga kinerja perusahaan </w:t>
      </w:r>
      <w:r w:rsidR="00C86557" w:rsidRPr="00346DEE">
        <w:rPr>
          <w:rFonts w:ascii="Times New Roman" w:hAnsi="Times New Roman"/>
          <w:b/>
          <w:sz w:val="24"/>
          <w:szCs w:val="24"/>
        </w:rPr>
        <w:fldChar w:fldCharType="begin" w:fldLock="1"/>
      </w:r>
      <w:r>
        <w:rPr>
          <w:rFonts w:ascii="Times New Roman" w:hAnsi="Times New Roman"/>
          <w:b/>
          <w:sz w:val="24"/>
          <w:szCs w:val="24"/>
        </w:rPr>
        <w:instrText>ADDIN CSL_CITATION { "citationItems" : [ { "id" : "ITEM-1", "itemData" : { "DOI" : "10.1016/j.ribaf.2017.07.113", "ISSN" : "0275-5319", "abstract" : "The aim of this paper is to investigate the determinants and the joint relationship between capital, risk and liquidity of conventional and Islamic banks. Particularly, we focus on the impact of financial and political instabilities on the risk-taking behavior of conventional and Islamic banks. Using the simultaneous equation model with partial adjustment, we find a positive bidirectional relationship between capital and risk of Islamic banks. Moreover, results highlight the risky aspect of this category of banks mainly caused by the type of contracts put in practice, obeying Sharia principles, such as Moudharaba and Moucharaka contracts. Also, changes in liquidity affect positively risk within Islamic and conventional banks, suggesting that both types of banks, by accumulating liquid assets; tend to have relatively riskier portfolios. Moreover, we find a significant impact of the Global financial crisis on the capital, risk and liquidity of conventional and Islamic banks.", "author" : [ { "dropping-particle" : "", "family" : "Ben", "given" : "Ines", "non-dropping-particle" : "", "parse-names" : false, "suffix" : "" }, { "dropping-particle" : "", "family" : "Mahdi", "given" : "Salah", "non-dropping-particle" : "", "parse-names" : false, "suffix" : "" }, { "dropping-particle" : "", "family" : "Abbes", "given" : "Mouna Boujelbene", "non-dropping-particle" : "", "parse-names" : false, "suffix" : "" } ], "container-title" : "Research in International Business and Finance", "id" : "ITEM-1", "issued" : { "date-parts" : [ [ "2017" ] ] }, "page" : "1-21", "publisher" : "Elsevier B.V.", "title" : "Relationship between Capital , Risk and Liquidity A comparative study between Islamic and conventional banks in MENA region", "type" : "article-journal" }, "uris" : [ "http://www.mendeley.com/documents/?uuid=391058f0-12ce-45f7-84c4-85f403defb58" ] } ], "mendeley" : { "formattedCitation" : "(Ben et al., 2017)", "plainTextFormattedCitation" : "(Ben et al., 2017)", "previouslyFormattedCitation" : "(Ben et al., 2017)" }, "properties" : { "noteIndex" : 2 }, "schema" : "https://github.com/citation-style-language/schema/raw/master/csl-citation.json" }</w:instrText>
      </w:r>
      <w:r w:rsidR="00C86557" w:rsidRPr="00346DEE">
        <w:rPr>
          <w:rFonts w:ascii="Times New Roman" w:hAnsi="Times New Roman"/>
          <w:b/>
          <w:sz w:val="24"/>
          <w:szCs w:val="24"/>
        </w:rPr>
        <w:fldChar w:fldCharType="separate"/>
      </w:r>
      <w:r w:rsidRPr="007544C9">
        <w:rPr>
          <w:rFonts w:ascii="Times New Roman" w:hAnsi="Times New Roman"/>
          <w:noProof/>
          <w:sz w:val="24"/>
          <w:szCs w:val="24"/>
        </w:rPr>
        <w:t>(Ben et al., 2017)</w:t>
      </w:r>
      <w:r w:rsidR="00C86557" w:rsidRPr="00346DEE">
        <w:rPr>
          <w:rFonts w:ascii="Times New Roman" w:hAnsi="Times New Roman"/>
          <w:b/>
          <w:sz w:val="24"/>
          <w:szCs w:val="24"/>
        </w:rPr>
        <w:fldChar w:fldCharType="end"/>
      </w:r>
      <w:r w:rsidRPr="00346DEE">
        <w:rPr>
          <w:rFonts w:ascii="Times New Roman" w:hAnsi="Times New Roman"/>
          <w:b/>
          <w:sz w:val="24"/>
          <w:szCs w:val="24"/>
        </w:rPr>
        <w:t>.</w:t>
      </w:r>
    </w:p>
    <w:p w:rsidR="00193D1C" w:rsidRPr="00AA675E" w:rsidRDefault="00193D1C" w:rsidP="00193D1C">
      <w:pPr>
        <w:pStyle w:val="NoSpacing"/>
        <w:jc w:val="both"/>
        <w:rPr>
          <w:rFonts w:ascii="Times New Roman" w:hAnsi="Times New Roman" w:cs="Times New Roman"/>
          <w:sz w:val="24"/>
        </w:rPr>
      </w:pP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mengenai</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konvensional</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telah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banyak</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dilakukan</w:t>
      </w:r>
      <w:proofErr w:type="spellEnd"/>
      <w:r w:rsidRPr="00AA675E">
        <w:rPr>
          <w:rFonts w:ascii="Times New Roman" w:hAnsi="Times New Roman" w:cs="Times New Roman"/>
          <w:sz w:val="24"/>
        </w:rPr>
        <w:t xml:space="preserve"> oleh </w:t>
      </w:r>
      <w:r w:rsidRPr="00AA675E">
        <w:rPr>
          <w:rFonts w:ascii="Times New Roman" w:hAnsi="Times New Roman" w:cs="Times New Roman"/>
          <w:sz w:val="24"/>
        </w:rPr>
        <w:t xml:space="preserve">para </w:t>
      </w:r>
      <w:proofErr w:type="spellStart"/>
      <w:r w:rsidRPr="00AA675E">
        <w:rPr>
          <w:rFonts w:ascii="Times New Roman" w:hAnsi="Times New Roman" w:cs="Times New Roman"/>
          <w:sz w:val="24"/>
        </w:rPr>
        <w:t>peneliti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tetapi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mengenai</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 xml:space="preserve"> Syariah </w:t>
      </w:r>
      <w:proofErr w:type="spellStart"/>
      <w:r w:rsidRPr="00AA675E">
        <w:rPr>
          <w:rFonts w:ascii="Times New Roman" w:hAnsi="Times New Roman" w:cs="Times New Roman"/>
          <w:sz w:val="24"/>
        </w:rPr>
        <w:t>masih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sedikit</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terutama</w:t>
      </w:r>
      <w:proofErr w:type="spellEnd"/>
      <w:r w:rsidRPr="00AA675E">
        <w:rPr>
          <w:rFonts w:ascii="Times New Roman" w:hAnsi="Times New Roman" w:cs="Times New Roman"/>
          <w:sz w:val="24"/>
        </w:rPr>
        <w:t xml:space="preserve"> di negara </w:t>
      </w:r>
      <w:proofErr w:type="spellStart"/>
      <w:r w:rsidRPr="00AA675E">
        <w:rPr>
          <w:rFonts w:ascii="Times New Roman" w:hAnsi="Times New Roman" w:cs="Times New Roman"/>
          <w:sz w:val="24"/>
        </w:rPr>
        <w:t>berkembang</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seperti</w:t>
      </w:r>
      <w:proofErr w:type="spellEnd"/>
      <w:r w:rsidRPr="00AA675E">
        <w:rPr>
          <w:rFonts w:ascii="Times New Roman" w:hAnsi="Times New Roman" w:cs="Times New Roman"/>
          <w:sz w:val="24"/>
        </w:rPr>
        <w:t xml:space="preserve"> Indonesia.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terkini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mengenai</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Bank Syariah </w:t>
      </w:r>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"https://doi.org/10.18510/ijmier.2017.314", "abstract" : "Purpose: This research analyzed about profitability banks performance based on the CAMEL (Capital Adequacy, Asset Quality, Management, Earnings and Liquidity) on the Bank's profitability. Capital adequacy measured by debt equity ratio (DER) and non-performing loans (NPL), asset quality measured by return on assets (ROA), management will be measured by cost per income, earnings measured by return on equity (ROE) and liquidity measured by interest expense and deposit. Methodology: The samples were 114 samples (from 10 bank in Malaysia and 9 bank in Indonesia) since 2010-2015. This analysis used descriptive method and multiple regression analysis, the result of this research indicated that banking profitability have a good performance based on CAMEL analysis. Findings: From the results of regression, the CAMEL analysis has a significant relationship to the bank profitability Practical Implications: The study demonstrated the use of CAMEL analysis to measure bank profitability. If bank performance declining through the CAMEL analysis so the Bank should make a decision to make a better performance changes of banking. Social Implications: This study was about the importance of camel analysis measuring the performance banking. CAMEL analysis detected the decrease in performance in any business sector. Originality/Value: This analysis adapted and adopted the study conducted by Sahut and Mili (2011), but this study focused only on the comparative performance between conventional and Islamic banking between Malaysia and Indonesia. Research Limitations/Implications: Comparison of CAMEL analysis focused on two countries between Malaysia and Indonesia (it also involves the comparative analysis of conventional and Islamic bank) to gain the profitability of banking, ROI with short period since 2010 until 2015", "author" : [ { "dropping-particle" : "", "family" : "Munir", "given" : "Badrul", "non-dropping-particle" : "", "parse-names" : false, "suffix" : "" }, { "dropping-particle" : "", "family" : "Salwa", "given" : "Ummi", "non-dropping-particle" : "", "parse-names" : false, "suffix" : "" }, { "dropping-particle" : "", "family" : "Bustamam", "given" : "Ahmad", "non-dropping-particle" : "", "parse-names" : false, "suffix" : "" } ], "container-title" : "International Journal of Management, Innovation &amp; Entrepreneurial Research", "id" : "ITEM-1", "issue" : "1", "issued" : { "date-parts" : [ [ "2017" ] ] }, "page" : "30-39", "title" : "Camel Ratio on Profitability Banking Performance (Malaysia Versus Indonesia)", "type" : "article-journal", "volume" : "3" }, "uris" : [ "http://www.mendeley.com/documents/?uuid=6d3928a4-0fdb-4745-b59b-d49e6c9673af" ] } ], "mendeley" : { "formattedCitation" : "(Munir et al., 2017)", "plainTextFormattedCitation" : "(Munir et al., 2017)", "previouslyFormattedCitation" : "(Munir et al., 2017)"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(Munir et al., 2017)</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"10.1108/IMEFM-12-2014-0120", "ISBN" : "1220140120", "abstract" : "Abstract Purpose \u2013 The purpose of this paper is to ascertain whether Islamic bank profitability is driven by same forces as those driving conventional banking in the Middle East and North Africa(MENA)region. Distinguished by its principles in conformity with sharia, Islamic banking is different from conventional banking, which is likely to affect profitability. Design/methodology/approach \u2013 The paper builds on a dynamic panel data model to identify the banks\u2019 specific determinants and the macroeconomic factors influencing the profitability of a large sample of 51 Islamic banks operating in the MENA region from 1994 to 2012. The system-generalized method of moment estimators are applied. Findings \u2013 The findings reveal that profitability is positively affected by banks\u2019 cost-effectiveness, asset quality and level of capitalization. The results also indicate that non-financing activities allow Islamic banks to earn higher profits. Islamic banks perform better in environments where the gross domestic product and investment are high. There is evidence of several elements of similarities between determinants of the profitability for Islamic and conventional banks. The inflation rate, however, is negatively associated with Islamic bank profitability. Practical Implications \u2013 The authors conclude that profitability determinants did not differ significantly between Islamic and conventional banks.Manyfactors are deemed the same in explaining the profitability of conventional as well as Islamic banks. The findings reported in the current paper might be of interest for policy makers. It is recommended to better implement non-financing activities to improve Islamic bank profitability. Originality/value \u2013 Unlike the previous empirical research, this empirical investigation assesses the issue whether Islamic banks profitability is influenced by same factors as conventional model. It enriches the literature in this regard by considering the specificities of Islamic banking to identify the determinants of profitability. Moreover, this study considers a large sample (51 Islamic banks) through a different selection of countries/banks than previous studies. In addition, the period of study considers the subprime crisis insofar it ranges from 1994 to 2012. Hence, this broader study allows the authors to draw more consistent conclusions", "author" : [ { "dropping-particle" : "", "family" : "Zarrouk", "given" : "Hajer", "non-dropping-particle" : "", "parse-names" : false, "suffix" : "" }, { "dropping-particle" : "Ben", "family" : "Jedidia", "given" : "Khoutem", "non-dropping-particle" : "", "parse-names" : false, "suffix" : "" }, { "dropping-particle" : "", "family" : "Moualhi", "given" : "Mouna", "non-dropping-particle" : "", "parse-names" : false, "suffix" : "" } ], "container-title" : "International Journal of Islamic and Middle Eastern Finance and Management", "id" : "ITEM-1", "issue" : "1", "issued" : { "date-parts" : [ [ "2016" ] ] }, "page" : "46-65", "title" : "Is Islamic bank profitability driven by same forces as conventional banks ?", "type" : "article-journal", "volume" : "9" }, "uris" : [ "http://www.mendeley.com/documents/?uuid=154d1a19-041c-4a7c-afda-8c66e6f61494" ] } ], "mendeley" : { "formattedCitation" : "(Zarrouk et al., 2016)", "plainTextFormattedCitation" : "(Zarrouk et al., 2016)", "previouslyFormattedCitation" : "(Zarrouk et al., 2016)"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(Zarrouk et al., 2016)</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menemukan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bu</w:t>
      </w:r>
      <w:r>
        <w:rPr>
          <w:rFonts w:ascii="Times New Roman" w:hAnsi="Times New Roman" w:cs="Times New Roman"/>
          <w:sz w:val="24"/>
        </w:rPr>
        <w:t>kti</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Pr>
          <w:rFonts w:ascii="Times New Roman" w:hAnsi="Times New Roman" w:cs="Times New Roman"/>
          <w:sz w:val="24"/>
        </w:rPr>
        <w:t xml:space="preserve"> bank </w:t>
      </w:r>
      <w:proofErr w:type="spellStart"/>
      <w:r>
        <w:rPr>
          <w:rFonts w:ascii="Times New Roman" w:hAnsi="Times New Roman" w:cs="Times New Roman"/>
          <w:sz w:val="24"/>
        </w:rPr>
        <w:t>syariah</w:t>
      </w:r>
      <w:proofErr w:type="spellEnd"/>
      <w:r>
        <w:rPr>
          <w:rFonts w:ascii="Times New Roman" w:hAnsi="Times New Roman" w:cs="Times New Roman"/>
          <w:sz w:val="24"/>
        </w:rPr>
        <w:t xml:space="preserve"> </w:t>
      </w:r>
      <w:proofErr w:type="spellStart"/>
      <w:r w:rsidRPr="00AA675E">
        <w:rPr>
          <w:rFonts w:ascii="Times New Roman" w:hAnsi="Times New Roman" w:cs="Times New Roman"/>
          <w:sz w:val="24"/>
        </w:rPr>
        <w:t>sangat</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ditentukan</w:t>
      </w:r>
      <w:proofErr w:type="spellEnd"/>
      <w:r w:rsidRPr="00AA675E">
        <w:rPr>
          <w:rFonts w:ascii="Times New Roman" w:hAnsi="Times New Roman" w:cs="Times New Roman"/>
          <w:sz w:val="24"/>
        </w:rPr>
        <w:t xml:space="preserve"> oleh </w:t>
      </w:r>
      <w:r w:rsidRPr="00AA675E">
        <w:rPr>
          <w:rFonts w:ascii="Times New Roman" w:hAnsi="Times New Roman" w:cs="Times New Roman"/>
          <w:i/>
          <w:sz w:val="24"/>
        </w:rPr>
        <w:t>cost-effectiveness, asset quality</w:t>
      </w:r>
      <w:r w:rsidRPr="00AA675E">
        <w:rPr>
          <w:rFonts w:ascii="Times New Roman" w:hAnsi="Times New Roman" w:cs="Times New Roman"/>
          <w:sz w:val="24"/>
        </w:rPr>
        <w:t xml:space="preserve"> dan level </w:t>
      </w:r>
      <w:proofErr w:type="spellStart"/>
      <w:r w:rsidRPr="00AA675E">
        <w:rPr>
          <w:rFonts w:ascii="Times New Roman" w:hAnsi="Times New Roman" w:cs="Times New Roman"/>
          <w:sz w:val="24"/>
        </w:rPr>
        <w:t>permodalan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juga </w:t>
      </w:r>
      <w:proofErr w:type="spellStart"/>
      <w:r w:rsidRPr="00AA675E">
        <w:rPr>
          <w:rFonts w:ascii="Times New Roman" w:hAnsi="Times New Roman" w:cs="Times New Roman"/>
          <w:sz w:val="24"/>
        </w:rPr>
        <w:t>menemukan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bahwa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aktivitas</w:t>
      </w:r>
      <w:proofErr w:type="spellEnd"/>
      <w:r w:rsidRPr="00AA675E">
        <w:rPr>
          <w:rFonts w:ascii="Times New Roman" w:hAnsi="Times New Roman" w:cs="Times New Roman"/>
          <w:sz w:val="24"/>
        </w:rPr>
        <w:t xml:space="preserve"> non-</w:t>
      </w:r>
      <w:proofErr w:type="spellStart"/>
      <w:r w:rsidRPr="00AA675E">
        <w:rPr>
          <w:rFonts w:ascii="Times New Roman" w:hAnsi="Times New Roman" w:cs="Times New Roman"/>
          <w:sz w:val="24"/>
        </w:rPr>
        <w:t>keuangan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meningkatkan</w:t>
      </w:r>
      <w:proofErr w:type="spellEnd"/>
      <w:r w:rsidRPr="00AA675E">
        <w:rPr>
          <w:rFonts w:ascii="Times New Roman" w:hAnsi="Times New Roman" w:cs="Times New Roman"/>
          <w:sz w:val="24"/>
        </w:rPr>
        <w:t xml:space="preserve"> profit bank</w:t>
      </w:r>
      <w:r>
        <w:rPr>
          <w:rFonts w:ascii="Times New Roman" w:hAnsi="Times New Roman" w:cs="Times New Roman"/>
          <w:sz w:val="24"/>
        </w:rPr>
        <w:t xml:space="preserve"> </w:t>
      </w:r>
      <w:proofErr w:type="spellStart"/>
      <w:r>
        <w:rPr>
          <w:rFonts w:ascii="Times New Roman" w:hAnsi="Times New Roman" w:cs="Times New Roman"/>
          <w:sz w:val="24"/>
        </w:rPr>
        <w:t>syariah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tidak</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ada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perbedaan</w:t>
      </w:r>
      <w:proofErr w:type="spellEnd"/>
      <w:r w:rsidRPr="00AA675E">
        <w:rPr>
          <w:rFonts w:ascii="Times New Roman" w:hAnsi="Times New Roman" w:cs="Times New Roman"/>
          <w:sz w:val="24"/>
        </w:rPr>
        <w:t xml:space="preserve"> determinant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antara</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konvensional</w:t>
      </w:r>
      <w:proofErr w:type="spellEnd"/>
      <w:r w:rsidRPr="00AA675E">
        <w:rPr>
          <w:rFonts w:ascii="Times New Roman" w:hAnsi="Times New Roman" w:cs="Times New Roman"/>
          <w:sz w:val="24"/>
        </w:rPr>
        <w:t xml:space="preserve"> dan bank </w:t>
      </w:r>
      <w:proofErr w:type="spellStart"/>
      <w:r>
        <w:rPr>
          <w:rFonts w:ascii="Times New Roman" w:hAnsi="Times New Roman" w:cs="Times New Roman"/>
          <w:sz w:val="24"/>
        </w:rPr>
        <w:t>syariah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Selanjutnya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"10.1016/S2212-5671(16)00044-7", "abstract" : "This study aims to analyze the profitability in Islamic Banks and Conventional Banks in Malaysia. The study uses the period of the year 2006 to until the year 2011. In methodology, this research using T-Test Model, Regression and Correlation.Meanwhile, data are collected from the Bursa Malaysia and bank website in Malaysia. This study finds that Islamic Banks are more profitable than Conventional Banks whereas Total Loan to Total Asset for Islamic bank is higher than Conventional bank. Based on Regression test, for Conventional Banks, ROE is an influence profitability of Conventional Bank.and for Islamic Banks, ROA and ROE are significant factor that influence profitability. Based on Correlation test, ROE is an influence profitability of Conventional Bank and for Islamic Banks, ROA and ROE are significant relationship with independent variable which is Total Equity to Total Asset.", "author" : [ { "dropping-particle" : "", "family" : "Ramlan", "given" : "Hamidah", "non-dropping-particle" : "", "parse-names" : false, "suffix" : "" }, { "dropping-particle" : "", "family" : "Sharrizat", "given" : "Mohd", "non-dropping-particle" : "", "parse-names" : false, "suffix" : "" } ], "container-title" : "7th International Economics &amp; Business Management Conference", "id" : "ITEM-1", "issue" : "October 2015", "issued" : { "date-parts" : [ [ "2016" ] ] }, "page" : "359-367", "publisher" : "Elsevier B.V.", "title" : "The Profitability of Islamic and Conventional Bank : Case study in Malaysia", "type" : "paper-conference", "volume" : "35" }, "uris" : [ "http://www.mendeley.com/documents/?uuid=4148ff34-6e29-4d04-a4ed-58e965fe9b76" ] } ], "mendeley" : { "formattedCitation" : "(Ramlan and Sharrizat, 2016)", "plainTextFormattedCitation" : "(Ramlan and Sharrizat, 2016)", "previouslyFormattedCitation" : "(Ramlan and Sharrizat, 2016)"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(Ramlan and Sharrizat, 2016)</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menemukan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bahwa</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syariah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lebih</w:t>
      </w:r>
      <w:proofErr w:type="spellEnd"/>
      <w:r w:rsidRPr="00AA675E">
        <w:rPr>
          <w:rFonts w:ascii="Times New Roman" w:hAnsi="Times New Roman" w:cs="Times New Roman"/>
          <w:sz w:val="24"/>
        </w:rPr>
        <w:t xml:space="preserve"> profitable </w:t>
      </w:r>
      <w:proofErr w:type="spellStart"/>
      <w:r w:rsidRPr="00AA675E">
        <w:rPr>
          <w:rFonts w:ascii="Times New Roman" w:hAnsi="Times New Roman" w:cs="Times New Roman"/>
          <w:sz w:val="24"/>
        </w:rPr>
        <w:t>dibandingkan</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konvensional</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lebih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efesien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dalam</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mengelola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resiko</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kredit</w:t>
      </w:r>
      <w:proofErr w:type="spellEnd"/>
      <w:r w:rsidRPr="00AA675E">
        <w:rPr>
          <w:rFonts w:ascii="Times New Roman" w:hAnsi="Times New Roman" w:cs="Times New Roman"/>
          <w:sz w:val="24"/>
        </w:rPr>
        <w:t xml:space="preserve"> </w:t>
      </w:r>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"10.1108/15265940910924472", "ISBN" : "1526594071077", "ISSN" : "1526-5943", "abstract" : "Risk management practices of Islamic banks of Brunei Darussalam", "author" : [ { "dropping-particle" : "", "family" : "Hassan", "given" : "Abul", "non-dropping-particle" : "", "parse-names" : false, "suffix" : "" } ], "container-title" : "The Journal of Risk Finance", "id" : "ITEM-1", "issue" : "1", "issued" : { "date-parts" : [ [ "2009" ] ] }, "page" : "23-37", "title" : "Risk management practices of Islamic banks of Brunei Darussalam", "type" : "article-journal", "volume" : "10" }, "uris" : [ "http://www.mendeley.com/documents/?uuid=8dfd599c-b3e6-4835-af09-c14b5031931a" ] } ], "mendeley" : { "formattedCitation" : "(Hassan, 2009)", "plainTextFormattedCitation" : "(Hassan, 2009)", "previouslyFormattedCitation" : "(Hassan, 2009)"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(Hassan, 2009)</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proofErr w:type="spellStart"/>
      <w:r w:rsidRPr="00AA675E">
        <w:rPr>
          <w:rFonts w:ascii="Times New Roman" w:hAnsi="Times New Roman" w:cs="Times New Roman"/>
          <w:sz w:val="24"/>
        </w:rPr>
        <w:t>ukuran</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serta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pertumbuhan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nasabah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merupakanfactor</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terpenting</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dalam</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meningkatkan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kinerja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w:t>
      </w:r>
    </w:p>
    <w:p w:rsidR="00193D1C" w:rsidRPr="00346DEE" w:rsidRDefault="00193D1C" w:rsidP="00193D1C">
      <w:pPr>
        <w:jc w:val="both"/>
        <w:rPr>
          <w:rFonts w:ascii="Times New Roman" w:hAnsi="Times New Roman"/>
          <w:sz w:val="24"/>
          <w:szCs w:val="24"/>
        </w:rPr>
      </w:pPr>
      <w:r w:rsidRPr="00346DEE">
        <w:rPr>
          <w:rFonts w:ascii="Times New Roman" w:hAnsi="Times New Roman"/>
          <w:sz w:val="24"/>
          <w:szCs w:val="24"/>
        </w:rPr>
        <w:t xml:space="preserve">Studi </w:t>
      </w:r>
      <w:r w:rsidR="00C86557" w:rsidRPr="00346DEE">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"10.9790/5933-06222128", "abstract" : "This study investigates the impact of credit risk on banks\u2019 performance in Nigeria. A panel estimation of six banks from 2000 to 2013 was done using the random effect model framework. Our findings show that credit risk is negatively and significantly related to bank performance, measured by return on assets (ROA). This suggests that an increased exposure to credit risk reduces bank profitability. We also found that total loan has a positive and significant impact on bank performance. Therefore, to stem the cyclical nature of non-performing loans and increase their profits, the banks should adopt an aggressive deposit mobilization to increase credit availability and develop a reliable credit risk management strategy with adequate punishment for loan payment defaults.", "author" : [ { "dropping-particle" : "", "family" : "Kayode", "given" : "Olawale Femi", "non-dropping-particle" : "", "parse-names" : false, "suffix" : "" }, { "dropping-particle" : "", "family" : "Obamuyi", "given" : "Tomola Marshal", "non-dropping-particle" : "", "parse-names" : false, "suffix" : "" }, { "dropping-particle" : "", "family" : "Ayodeleowoputi", "given" : "James", "non-dropping-particle" : "", "parse-names" : false, "suffix" : "" }, { "dropping-particle" : "", "family" : "Ademolaadeyefa", "given" : "Felix", "non-dropping-particle" : "", "parse-names" : false, "suffix" : "" } ], "container-title" : "IOSR Journal of Economics and Finance", "id" : "ITEM-1", "issue" : "2", "issued" : { "date-parts" : [ [ "2015" ] ] }, "page" : "21-28", "title" : "Credit Risk and Bank Performance in Nigeria", "type" : "article-journal", "volume" : "6" }, "uris" : [ "http://www.mendeley.com/documents/?uuid=54a15217-a1ee-42a1-acf8-1be063419f86" ] } ], "mendeley" : { "formattedCitation" : "(Kayode et al., 2015)", "plainTextFormattedCitation" : "(Kayode et al., 2015)", "previouslyFormattedCitation" : "(Kayode et al., 2015)"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7544C9">
        <w:rPr>
          <w:rFonts w:ascii="Times New Roman" w:hAnsi="Times New Roman"/>
          <w:noProof/>
          <w:sz w:val="24"/>
          <w:szCs w:val="24"/>
        </w:rPr>
        <w:t>(Kayode et al., 2015)</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w:t>
      </w:r>
      <w:r w:rsidR="00C86557" w:rsidRPr="00346DEE">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"10.5539/ijef.v7n11p163", "ISSN" : "1916-9728", "abstract" : "Credit risk management is one of the vital aspects of the financial institutions regardless of their nature. For a more comprehensive analysis of Palestine banking sector, investment and commercial banks both were chosen for assessing the relationship between credit risk management and profitability. Explanatory design of study helped in assessing the casual effect relationship between the research variables. The regression model was used for gathering quantitative findings while structured interview from bank managers was selected for gathering qualitative data. The findings of the regression model in the current study confirmed that there is no consequence of credit risk on profitability of commercial and investment banks of Palestine. Additionally, it was also found that there is no difference between the Palestinian commercial and investment banks concerning the relationship.&lt;/p&gt;", "author" : [ { "dropping-particle" : "", "family" : "Bayyoud", "given" : "Mohammed", "non-dropping-particle" : "", "parse-names" : false, "suffix" : "" }, { "dropping-particle" : "", "family" : "Sayyad", "given" : "Nermeen", "non-dropping-particle" : "", "parse-names" : false, "suffix" : "" } ], "container-title" : "International Journal of Economics and Finance", "id" : "ITEM-1", "issue" : "11", "issued" : { "date-parts" : [ [ "2015" ] ] }, "page" : "163", "title" : "The Relationship between Credit Risk Management and Profitability between Investment and Commercial Banks in Palestine", "type" : "article-journal", "volume" : "7" }, "uris" : [ "http://www.mendeley.com/documents/?uuid=5379f370-9aea-4500-b01f-749e1c414fbb" ] } ], "mendeley" : { "formattedCitation" : "(Bayyoud and Sayyad, 2015)", "plainTextFormattedCitation" : "(Bayyoud and Sayyad, 2015)", "previouslyFormattedCitation" : "(Bayyoud and Sayyad, 2015)"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7544C9">
        <w:rPr>
          <w:rFonts w:ascii="Times New Roman" w:hAnsi="Times New Roman"/>
          <w:noProof/>
          <w:sz w:val="24"/>
          <w:szCs w:val="24"/>
        </w:rPr>
        <w:t>(Bayyoud and Sayyad, 2015)</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menemukan bahwa resiko kredit berpengaruh negative terhadap </w:t>
      </w:r>
      <w:r>
        <w:rPr>
          <w:rFonts w:ascii="Times New Roman" w:hAnsi="Times New Roman"/>
          <w:sz w:val="24"/>
          <w:szCs w:val="24"/>
        </w:rPr>
        <w:t>profitabilitas</w:t>
      </w:r>
      <w:r w:rsidRPr="00346DEE">
        <w:rPr>
          <w:rFonts w:ascii="Times New Roman" w:hAnsi="Times New Roman"/>
          <w:sz w:val="24"/>
          <w:szCs w:val="24"/>
        </w:rPr>
        <w:t xml:space="preserve"> perbankan, proxy yang digunakan sebagai ukuran </w:t>
      </w:r>
      <w:r>
        <w:rPr>
          <w:rFonts w:ascii="Times New Roman" w:hAnsi="Times New Roman"/>
          <w:sz w:val="24"/>
          <w:szCs w:val="24"/>
        </w:rPr>
        <w:t>profitabilitas</w:t>
      </w:r>
      <w:r w:rsidRPr="00346DEE">
        <w:rPr>
          <w:rFonts w:ascii="Times New Roman" w:hAnsi="Times New Roman"/>
          <w:sz w:val="24"/>
          <w:szCs w:val="24"/>
        </w:rPr>
        <w:t xml:space="preserve"> adalah ROA, dan meningkatnya resiko kredit mengurangi profitabilitas yang berdampak pada penurunan </w:t>
      </w:r>
      <w:r>
        <w:rPr>
          <w:rFonts w:ascii="Times New Roman" w:hAnsi="Times New Roman"/>
          <w:sz w:val="24"/>
          <w:szCs w:val="24"/>
        </w:rPr>
        <w:t>profitabilitas</w:t>
      </w:r>
      <w:r w:rsidRPr="00346DEE">
        <w:rPr>
          <w:rFonts w:ascii="Times New Roman" w:hAnsi="Times New Roman"/>
          <w:sz w:val="24"/>
          <w:szCs w:val="24"/>
        </w:rPr>
        <w:t xml:space="preserve"> perbankan, sedangkan studi </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"abstract" : "The adoption of credit risk management is becoming a crucial factor for every commercial bank around the world. The objective of this study is to identify the impact of credit risk management on the performance of the commercial banks in Sri Lanka. This study is primarily based on both primary and secondary data. Primary data were collected from eight (08) commercial banks from 24 commercial banks in Sri Lanka. The sample was selected from the population based on the superior financial performance for the period under review and the availability of the consistent data over the set period. The primary data was collected mainly through an interview. The relevant authorities were interviewed personally in order to have their views on the problems and solutions. The secondary data were obtained from various sources such as Annual Reports of the selected commercial banks, relevant articles, books and magazines etc. The panel data of a five year period from 2009 to 2013 from the selected banks were used to examine the relationship between credit risk and performances. The Return on Assets (ROA) is used as performance indicator and Loan provision to Total (LP/TL), Loan Provision to Non-Performing Loans (LP/NPL), Loan Provision to Total Assets (LP/TA) and Non-Performing Loans/ Total Loans (NPL/TL) were used as indicators of credit risk. Further, a regression model was used to establish the relationship between amounts of loan as well as non-performing loans and profitability during the period of study by using E-views software. The result shows that non-performing loans and provisions have an adverse impact on the profitability. Therefore, the study recommended the banks to implement an effective tools and techniques to reduce the credit risk management.", "author" : [ { "dropping-particle" : "", "family" : "Kodithuwakku", "given" : "MS. Sujeewa", "non-dropping-particle" : "", "parse-names" : false, "suffix" : "" } ], "container-title" : "International Journal of Scientific Research and Innovative Technology", "id" : "ITEM-1", "issue" : "7", "issued" : { "date-parts" : [ [ "2015" ] ] }, "page" : "24-29", "title" : "Impact of Credit Risk Management on the Performance of Commercial Banks in Sri Lanka", "type" : "article-journal", "volume" : "2" }, "uris" : [ "http://www.mendeley.com/documents/?uuid=3d44bd80-1da4-4a8c-a2a8-9076f49ffe4d" ] } ], "mendeley" : { "formattedCitation" : "(Kodithuwakku, 2015)", "plainTextFormattedCitation" : "(Kodithuwakku, 2015)", "previouslyFormattedCitation" : "(Kodithuwakku, 2015)"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(Kodithuwakku, 2015)</w:t>
      </w:r>
      <w:r w:rsidR="00C86557" w:rsidRPr="00346DEE">
        <w:rPr>
          <w:rFonts w:ascii="Times New Roman" w:hAnsi="Times New Roman"/>
          <w:sz w:val="24"/>
          <w:szCs w:val="24"/>
        </w:rPr>
        <w:fldChar w:fldCharType="end"/>
      </w:r>
      <w:r w:rsidRPr="00346DEE">
        <w:rPr>
          <w:rFonts w:ascii="Times New Roman" w:hAnsi="Times New Roman"/>
          <w:sz w:val="24"/>
          <w:szCs w:val="24"/>
        </w:rPr>
        <w:t>, menemukan bahwa Loan provision to Total</w:t>
      </w:r>
      <w:r>
        <w:rPr>
          <w:rFonts w:ascii="Times New Roman" w:hAnsi="Times New Roman"/>
          <w:sz w:val="24"/>
          <w:szCs w:val="24"/>
        </w:rPr>
        <w:t xml:space="preserve"> Loan</w:t>
      </w:r>
      <w:r w:rsidRPr="00346DEE">
        <w:rPr>
          <w:rFonts w:ascii="Times New Roman" w:hAnsi="Times New Roman"/>
          <w:sz w:val="24"/>
          <w:szCs w:val="24"/>
        </w:rPr>
        <w:t xml:space="preserve"> (LP/TL), Loan Provision to Non-Performing Loans (LP/NPL), Loan Provision to Total Assets (LP/TA) dan Non-Performing Loans/ Total Loans (NPL/TL) significant mempengaruhi </w:t>
      </w:r>
      <w:r>
        <w:rPr>
          <w:rFonts w:ascii="Times New Roman" w:hAnsi="Times New Roman"/>
          <w:sz w:val="24"/>
          <w:szCs w:val="24"/>
        </w:rPr>
        <w:t>profitabilitas</w:t>
      </w:r>
      <w:r w:rsidRPr="00346DEE">
        <w:rPr>
          <w:rFonts w:ascii="Times New Roman" w:hAnsi="Times New Roman"/>
          <w:sz w:val="24"/>
          <w:szCs w:val="24"/>
        </w:rPr>
        <w:t xml:space="preserve"> perbankan. </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"abstract" : "This research aims at examining the effect of credit risk management on financial performance of the Jordanian commercial banks during the period (2005-2013), thirteen commercial banks have been chosen to express on the whole Jordanian commercial banks. Two mathematical models have been designed to measure this relationship, the research revealed that the credit risk management effects on financial performance of the Jordanian commercial banks as measured by ROA and ROE. The research further concludes that the credit risk management indicators considered in this research have a significant effect on financial performance of the Jordanian commercial banks. Based on findings, the researcher recommends banks to improve their credit risk management to achieve more profits, in that banks should take into consideration, the indicators of Non-performing loans/Gross loans, Provision for facilities loss/Net facilities and the leverage ratio that were found significant in determining credit risk management. Also, banks should establish adequate credit risk management policies by imposing strict credit estimation before granting loans to customers, and banks in designing an effective credit risk management system, need to establish a suitable credit risk environment; operating under a sound credit granting process, maintaining an appropriate credit administration that involves monitoring, processing as well as enough controls over credit risk, and banks need to put and devise strategies that will not only limit the banks exposition to credit risk but will develop performance and competitiveness of the banks.", "author" : [ { "dropping-particle" : "", "family" : "Alshatti", "given" : "Ali Sulieman", "non-dropping-particle" : "", "parse-names" : false, "suffix" : "" } ], "container-title" : "Investment Management and Financial Innovations", "id" : "ITEM-1", "issue" : "1", "issued" : { "date-parts" : [ [ "2015" ] ] }, "page" : "338-345", "title" : "The Effect of Credit Risk Management on the Financial Performance of Commercial Banks in Kenya", "type" : "article-journal", "volume" : "12" }, "uris" : [ "http://www.mendeley.com/documents/?uuid=2962164a-2e5d-4d83-b438-88d5bde1b1f2" ] } ], "mendeley" : { "formattedCitation" : "(Alshatti, 2015)", "plainTextFormattedCitation" : "(Alshatti, 2015)", "previouslyFormattedCitation" : "(Alshatti, 2015)"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(Alshatti, 2015)</w:t>
      </w:r>
      <w:r w:rsidR="00C86557" w:rsidRPr="00346DEE">
        <w:rPr>
          <w:rFonts w:ascii="Times New Roman" w:hAnsi="Times New Roman"/>
          <w:sz w:val="24"/>
          <w:szCs w:val="24"/>
        </w:rPr>
        <w:fldChar w:fldCharType="end"/>
      </w:r>
      <w:r>
        <w:rPr>
          <w:rFonts w:ascii="Times New Roman" w:hAnsi="Times New Roman"/>
          <w:sz w:val="24"/>
          <w:szCs w:val="24"/>
        </w:rPr>
        <w:t>, mengatakan bahwa NPF</w:t>
      </w:r>
      <w:r w:rsidRPr="00346DEE">
        <w:rPr>
          <w:rFonts w:ascii="Times New Roman" w:hAnsi="Times New Roman"/>
          <w:sz w:val="24"/>
          <w:szCs w:val="24"/>
        </w:rPr>
        <w:t xml:space="preserve"> sangat berpengaruh terhadap </w:t>
      </w:r>
      <w:r>
        <w:rPr>
          <w:rFonts w:ascii="Times New Roman" w:hAnsi="Times New Roman"/>
          <w:sz w:val="24"/>
          <w:szCs w:val="24"/>
        </w:rPr>
        <w:t>profitabilitas</w:t>
      </w:r>
      <w:r w:rsidRPr="00346DEE">
        <w:rPr>
          <w:rFonts w:ascii="Times New Roman" w:hAnsi="Times New Roman"/>
          <w:sz w:val="24"/>
          <w:szCs w:val="24"/>
        </w:rPr>
        <w:t xml:space="preserve"> perbankan, demikian juga dengan studi </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"DOI" : "10.15408/ess.v7i1.4076", "abstract" : "Islamic rural banks same like as usual Islamic commercial banks that profit oriented. The aim of this research is to examine the factors that influenc the profitability in Islamic rural banks. The methods that used in this research is multiple regression. The result shows that only efficiency operational ratio (BOPO) and non-performing finance (NPF) that had impact on profitability. The profitability measured by return on asset (ROA). Otherwise, financing to deposit ratio (FDR) and capital adequacy ratio (CAR) doesn\u2019t had an impact on Islamic rural bank\u2019s profitability. This research implies that Islamic rural banks should increase the operational efficiency and reduce the non-performing finance.", "author" : [ { "dropping-particle" : "", "family" : "Harianto", "given" : "Syawal", "non-dropping-particle" : "", "parse-names" : false, "suffix" : "" } ], "id" : "ITEM-1", "issue" : "April", "issued" : { "date-parts" : [ [ "2017" ] ] }, "page" : "41-48", "title" : "Rasio Keuangan dan Pengaruhnya Terhadap Profitabilitas Pada Bank Pembiayaan Rakyat Syariah di Indonesia", "type" : "article-journal", "volume" : "7" }, "uris" : [ "http://www.mendeley.com/documents/?uuid=c3dda59e-ddc0-43ac-8246-1807929b2b96" ] } ], "mendeley" : { "formattedCitation" : "(Harianto, 2017)", "plainTextFormattedCitation" : "(Harianto, 2017)", "previouslyFormattedCitation" : "(Harianto, 2017)"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(Harianto, 2017)</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menemukan bahwa NPF dan BOPO mempengaruji </w:t>
      </w:r>
      <w:r>
        <w:rPr>
          <w:rFonts w:ascii="Times New Roman" w:hAnsi="Times New Roman"/>
          <w:sz w:val="24"/>
          <w:szCs w:val="24"/>
        </w:rPr>
        <w:t>profitabilitas</w:t>
      </w:r>
      <w:r w:rsidRPr="00346DEE">
        <w:rPr>
          <w:rFonts w:ascii="Times New Roman" w:hAnsi="Times New Roman"/>
          <w:sz w:val="24"/>
          <w:szCs w:val="24"/>
        </w:rPr>
        <w:t xml:space="preserve"> perbankan Syariah. </w:t>
      </w:r>
      <w:r w:rsidR="00C86557" w:rsidRPr="00346DEE">
        <w:rPr>
          <w:rFonts w:ascii="Times New Roman" w:hAnsi="Times New Roman"/>
          <w:sz w:val="24"/>
          <w:szCs w:val="24"/>
        </w:rPr>
        <w:fldChar w:fldCharType="begin" w:fldLock="1"/>
      </w:r>
      <w:r w:rsidRPr="00346DEE">
        <w:rPr>
          <w:rFonts w:ascii="Times New Roman" w:hAnsi="Times New Roman"/>
          <w:sz w:val="24"/>
          <w:szCs w:val="24"/>
        </w:rPr>
        <w:instrText>ADDIN CSL_CITATION { "citationItems" : [ { "id" : "ITEM-1", "itemData" : { "DOI" : "https://doi.org/10.1108/IMEFM-12-2015-0161", "abstract" : "Purpose The purpose of this paper was to investigate the determinants of Islamic banks\u2019 profitability using longitudinal data from 1992 to 2008 of almost all Islamic banks in the world. Design/methodology/approach An unbalanced panel data fixed-effects regression model was used. Findings The results of the study indicate that equity, other operating income, GDP per capita, bank size, concentration, and oil prices affected Islamic banks positively. Insurance schemes, foreign ownership, and real GDP growth affected Islamic banks negatively. Research limitations/implications This study did not include data beyond 2008 (the financial crisis), which can be considered a limitation to this study. However, evidence suggests that including data beyond 2008 would not have changed the outcome of the study.1 Originality/value The paper adds to the literature on the determinants of Islamic banks\u2019 profitability for the reasons mentioned above. In addition, this study used a purified sample of Islamic banks (see the Data section for details). Furthermore, to my knowledge, this is the first time deposit insurance has been included in a study related to Islamic banks\u2019 profitability.", "author" : [ { "dropping-particle" : "", "family" : "Alharbi", "given" : "Ahmad Thabet", "non-dropping-particle" : "", "parse-names" : false, "suffix" : "" } ], "container-title" : "International Journal of Islamic and Middle Eastern Finance and Management", "id" : "ITEM-1", "issued" : { "date-parts" : [ [ "2015" ] ] }, "page" : "1-21", "title" : "Determinants of Islamic banks profitability : international evidence", "type" : "article-journal" }, "uris" : [ "http://www.mendeley.com/documents/?uuid=ce903010-410e-4e74-9faf-dfa11b6d2942" ] } ], "mendeley" : { "formattedCitation" : "(Alharbi, 2015)", "plainTextFormattedCitation" : "(Alharbi, 2015)", "previouslyFormattedCitation" : "(Alharbi, 2015)" }, "properties" : { "noteIndex" : 2 }, "schema" : "https://github.com/citation-style-language/schema/raw/master/csl-citation.json" }</w:instrText>
      </w:r>
      <w:r w:rsidR="00C86557" w:rsidRPr="00346DEE">
        <w:rPr>
          <w:rFonts w:ascii="Times New Roman" w:hAnsi="Times New Roman"/>
          <w:sz w:val="24"/>
          <w:szCs w:val="24"/>
        </w:rPr>
        <w:fldChar w:fldCharType="separate"/>
      </w:r>
      <w:r w:rsidRPr="00346DEE">
        <w:rPr>
          <w:rFonts w:ascii="Times New Roman" w:hAnsi="Times New Roman"/>
          <w:noProof/>
          <w:sz w:val="24"/>
          <w:szCs w:val="24"/>
        </w:rPr>
        <w:t>(Alharbi, 2015)</w:t>
      </w:r>
      <w:r w:rsidR="00C86557" w:rsidRPr="00346DEE">
        <w:rPr>
          <w:rFonts w:ascii="Times New Roman" w:hAnsi="Times New Roman"/>
          <w:sz w:val="24"/>
          <w:szCs w:val="24"/>
        </w:rPr>
        <w:fldChar w:fldCharType="end"/>
      </w:r>
      <w:r w:rsidRPr="00346DEE">
        <w:rPr>
          <w:rFonts w:ascii="Times New Roman" w:hAnsi="Times New Roman"/>
          <w:sz w:val="24"/>
          <w:szCs w:val="24"/>
        </w:rPr>
        <w:t xml:space="preserve"> mengin</w:t>
      </w:r>
      <w:r>
        <w:rPr>
          <w:rFonts w:ascii="Times New Roman" w:hAnsi="Times New Roman"/>
          <w:sz w:val="24"/>
          <w:szCs w:val="24"/>
        </w:rPr>
        <w:t>vestigasi Indik</w:t>
      </w:r>
      <w:r w:rsidRPr="00346DEE">
        <w:rPr>
          <w:rFonts w:ascii="Times New Roman" w:hAnsi="Times New Roman"/>
          <w:sz w:val="24"/>
          <w:szCs w:val="24"/>
        </w:rPr>
        <w:t xml:space="preserve">ator profitabilitas perbankan Syariah dari tahun 1992 – 2008 di seluruh dunia, hasil studi menemukan bahwa </w:t>
      </w:r>
      <w:r w:rsidRPr="00AA675E">
        <w:rPr>
          <w:rFonts w:ascii="Times New Roman" w:hAnsi="Times New Roman"/>
          <w:i/>
          <w:sz w:val="24"/>
          <w:szCs w:val="24"/>
        </w:rPr>
        <w:t>equity</w:t>
      </w:r>
      <w:r w:rsidRPr="00346DEE">
        <w:rPr>
          <w:rFonts w:ascii="Times New Roman" w:hAnsi="Times New Roman"/>
          <w:sz w:val="24"/>
          <w:szCs w:val="24"/>
        </w:rPr>
        <w:t xml:space="preserve">, </w:t>
      </w:r>
      <w:r w:rsidRPr="00AA675E">
        <w:rPr>
          <w:rFonts w:ascii="Times New Roman" w:hAnsi="Times New Roman"/>
          <w:i/>
          <w:sz w:val="24"/>
          <w:szCs w:val="24"/>
        </w:rPr>
        <w:t>other operating income</w:t>
      </w:r>
      <w:r>
        <w:rPr>
          <w:rFonts w:ascii="Times New Roman" w:hAnsi="Times New Roman"/>
          <w:sz w:val="24"/>
          <w:szCs w:val="24"/>
        </w:rPr>
        <w:t xml:space="preserve">, GDP percapita, </w:t>
      </w:r>
      <w:r w:rsidRPr="00AA675E">
        <w:rPr>
          <w:rFonts w:ascii="Times New Roman" w:hAnsi="Times New Roman"/>
          <w:i/>
          <w:sz w:val="24"/>
          <w:szCs w:val="24"/>
        </w:rPr>
        <w:t>bank size</w:t>
      </w:r>
      <w:r w:rsidRPr="00346DEE">
        <w:rPr>
          <w:rFonts w:ascii="Times New Roman" w:hAnsi="Times New Roman"/>
          <w:sz w:val="24"/>
          <w:szCs w:val="24"/>
        </w:rPr>
        <w:t xml:space="preserve">, </w:t>
      </w:r>
      <w:r w:rsidRPr="00AA675E">
        <w:rPr>
          <w:rFonts w:ascii="Times New Roman" w:hAnsi="Times New Roman"/>
          <w:i/>
          <w:sz w:val="24"/>
          <w:szCs w:val="24"/>
        </w:rPr>
        <w:t>concentration</w:t>
      </w:r>
      <w:r w:rsidRPr="00346DEE">
        <w:rPr>
          <w:rFonts w:ascii="Times New Roman" w:hAnsi="Times New Roman"/>
          <w:sz w:val="24"/>
          <w:szCs w:val="24"/>
        </w:rPr>
        <w:t xml:space="preserve">, harga minyak, dan </w:t>
      </w:r>
      <w:r w:rsidRPr="00AA675E">
        <w:rPr>
          <w:rFonts w:ascii="Times New Roman" w:hAnsi="Times New Roman"/>
          <w:i/>
          <w:sz w:val="24"/>
          <w:szCs w:val="24"/>
        </w:rPr>
        <w:t>economic development</w:t>
      </w:r>
      <w:r w:rsidRPr="00346DEE">
        <w:rPr>
          <w:rFonts w:ascii="Times New Roman" w:hAnsi="Times New Roman"/>
          <w:sz w:val="24"/>
          <w:szCs w:val="24"/>
        </w:rPr>
        <w:t xml:space="preserve"> mempunyai peran penting dalam meningkatkan </w:t>
      </w:r>
      <w:r>
        <w:rPr>
          <w:rFonts w:ascii="Times New Roman" w:hAnsi="Times New Roman"/>
          <w:sz w:val="24"/>
          <w:szCs w:val="24"/>
        </w:rPr>
        <w:t>profitabilitas</w:t>
      </w:r>
      <w:r w:rsidRPr="00346DEE">
        <w:rPr>
          <w:rFonts w:ascii="Times New Roman" w:hAnsi="Times New Roman"/>
          <w:sz w:val="24"/>
          <w:szCs w:val="24"/>
        </w:rPr>
        <w:t>Bank</w:t>
      </w:r>
      <w:r>
        <w:rPr>
          <w:rFonts w:ascii="Times New Roman" w:hAnsi="Times New Roman"/>
          <w:sz w:val="24"/>
          <w:szCs w:val="24"/>
        </w:rPr>
        <w:t xml:space="preserve"> Syariah</w:t>
      </w:r>
      <w:r w:rsidRPr="00346DEE">
        <w:rPr>
          <w:rFonts w:ascii="Times New Roman" w:hAnsi="Times New Roman"/>
          <w:sz w:val="24"/>
          <w:szCs w:val="24"/>
        </w:rPr>
        <w:t xml:space="preserve">. </w:t>
      </w:r>
    </w:p>
    <w:p w:rsidR="00193D1C" w:rsidRPr="00AA675E" w:rsidRDefault="00193D1C" w:rsidP="00193D1C">
      <w:pPr>
        <w:pStyle w:val="NoSpacing"/>
        <w:jc w:val="both"/>
        <w:rPr>
          <w:rFonts w:ascii="Times New Roman" w:hAnsi="Times New Roman" w:cs="Times New Roman"/>
          <w:sz w:val="24"/>
        </w:rPr>
      </w:pPr>
      <w:proofErr w:type="spellStart"/>
      <w:r w:rsidRPr="00AA675E">
        <w:rPr>
          <w:rFonts w:ascii="Times New Roman" w:hAnsi="Times New Roman" w:cs="Times New Roman"/>
          <w:sz w:val="24"/>
        </w:rPr>
        <w:lastRenderedPageBreak/>
        <w:t>Tahun</w:t>
      </w:r>
      <w:proofErr w:type="spellEnd"/>
      <w:r w:rsidRPr="00AA675E">
        <w:rPr>
          <w:rFonts w:ascii="Times New Roman" w:hAnsi="Times New Roman" w:cs="Times New Roman"/>
          <w:sz w:val="24"/>
        </w:rPr>
        <w:t xml:space="preserve"> 2005 - 2009 </w:t>
      </w:r>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"10.1007/s13132-015-0261-8", "ISBN" : "1313201502", "abstract" : "In this study, Data Envelopment Analysis (DEA) is used to examine the determinants of banking performance in Bahrain between 2005 and 2009. This performance is analyzed through a comparative study of 12 banks (six conventional and six Islamic banks). A diversity of internal and external banking characteristics were used to forecast this performance. The main of them are the return on assets (ROA), return on equity (ROE), and efficiency (EFF). Our determinant study of bank performance confirms previous investigations. The increase in size of Islamic banks and the rapid growth in the customers\u2019 deposits are the important factors of performance. Moreover, our results indicate that the variables related to the government intervention have a negative impact on the banking performance in the conventional funding model.", "author" : [ { "dropping-particle" : "", "family" : "Daly", "given" : "Saida", "non-dropping-particle" : "", "parse-names" : false, "suffix" : "" }, { "dropping-particle" : "", "family" : "Frikha", "given" : "Mohamed", "non-dropping-particle" : "", "parse-names" : false, "suffix" : "" } ], "container-title" : "Springer Science + Business Media New York", "id" : "ITEM-1", "issued" : { "date-parts" : [ [ "2015" ] ] }, "title" : "Determinants of bank Performance : Comparative Study Between Conventional and Islamic Banking in Bahrain", "type" : "article-journal" }, "uris" : [ "http://www.mendeley.com/documents/?uuid=ff7a5e29-2237-47c2-8d06-e37941c77447" ] } ], "mendeley" : { "formattedCitation" : "(Daly and Frikha, 2015)", "plainTextFormattedCitation" : "(Daly and Frikha, 2015)", "previouslyFormattedCitation" : "(Daly and Frikha, 2015)"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(Daly and Frikha, 2015)</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meneliti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faktor-faktor</w:t>
      </w:r>
      <w:proofErr w:type="spellEnd"/>
      <w:r w:rsidRPr="00AA675E">
        <w:rPr>
          <w:rFonts w:ascii="Times New Roman" w:hAnsi="Times New Roman" w:cs="Times New Roman"/>
          <w:sz w:val="24"/>
        </w:rPr>
        <w:t xml:space="preserve"> yang </w:t>
      </w:r>
      <w:proofErr w:type="spellStart"/>
      <w:r w:rsidRPr="00AA675E">
        <w:rPr>
          <w:rFonts w:ascii="Times New Roman" w:hAnsi="Times New Roman" w:cs="Times New Roman"/>
          <w:sz w:val="24"/>
        </w:rPr>
        <w:t>mempengaruhi</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syariah</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konvensional</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melalui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comparative 12 bank (6 </w:t>
      </w:r>
      <w:proofErr w:type="spellStart"/>
      <w:r w:rsidRPr="00AA675E">
        <w:rPr>
          <w:rFonts w:ascii="Times New Roman" w:hAnsi="Times New Roman" w:cs="Times New Roman"/>
          <w:sz w:val="24"/>
        </w:rPr>
        <w:t>islamic</w:t>
      </w:r>
      <w:proofErr w:type="spellEnd"/>
      <w:r w:rsidRPr="00AA675E">
        <w:rPr>
          <w:rFonts w:ascii="Times New Roman" w:hAnsi="Times New Roman" w:cs="Times New Roman"/>
          <w:sz w:val="24"/>
        </w:rPr>
        <w:t xml:space="preserve"> bank dan 6 </w:t>
      </w:r>
      <w:proofErr w:type="spellStart"/>
      <w:r w:rsidRPr="00AA675E">
        <w:rPr>
          <w:rFonts w:ascii="Times New Roman" w:hAnsi="Times New Roman" w:cs="Times New Roman"/>
          <w:sz w:val="24"/>
        </w:rPr>
        <w:t>convensional</w:t>
      </w:r>
      <w:proofErr w:type="spellEnd"/>
      <w:r w:rsidRPr="00AA675E">
        <w:rPr>
          <w:rFonts w:ascii="Times New Roman" w:hAnsi="Times New Roman" w:cs="Times New Roman"/>
          <w:sz w:val="24"/>
        </w:rPr>
        <w:t xml:space="preserve"> bank), proxy yang </w:t>
      </w:r>
      <w:proofErr w:type="spellStart"/>
      <w:r w:rsidRPr="00AA675E">
        <w:rPr>
          <w:rFonts w:ascii="Times New Roman" w:hAnsi="Times New Roman" w:cs="Times New Roman"/>
          <w:sz w:val="24"/>
        </w:rPr>
        <w:t>digunakan</w:t>
      </w:r>
      <w:proofErr w:type="spellEnd"/>
      <w:r w:rsidRPr="00AA675E">
        <w:rPr>
          <w:rFonts w:ascii="Times New Roman" w:hAnsi="Times New Roman" w:cs="Times New Roman"/>
          <w:sz w:val="24"/>
        </w:rPr>
        <w:t xml:space="preserve"> ROA, ROE, dan </w:t>
      </w:r>
      <w:proofErr w:type="spellStart"/>
      <w:r w:rsidRPr="00AA675E">
        <w:rPr>
          <w:rFonts w:ascii="Times New Roman" w:hAnsi="Times New Roman" w:cs="Times New Roman"/>
          <w:i/>
          <w:sz w:val="24"/>
        </w:rPr>
        <w:t>Eficiency</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menemukan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bahwa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ukuran</w:t>
      </w:r>
      <w:proofErr w:type="spellEnd"/>
      <w:r w:rsidRPr="00AA675E">
        <w:rPr>
          <w:rFonts w:ascii="Times New Roman" w:hAnsi="Times New Roman" w:cs="Times New Roman"/>
          <w:sz w:val="24"/>
        </w:rPr>
        <w:t xml:space="preserve"> bank dan </w:t>
      </w:r>
      <w:proofErr w:type="spellStart"/>
      <w:r w:rsidRPr="00AA675E">
        <w:rPr>
          <w:rFonts w:ascii="Times New Roman" w:hAnsi="Times New Roman" w:cs="Times New Roman"/>
          <w:sz w:val="24"/>
        </w:rPr>
        <w:t>pertumbuhan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konsumen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adalah</w:t>
      </w:r>
      <w:proofErr w:type="spellEnd"/>
      <w:r w:rsidRPr="00AA675E">
        <w:rPr>
          <w:rFonts w:ascii="Times New Roman" w:hAnsi="Times New Roman" w:cs="Times New Roman"/>
          <w:sz w:val="24"/>
        </w:rPr>
        <w:t xml:space="preserve"> factor </w:t>
      </w:r>
      <w:proofErr w:type="spellStart"/>
      <w:r w:rsidRPr="00AA675E">
        <w:rPr>
          <w:rFonts w:ascii="Times New Roman" w:hAnsi="Times New Roman" w:cs="Times New Roman"/>
          <w:sz w:val="24"/>
        </w:rPr>
        <w:t>terpenting</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penentu</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perbankan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tetapi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intervensi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pemerintah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berpengaruh</w:t>
      </w:r>
      <w:proofErr w:type="spellEnd"/>
      <w:r w:rsidRPr="00AA675E">
        <w:rPr>
          <w:rFonts w:ascii="Times New Roman" w:hAnsi="Times New Roman" w:cs="Times New Roman"/>
          <w:sz w:val="24"/>
        </w:rPr>
        <w:t xml:space="preserve"> negative </w:t>
      </w:r>
      <w:proofErr w:type="spellStart"/>
      <w:r w:rsidRPr="00AA675E">
        <w:rPr>
          <w:rFonts w:ascii="Times New Roman" w:hAnsi="Times New Roman" w:cs="Times New Roman"/>
          <w:sz w:val="24"/>
        </w:rPr>
        <w:t>terhadap</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syariah</w:t>
      </w:r>
      <w:proofErr w:type="spellEnd"/>
      <w:r w:rsidRPr="00AA675E">
        <w:rPr>
          <w:rFonts w:ascii="Times New Roman" w:hAnsi="Times New Roman" w:cs="Times New Roman"/>
          <w:sz w:val="24"/>
        </w:rPr>
        <w:t xml:space="preserve">. Factor lain yang </w:t>
      </w:r>
      <w:proofErr w:type="spellStart"/>
      <w:r w:rsidRPr="00AA675E">
        <w:rPr>
          <w:rFonts w:ascii="Times New Roman" w:hAnsi="Times New Roman" w:cs="Times New Roman"/>
          <w:sz w:val="24"/>
        </w:rPr>
        <w:t>menentukan</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syariah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adalah</w:t>
      </w:r>
      <w:proofErr w:type="spellEnd"/>
      <w:r w:rsidRPr="00AA675E">
        <w:rPr>
          <w:rFonts w:ascii="Times New Roman" w:hAnsi="Times New Roman" w:cs="Times New Roman"/>
          <w:sz w:val="24"/>
        </w:rPr>
        <w:t xml:space="preserve"> modal yang </w:t>
      </w:r>
      <w:proofErr w:type="spellStart"/>
      <w:r w:rsidRPr="00AA675E">
        <w:rPr>
          <w:rFonts w:ascii="Times New Roman" w:hAnsi="Times New Roman" w:cs="Times New Roman"/>
          <w:sz w:val="24"/>
        </w:rPr>
        <w:t>besar</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rasio</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pinjaman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terhadap</w:t>
      </w:r>
      <w:proofErr w:type="spellEnd"/>
      <w:r w:rsidRPr="00AA675E">
        <w:rPr>
          <w:rFonts w:ascii="Times New Roman" w:hAnsi="Times New Roman" w:cs="Times New Roman"/>
          <w:sz w:val="24"/>
        </w:rPr>
        <w:t xml:space="preserve"> asset, dan </w:t>
      </w:r>
      <w:proofErr w:type="spellStart"/>
      <w:r w:rsidRPr="00AA675E">
        <w:rPr>
          <w:rFonts w:ascii="Times New Roman" w:hAnsi="Times New Roman" w:cs="Times New Roman"/>
          <w:sz w:val="24"/>
        </w:rPr>
        <w:t>kondisi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macroekoni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tetapi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pajak</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tidak</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memberikan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pengaruh</w:t>
      </w:r>
      <w:proofErr w:type="spellEnd"/>
      <w:r w:rsidRPr="00AA675E">
        <w:rPr>
          <w:rFonts w:ascii="Times New Roman" w:hAnsi="Times New Roman" w:cs="Times New Roman"/>
          <w:sz w:val="24"/>
        </w:rPr>
        <w:t xml:space="preserve"> negative </w:t>
      </w:r>
      <w:proofErr w:type="spellStart"/>
      <w:r w:rsidRPr="00AA675E">
        <w:rPr>
          <w:rFonts w:ascii="Times New Roman" w:hAnsi="Times New Roman" w:cs="Times New Roman"/>
          <w:sz w:val="24"/>
        </w:rPr>
        <w:t>terhadap</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perbankan</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syariah</w:t>
      </w:r>
      <w:proofErr w:type="spellEnd"/>
      <w:r w:rsidR="00C86557" w:rsidRPr="00AA675E">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"10.3366/edinburgh/9780748621002.003.0008", "ISBN" : "9788578110796", "ISSN" : "1098-6596", "PMID" : "25246403", "abstract" : "The paper analyzes how bank characteristics and the overall financial environment affect the performance of Islamic banks. Utilizing bank level data, the study examines the performance indicators of Islamic banks\u2019 worldwide during 1994-2001. A variety of internal and external banking characteristics were used to predict profitability and efficiency. In general, our analysis of determinants of Islamic bank profitability confirms previous findings. Controlling for macroeconomic environment, financial market structure, and taxation, the results indicate that high capital and loan-to-asset ratios lead to higher profitability. Everything remaining equal, the regression results show that implicit and explicit taxes affect the bank performance measures negatively while favorable macroeconomic conditions impact performance measures positively. Surprisingly, the results indicate a strong positive correlation between profitability and overhead", "author" : [ { "dropping-particle" : "", "family" : "Hassan", "given" : "M. Kabir", "non-dropping-particle" : "", "parse-names" : false, "suffix" : "" }, { "dropping-particle" : "", "family" : "Bashir", "given" : "Abdel-Hameed M.", "non-dropping-particle" : "", "parse-names" : false, "suffix" : "" } ], "container-title" : "Islamic Perspectives on Wealth Creation", "id" : "ITEM-1", "issue" : "June", "issued" : { "date-parts" : [ [ "2005", "5", "27" ] ] }, "page" : "118-140", "publisher" : "Edinburgh University Press", "title" : "Determinants of Islamic Banking Profitability", "type" : "chapter", "volume" : "7" }, "uris" : [ "http://www.mendeley.com/documents/?uuid=f6c30ea5-9823-49b4-987e-4500a0fc6973" ] } ], "mendeley" : { "formattedCitation" : "(Hassan and Bashir, 2005)", "plainTextFormattedCitation" : "(Hassan and Bashir, 2005)", "previouslyFormattedCitation" : "(Hassan and Bashir, 2005)"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7544C9">
        <w:rPr>
          <w:rFonts w:ascii="Times New Roman" w:hAnsi="Times New Roman" w:cs="Times New Roman"/>
          <w:noProof/>
          <w:sz w:val="24"/>
        </w:rPr>
        <w:t>(Hassan and Bashir, 2005)</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r w:rsidR="00C86557" w:rsidRPr="00AA675E">
        <w:rPr>
          <w:rFonts w:ascii="Times New Roman" w:hAnsi="Times New Roman" w:cs="Times New Roman"/>
          <w:sz w:val="24"/>
        </w:rPr>
        <w:fldChar w:fldCharType="begin" w:fldLock="1"/>
      </w:r>
      <w:r w:rsidRPr="00AA675E">
        <w:rPr>
          <w:rFonts w:ascii="Times New Roman" w:hAnsi="Times New Roman" w:cs="Times New Roman"/>
          <w:sz w:val="24"/>
        </w:rPr>
        <w:instrText>ADDIN CSL_CITATION { "citationItems" : [ { "id" : "ITEM-1", "itemData" : { "DOI" : "10.1017/CBO9781107415324.004", "ISBN" : "9788578110796", "ISSN" : "1098-6596", "PMID" : "25246403", "abstract" : "This study aims to investigate the determinants of efficiency, profitability and stability in the banking sector across the world over the period 2005-2012. In this study, efficiency is measured using data envelopment analysis (DEA), which is divided into technical efficiency (TE), pure technical efficiency (PTE), and scale efficiency (SE). The profitability is represented by return on assets (ROA), return on equity (ROE), and net interest margin (NIM). Furthermore, the z-score and capital ratios are the main indicators for stability. The data includes 323 banks (43 Islamic, 242 conventional, and 38 socially responsible banks [SRBs]) from around the world, covering 37 countries. The statistical methods to find the determinants are ordinary least square (OLS) and fixed effects model (FEM). The data for this study was extracted from the Bankscope and World Bank databases.", "author" : [ { "dropping-particle" : "", "family" : "Alharthi", "given" : "Majed", "non-dropping-particle" : "", "parse-names" : false, "suffix" : "" } ], "id" : "ITEM-1", "issued" : { "date-parts" : [ [ "2016" ] ] }, "number-of-pages" : "0-349", "publisher" : "Plymouth University, Plymouth", "title" : "The Determinants of Efficiency, Profitability and Stability in the Banking Sector: A Comparative Study of Islamic, Conventional and Socially Responsible Banks", "type" : "thesis" }, "uris" : [ "http://www.mendeley.com/documents/?uuid=88b1d50e-2236-4f36-ac70-8cda4eba7950" ] } ], "mendeley" : { "formattedCitation" : "(Alharthi, 2016)", "plainTextFormattedCitation" : "(Alharthi, 2016)", "previouslyFormattedCitation" : "(Alharthi, 2016)" }, "properties" : { "noteIndex" : 2 }, "schema" : "https://github.com/citation-style-language/schema/raw/master/csl-citation.json" }</w:instrText>
      </w:r>
      <w:r w:rsidR="00C86557" w:rsidRPr="00AA675E">
        <w:rPr>
          <w:rFonts w:ascii="Times New Roman" w:hAnsi="Times New Roman" w:cs="Times New Roman"/>
          <w:sz w:val="24"/>
        </w:rPr>
        <w:fldChar w:fldCharType="separate"/>
      </w:r>
      <w:r w:rsidRPr="00AA675E">
        <w:rPr>
          <w:rFonts w:ascii="Times New Roman" w:hAnsi="Times New Roman" w:cs="Times New Roman"/>
          <w:noProof/>
          <w:sz w:val="24"/>
        </w:rPr>
        <w:t>(Alharthi, 2016)</w:t>
      </w:r>
      <w:r w:rsidR="00C86557" w:rsidRPr="00AA675E">
        <w:rPr>
          <w:rFonts w:ascii="Times New Roman" w:hAnsi="Times New Roman" w:cs="Times New Roman"/>
          <w:sz w:val="24"/>
        </w:rPr>
        <w:fldChar w:fldCharType="end"/>
      </w:r>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meneliti</w:t>
      </w:r>
      <w:proofErr w:type="spellEnd"/>
      <w:r w:rsidRPr="00AA675E">
        <w:rPr>
          <w:rFonts w:ascii="Times New Roman" w:hAnsi="Times New Roman" w:cs="Times New Roman"/>
          <w:sz w:val="24"/>
        </w:rPr>
        <w:t xml:space="preserve"> factor-</w:t>
      </w:r>
      <w:proofErr w:type="spellStart"/>
      <w:r w:rsidRPr="00AA675E">
        <w:rPr>
          <w:rFonts w:ascii="Times New Roman" w:hAnsi="Times New Roman" w:cs="Times New Roman"/>
          <w:sz w:val="24"/>
        </w:rPr>
        <w:t>faktor</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 xml:space="preserve"> bank </w:t>
      </w:r>
      <w:proofErr w:type="spellStart"/>
      <w:r w:rsidRPr="00AA675E">
        <w:rPr>
          <w:rFonts w:ascii="Times New Roman" w:hAnsi="Times New Roman" w:cs="Times New Roman"/>
          <w:sz w:val="24"/>
        </w:rPr>
        <w:t>syariah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hasil</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studi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menemukan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bahwa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risiko</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kredit</w:t>
      </w:r>
      <w:proofErr w:type="spellEnd"/>
      <w:r w:rsidRPr="00AA675E">
        <w:rPr>
          <w:rFonts w:ascii="Times New Roman" w:hAnsi="Times New Roman" w:cs="Times New Roman"/>
          <w:sz w:val="24"/>
        </w:rPr>
        <w:t xml:space="preserve"> dan modal </w:t>
      </w:r>
      <w:proofErr w:type="spellStart"/>
      <w:r w:rsidRPr="00AA675E">
        <w:rPr>
          <w:rFonts w:ascii="Times New Roman" w:hAnsi="Times New Roman" w:cs="Times New Roman"/>
          <w:sz w:val="24"/>
        </w:rPr>
        <w:t>mempengaruhi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secara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negatif</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signifikan</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Ukuran</w:t>
      </w:r>
      <w:proofErr w:type="spellEnd"/>
      <w:r>
        <w:rPr>
          <w:rFonts w:ascii="Times New Roman" w:hAnsi="Times New Roman" w:cs="Times New Roman"/>
          <w:sz w:val="24"/>
        </w:rPr>
        <w:t xml:space="preserve"> Bank, </w:t>
      </w:r>
      <w:proofErr w:type="spellStart"/>
      <w:r>
        <w:rPr>
          <w:rFonts w:ascii="Times New Roman" w:hAnsi="Times New Roman" w:cs="Times New Roman"/>
          <w:sz w:val="24"/>
        </w:rPr>
        <w:t>rasio</w:t>
      </w:r>
      <w:proofErr w:type="spellEnd"/>
      <w:r>
        <w:rPr>
          <w:rFonts w:ascii="Times New Roman" w:hAnsi="Times New Roman" w:cs="Times New Roman"/>
          <w:sz w:val="24"/>
        </w:rPr>
        <w:t xml:space="preserve"> deposit </w:t>
      </w:r>
      <w:proofErr w:type="spellStart"/>
      <w:r w:rsidRPr="00AA675E">
        <w:rPr>
          <w:rFonts w:ascii="Times New Roman" w:hAnsi="Times New Roman" w:cs="Times New Roman"/>
          <w:sz w:val="24"/>
        </w:rPr>
        <w:t>positif</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signifikan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mempengaruhi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sedangkan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intensitas</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pinjaman</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kepemilikan</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asing</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berpengaruh</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signifikan</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negatif</w:t>
      </w:r>
      <w:proofErr w:type="spellEnd"/>
      <w:r>
        <w:rPr>
          <w:rFonts w:ascii="Times New Roman" w:hAnsi="Times New Roman" w:cs="Times New Roman"/>
          <w:sz w:val="24"/>
        </w:rPr>
        <w:t xml:space="preserve"> </w:t>
      </w:r>
      <w:proofErr w:type="spellStart"/>
      <w:r w:rsidRPr="00AA675E">
        <w:rPr>
          <w:rFonts w:ascii="Times New Roman" w:hAnsi="Times New Roman" w:cs="Times New Roman"/>
          <w:sz w:val="24"/>
        </w:rPr>
        <w:t>terhadap</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 xml:space="preserve">. </w:t>
      </w:r>
      <w:proofErr w:type="spellStart"/>
      <w:r>
        <w:rPr>
          <w:rFonts w:ascii="Times New Roman" w:hAnsi="Times New Roman" w:cs="Times New Roman"/>
          <w:sz w:val="24"/>
        </w:rPr>
        <w:t>Demikian</w:t>
      </w:r>
      <w:proofErr w:type="spellEnd"/>
      <w:r>
        <w:rPr>
          <w:rFonts w:ascii="Times New Roman" w:hAnsi="Times New Roman" w:cs="Times New Roman"/>
          <w:sz w:val="24"/>
        </w:rPr>
        <w:t xml:space="preserve"> juga </w:t>
      </w:r>
      <w:r w:rsidRPr="00AA675E">
        <w:rPr>
          <w:rFonts w:ascii="Times New Roman" w:hAnsi="Times New Roman" w:cs="Times New Roman"/>
          <w:sz w:val="24"/>
        </w:rPr>
        <w:t xml:space="preserve">GDP </w:t>
      </w:r>
      <w:r>
        <w:rPr>
          <w:rFonts w:ascii="Times New Roman" w:hAnsi="Times New Roman" w:cs="Times New Roman"/>
          <w:sz w:val="24"/>
        </w:rPr>
        <w:t xml:space="preserve">dan </w:t>
      </w:r>
      <w:proofErr w:type="spellStart"/>
      <w:r w:rsidRPr="00AA675E">
        <w:rPr>
          <w:rFonts w:ascii="Times New Roman" w:hAnsi="Times New Roman" w:cs="Times New Roman"/>
          <w:sz w:val="24"/>
        </w:rPr>
        <w:t>kapitalisasi</w:t>
      </w:r>
      <w:proofErr w:type="spellEnd"/>
      <w:r w:rsidRPr="00AA675E">
        <w:rPr>
          <w:rFonts w:ascii="Times New Roman" w:hAnsi="Times New Roman" w:cs="Times New Roman"/>
          <w:sz w:val="24"/>
        </w:rPr>
        <w:t xml:space="preserve"> pasar </w:t>
      </w:r>
      <w:proofErr w:type="spellStart"/>
      <w:r w:rsidRPr="00AA675E">
        <w:rPr>
          <w:rFonts w:ascii="Times New Roman" w:hAnsi="Times New Roman" w:cs="Times New Roman"/>
          <w:sz w:val="24"/>
        </w:rPr>
        <w:t>secara</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negatif</w:t>
      </w:r>
      <w:proofErr w:type="spellEnd"/>
      <w:r w:rsidRPr="00AA675E">
        <w:rPr>
          <w:rFonts w:ascii="Times New Roman" w:hAnsi="Times New Roman" w:cs="Times New Roman"/>
          <w:sz w:val="24"/>
        </w:rPr>
        <w:t xml:space="preserve"> dan </w:t>
      </w:r>
      <w:proofErr w:type="spellStart"/>
      <w:r w:rsidRPr="00AA675E">
        <w:rPr>
          <w:rFonts w:ascii="Times New Roman" w:hAnsi="Times New Roman" w:cs="Times New Roman"/>
          <w:sz w:val="24"/>
        </w:rPr>
        <w:t>signifikan</w:t>
      </w:r>
      <w:proofErr w:type="spellEnd"/>
      <w:r w:rsidR="00E61690">
        <w:rPr>
          <w:rFonts w:ascii="Times New Roman" w:hAnsi="Times New Roman" w:cs="Times New Roman"/>
          <w:sz w:val="24"/>
        </w:rPr>
        <w:t xml:space="preserve"> </w:t>
      </w:r>
      <w:proofErr w:type="spellStart"/>
      <w:r>
        <w:rPr>
          <w:rFonts w:ascii="Times New Roman" w:hAnsi="Times New Roman" w:cs="Times New Roman"/>
          <w:sz w:val="24"/>
        </w:rPr>
        <w:t>mempengaruhi</w:t>
      </w:r>
      <w:proofErr w:type="spellEnd"/>
      <w:r w:rsidRPr="00AA675E">
        <w:rPr>
          <w:rFonts w:ascii="Times New Roman" w:hAnsi="Times New Roman" w:cs="Times New Roman"/>
          <w:sz w:val="24"/>
        </w:rPr>
        <w:t xml:space="preserve"> </w:t>
      </w:r>
      <w:proofErr w:type="spellStart"/>
      <w:r w:rsidRPr="00AA675E">
        <w:rPr>
          <w:rFonts w:ascii="Times New Roman" w:hAnsi="Times New Roman" w:cs="Times New Roman"/>
          <w:sz w:val="24"/>
        </w:rPr>
        <w:t>profitabilitas</w:t>
      </w:r>
      <w:proofErr w:type="spellEnd"/>
      <w:r w:rsidRPr="00AA675E">
        <w:rPr>
          <w:rFonts w:ascii="Times New Roman" w:hAnsi="Times New Roman" w:cs="Times New Roman"/>
          <w:sz w:val="24"/>
        </w:rPr>
        <w:t>.</w:t>
      </w:r>
      <w:r w:rsidR="00E61690">
        <w:rPr>
          <w:rFonts w:ascii="Times New Roman" w:hAnsi="Times New Roman" w:cs="Times New Roman"/>
          <w:sz w:val="24"/>
        </w:rPr>
        <w:t xml:space="preserve"> </w:t>
      </w:r>
      <w:proofErr w:type="spellStart"/>
      <w:r w:rsidRPr="00AA675E">
        <w:rPr>
          <w:rFonts w:ascii="Times New Roman" w:hAnsi="Times New Roman" w:cs="Times New Roman"/>
          <w:sz w:val="24"/>
          <w:szCs w:val="24"/>
          <w:lang w:eastAsia="pt-PT"/>
        </w:rPr>
        <w:t>Berdasarkan</w:t>
      </w:r>
      <w:proofErr w:type="spellEnd"/>
      <w:r w:rsidRPr="00AA675E">
        <w:rPr>
          <w:rFonts w:ascii="Times New Roman" w:hAnsi="Times New Roman" w:cs="Times New Roman"/>
          <w:sz w:val="24"/>
          <w:szCs w:val="24"/>
          <w:lang w:eastAsia="pt-PT"/>
        </w:rPr>
        <w:t xml:space="preserve"> gap </w:t>
      </w:r>
      <w:proofErr w:type="spellStart"/>
      <w:r w:rsidRPr="00AA675E">
        <w:rPr>
          <w:rFonts w:ascii="Times New Roman" w:hAnsi="Times New Roman" w:cs="Times New Roman"/>
          <w:sz w:val="24"/>
          <w:szCs w:val="24"/>
          <w:lang w:eastAsia="pt-PT"/>
        </w:rPr>
        <w:t>teori</w:t>
      </w:r>
      <w:proofErr w:type="spellEnd"/>
      <w:r w:rsidRPr="00AA675E">
        <w:rPr>
          <w:rFonts w:ascii="Times New Roman" w:hAnsi="Times New Roman" w:cs="Times New Roman"/>
          <w:sz w:val="24"/>
          <w:szCs w:val="24"/>
          <w:lang w:eastAsia="pt-PT"/>
        </w:rPr>
        <w:t xml:space="preserve"> dan </w:t>
      </w:r>
      <w:proofErr w:type="spellStart"/>
      <w:r w:rsidRPr="00AA675E">
        <w:rPr>
          <w:rFonts w:ascii="Times New Roman" w:hAnsi="Times New Roman" w:cs="Times New Roman"/>
          <w:sz w:val="24"/>
          <w:szCs w:val="24"/>
          <w:lang w:eastAsia="pt-PT"/>
        </w:rPr>
        <w:t>studi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terhadulu</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tujuan</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utama</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penelitian</w:t>
      </w:r>
      <w:proofErr w:type="spellEnd"/>
      <w:r w:rsidRPr="00AA675E">
        <w:rPr>
          <w:rFonts w:ascii="Times New Roman" w:hAnsi="Times New Roman" w:cs="Times New Roman"/>
          <w:sz w:val="24"/>
          <w:szCs w:val="24"/>
          <w:lang w:eastAsia="pt-PT"/>
        </w:rPr>
        <w:t xml:space="preserve"> ini </w:t>
      </w:r>
      <w:proofErr w:type="spellStart"/>
      <w:r w:rsidRPr="00AA675E">
        <w:rPr>
          <w:rFonts w:ascii="Times New Roman" w:hAnsi="Times New Roman" w:cs="Times New Roman"/>
          <w:sz w:val="24"/>
          <w:szCs w:val="24"/>
          <w:lang w:eastAsia="pt-PT"/>
        </w:rPr>
        <w:t>adalah</w:t>
      </w:r>
      <w:proofErr w:type="spellEnd"/>
      <w:r w:rsidRPr="00AA675E">
        <w:rPr>
          <w:rFonts w:ascii="Times New Roman" w:hAnsi="Times New Roman" w:cs="Times New Roman"/>
          <w:sz w:val="24"/>
          <w:szCs w:val="24"/>
          <w:lang w:eastAsia="pt-PT"/>
        </w:rPr>
        <w:t xml:space="preserve"> untuk </w:t>
      </w:r>
      <w:proofErr w:type="spellStart"/>
      <w:r>
        <w:rPr>
          <w:rFonts w:ascii="Times New Roman" w:hAnsi="Times New Roman" w:cs="Times New Roman"/>
          <w:sz w:val="24"/>
          <w:szCs w:val="24"/>
          <w:lang w:eastAsia="pt-PT"/>
        </w:rPr>
        <w:t>meneliti</w:t>
      </w:r>
      <w:proofErr w:type="spellEnd"/>
      <w:r>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rPr>
        <w:t>Profitabilitas</w:t>
      </w:r>
      <w:proofErr w:type="spellEnd"/>
      <w:r w:rsidRPr="00AA675E">
        <w:rPr>
          <w:rFonts w:ascii="Times New Roman" w:hAnsi="Times New Roman" w:cs="Times New Roman"/>
          <w:sz w:val="24"/>
          <w:szCs w:val="24"/>
        </w:rPr>
        <w:t xml:space="preserve"> Bank Syariah di Indonesia</w:t>
      </w:r>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Studi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diharapkan</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dapat</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memberikan</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kontribusi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bagi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pengayaan</w:t>
      </w:r>
      <w:proofErr w:type="spellEnd"/>
      <w:r w:rsidRPr="00AA675E">
        <w:rPr>
          <w:rFonts w:ascii="Times New Roman" w:hAnsi="Times New Roman" w:cs="Times New Roman"/>
          <w:sz w:val="24"/>
          <w:szCs w:val="24"/>
          <w:lang w:eastAsia="pt-PT"/>
        </w:rPr>
        <w:t xml:space="preserve"> literature untuk </w:t>
      </w:r>
      <w:proofErr w:type="spellStart"/>
      <w:r w:rsidRPr="00AA675E">
        <w:rPr>
          <w:rFonts w:ascii="Times New Roman" w:hAnsi="Times New Roman" w:cs="Times New Roman"/>
          <w:sz w:val="24"/>
          <w:szCs w:val="24"/>
          <w:lang w:eastAsia="pt-PT"/>
        </w:rPr>
        <w:t>mengisi</w:t>
      </w:r>
      <w:proofErr w:type="spellEnd"/>
      <w:r w:rsidRPr="00AA675E">
        <w:rPr>
          <w:rFonts w:ascii="Times New Roman" w:hAnsi="Times New Roman" w:cs="Times New Roman"/>
          <w:sz w:val="24"/>
          <w:szCs w:val="24"/>
          <w:lang w:eastAsia="pt-PT"/>
        </w:rPr>
        <w:t xml:space="preserve"> gap </w:t>
      </w:r>
      <w:proofErr w:type="spellStart"/>
      <w:r w:rsidRPr="00AA675E">
        <w:rPr>
          <w:rFonts w:ascii="Times New Roman" w:hAnsi="Times New Roman" w:cs="Times New Roman"/>
          <w:sz w:val="24"/>
          <w:szCs w:val="24"/>
          <w:lang w:eastAsia="pt-PT"/>
        </w:rPr>
        <w:t>penelitian</w:t>
      </w:r>
      <w:proofErr w:type="spellEnd"/>
      <w:r w:rsidRPr="00AA675E">
        <w:rPr>
          <w:rFonts w:ascii="Times New Roman" w:hAnsi="Times New Roman" w:cs="Times New Roman"/>
          <w:sz w:val="24"/>
          <w:szCs w:val="24"/>
          <w:lang w:eastAsia="pt-PT"/>
        </w:rPr>
        <w:t xml:space="preserve"> Islamic </w:t>
      </w:r>
      <w:proofErr w:type="spellStart"/>
      <w:r w:rsidRPr="00AA675E">
        <w:rPr>
          <w:rFonts w:ascii="Times New Roman" w:hAnsi="Times New Roman" w:cs="Times New Roman"/>
          <w:sz w:val="24"/>
          <w:szCs w:val="24"/>
          <w:lang w:eastAsia="pt-PT"/>
        </w:rPr>
        <w:t>Manajemen</w:t>
      </w:r>
      <w:proofErr w:type="spellEnd"/>
      <w:r w:rsidRPr="00AA675E">
        <w:rPr>
          <w:rFonts w:ascii="Times New Roman" w:hAnsi="Times New Roman" w:cs="Times New Roman"/>
          <w:sz w:val="24"/>
          <w:szCs w:val="24"/>
          <w:lang w:eastAsia="pt-PT"/>
        </w:rPr>
        <w:t xml:space="preserve">, business &amp; </w:t>
      </w:r>
      <w:proofErr w:type="spellStart"/>
      <w:r w:rsidRPr="00AA675E">
        <w:rPr>
          <w:rFonts w:ascii="Times New Roman" w:hAnsi="Times New Roman" w:cs="Times New Roman"/>
          <w:sz w:val="24"/>
          <w:szCs w:val="24"/>
          <w:lang w:eastAsia="pt-PT"/>
        </w:rPr>
        <w:t>philantrophy</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serta</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sebagai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bukti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empiris</w:t>
      </w:r>
      <w:proofErr w:type="spellEnd"/>
      <w:r w:rsidRPr="00AA675E">
        <w:rPr>
          <w:rFonts w:ascii="Times New Roman" w:hAnsi="Times New Roman" w:cs="Times New Roman"/>
          <w:sz w:val="24"/>
          <w:szCs w:val="24"/>
          <w:lang w:eastAsia="pt-PT"/>
        </w:rPr>
        <w:t xml:space="preserve"> dan </w:t>
      </w:r>
      <w:proofErr w:type="spellStart"/>
      <w:r w:rsidRPr="00AA675E">
        <w:rPr>
          <w:rFonts w:ascii="Times New Roman" w:hAnsi="Times New Roman" w:cs="Times New Roman"/>
          <w:sz w:val="24"/>
          <w:szCs w:val="24"/>
          <w:lang w:eastAsia="pt-PT"/>
        </w:rPr>
        <w:t>acuan</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bagi</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penelitian</w:t>
      </w:r>
      <w:proofErr w:type="spellEnd"/>
      <w:r w:rsidRPr="00AA675E">
        <w:rPr>
          <w:rFonts w:ascii="Times New Roman" w:hAnsi="Times New Roman" w:cs="Times New Roman"/>
          <w:sz w:val="24"/>
          <w:szCs w:val="24"/>
          <w:lang w:eastAsia="pt-PT"/>
        </w:rPr>
        <w:t xml:space="preserve"> </w:t>
      </w:r>
      <w:proofErr w:type="spellStart"/>
      <w:r w:rsidRPr="00AA675E">
        <w:rPr>
          <w:rFonts w:ascii="Times New Roman" w:hAnsi="Times New Roman" w:cs="Times New Roman"/>
          <w:sz w:val="24"/>
          <w:szCs w:val="24"/>
          <w:lang w:eastAsia="pt-PT"/>
        </w:rPr>
        <w:t>selanjutnya</w:t>
      </w:r>
      <w:proofErr w:type="spellEnd"/>
      <w:r>
        <w:rPr>
          <w:rFonts w:ascii="Times New Roman" w:hAnsi="Times New Roman" w:cs="Times New Roman"/>
          <w:sz w:val="24"/>
          <w:szCs w:val="24"/>
          <w:lang w:eastAsia="pt-PT"/>
        </w:rPr>
        <w:t>.</w:t>
      </w:r>
    </w:p>
    <w:p w:rsidR="00193D1C" w:rsidRPr="00744857" w:rsidRDefault="00193D1C" w:rsidP="00193D1C">
      <w:pPr>
        <w:tabs>
          <w:tab w:val="left" w:pos="567"/>
        </w:tabs>
        <w:jc w:val="both"/>
        <w:rPr>
          <w:rFonts w:ascii="Times New Roman" w:hAnsi="Times New Roman"/>
          <w:sz w:val="24"/>
          <w:szCs w:val="24"/>
        </w:rPr>
      </w:pPr>
    </w:p>
    <w:p w:rsidR="00193D1C" w:rsidRDefault="00193D1C" w:rsidP="00193D1C">
      <w:pPr>
        <w:tabs>
          <w:tab w:val="left" w:pos="567"/>
        </w:tabs>
        <w:rPr>
          <w:rFonts w:ascii="Times New Roman" w:hAnsi="Times New Roman"/>
          <w:b/>
          <w:sz w:val="24"/>
          <w:szCs w:val="24"/>
        </w:rPr>
      </w:pPr>
      <w:r w:rsidRPr="00744857">
        <w:rPr>
          <w:rFonts w:ascii="Times New Roman" w:hAnsi="Times New Roman"/>
          <w:b/>
          <w:sz w:val="24"/>
          <w:szCs w:val="24"/>
        </w:rPr>
        <w:t>METODOLOGI PENELITIAN</w:t>
      </w:r>
    </w:p>
    <w:p w:rsidR="00193D1C" w:rsidRPr="00E61690" w:rsidRDefault="00193D1C" w:rsidP="00193D1C">
      <w:pPr>
        <w:pStyle w:val="NoSpacing"/>
        <w:spacing w:before="120"/>
        <w:jc w:val="both"/>
        <w:rPr>
          <w:rFonts w:ascii="Times New Roman" w:hAnsi="Times New Roman" w:cs="Times New Roman"/>
          <w:sz w:val="24"/>
          <w:szCs w:val="24"/>
          <w:lang w:val="id-ID"/>
        </w:rPr>
      </w:pPr>
      <w:proofErr w:type="spellStart"/>
      <w:r w:rsidRPr="00EE5204">
        <w:rPr>
          <w:rFonts w:ascii="Times New Roman" w:hAnsi="Times New Roman" w:cs="Times New Roman"/>
          <w:sz w:val="24"/>
          <w:szCs w:val="24"/>
        </w:rPr>
        <w:t>Metode</w:t>
      </w:r>
      <w:proofErr w:type="spellEnd"/>
      <w:r w:rsidRPr="00EE5204">
        <w:rPr>
          <w:rFonts w:ascii="Times New Roman" w:hAnsi="Times New Roman" w:cs="Times New Roman"/>
          <w:sz w:val="24"/>
          <w:szCs w:val="24"/>
        </w:rPr>
        <w:t xml:space="preserve"> yang </w:t>
      </w:r>
      <w:proofErr w:type="spellStart"/>
      <w:r w:rsidRPr="00EE5204">
        <w:rPr>
          <w:rFonts w:ascii="Times New Roman" w:hAnsi="Times New Roman" w:cs="Times New Roman"/>
          <w:sz w:val="24"/>
          <w:szCs w:val="24"/>
        </w:rPr>
        <w:t>digunakan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dalam</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Penelitian</w:t>
      </w:r>
      <w:proofErr w:type="spellEnd"/>
      <w:r w:rsidRPr="00EE5204">
        <w:rPr>
          <w:rFonts w:ascii="Times New Roman" w:hAnsi="Times New Roman" w:cs="Times New Roman"/>
          <w:sz w:val="24"/>
          <w:szCs w:val="24"/>
        </w:rPr>
        <w:t xml:space="preserve"> ini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explanatory research, </w:t>
      </w:r>
      <w:r w:rsidRPr="00EE5204">
        <w:rPr>
          <w:rFonts w:ascii="Times New Roman" w:hAnsi="Times New Roman" w:cs="Times New Roman"/>
          <w:sz w:val="24"/>
          <w:szCs w:val="24"/>
          <w:lang w:val="id-ID"/>
        </w:rPr>
        <w:t xml:space="preserve">yang </w:t>
      </w:r>
      <w:proofErr w:type="spellStart"/>
      <w:r w:rsidRPr="00EE5204">
        <w:rPr>
          <w:rFonts w:ascii="Times New Roman" w:hAnsi="Times New Roman" w:cs="Times New Roman"/>
          <w:sz w:val="24"/>
          <w:szCs w:val="24"/>
        </w:rPr>
        <w:t>digunakan</w:t>
      </w:r>
      <w:proofErr w:type="spellEnd"/>
      <w:r w:rsidRPr="00EE5204">
        <w:rPr>
          <w:rFonts w:ascii="Times New Roman" w:hAnsi="Times New Roman" w:cs="Times New Roman"/>
          <w:sz w:val="24"/>
          <w:szCs w:val="24"/>
        </w:rPr>
        <w:t xml:space="preserve"> untuk </w:t>
      </w:r>
      <w:proofErr w:type="spellStart"/>
      <w:r w:rsidRPr="00EE5204">
        <w:rPr>
          <w:rFonts w:ascii="Times New Roman" w:hAnsi="Times New Roman" w:cs="Times New Roman"/>
          <w:sz w:val="24"/>
          <w:szCs w:val="24"/>
        </w:rPr>
        <w:t>mengetahui</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hubungan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kausal</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antara</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beberapa</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penomena</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sosial</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Sampel</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dalam</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penelitian</w:t>
      </w:r>
      <w:proofErr w:type="spellEnd"/>
      <w:r w:rsidRPr="00EE5204">
        <w:rPr>
          <w:rFonts w:ascii="Times New Roman" w:hAnsi="Times New Roman" w:cs="Times New Roman"/>
          <w:sz w:val="24"/>
          <w:szCs w:val="24"/>
        </w:rPr>
        <w:t xml:space="preserve"> ini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12 Bank Syariah yang </w:t>
      </w:r>
      <w:proofErr w:type="spellStart"/>
      <w:r w:rsidRPr="00EE5204">
        <w:rPr>
          <w:rFonts w:ascii="Times New Roman" w:hAnsi="Times New Roman" w:cs="Times New Roman"/>
          <w:sz w:val="24"/>
          <w:szCs w:val="24"/>
        </w:rPr>
        <w:t>terdaftar</w:t>
      </w:r>
      <w:proofErr w:type="spellEnd"/>
      <w:r w:rsidRPr="00EE5204">
        <w:rPr>
          <w:rFonts w:ascii="Times New Roman" w:hAnsi="Times New Roman" w:cs="Times New Roman"/>
          <w:sz w:val="24"/>
          <w:szCs w:val="24"/>
        </w:rPr>
        <w:t xml:space="preserve"> di Bank Indonesia </w:t>
      </w:r>
      <w:proofErr w:type="spellStart"/>
      <w:r w:rsidRPr="00EE5204">
        <w:rPr>
          <w:rFonts w:ascii="Times New Roman" w:hAnsi="Times New Roman" w:cs="Times New Roman"/>
          <w:sz w:val="24"/>
          <w:szCs w:val="24"/>
        </w:rPr>
        <w:t>dari</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tahun</w:t>
      </w:r>
      <w:proofErr w:type="spellEnd"/>
      <w:r w:rsidRPr="00EE5204">
        <w:rPr>
          <w:rFonts w:ascii="Times New Roman" w:hAnsi="Times New Roman" w:cs="Times New Roman"/>
          <w:sz w:val="24"/>
          <w:szCs w:val="24"/>
        </w:rPr>
        <w:t xml:space="preserve"> 2007-2016. Teknik sampling yang </w:t>
      </w:r>
      <w:proofErr w:type="spellStart"/>
      <w:r w:rsidRPr="00EE5204">
        <w:rPr>
          <w:rFonts w:ascii="Times New Roman" w:hAnsi="Times New Roman" w:cs="Times New Roman"/>
          <w:sz w:val="24"/>
          <w:szCs w:val="24"/>
        </w:rPr>
        <w:t>digunakan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purposive sampling, </w:t>
      </w:r>
      <w:proofErr w:type="spellStart"/>
      <w:r w:rsidRPr="00EE5204">
        <w:rPr>
          <w:rFonts w:ascii="Times New Roman" w:hAnsi="Times New Roman" w:cs="Times New Roman"/>
          <w:sz w:val="24"/>
          <w:szCs w:val="24"/>
        </w:rPr>
        <w:t>dengan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kreteria</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sebagai</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berikut</w:t>
      </w:r>
      <w:proofErr w:type="spellEnd"/>
      <w:r w:rsidRPr="00EE5204">
        <w:rPr>
          <w:rFonts w:ascii="Times New Roman" w:hAnsi="Times New Roman" w:cs="Times New Roman"/>
          <w:sz w:val="24"/>
          <w:szCs w:val="24"/>
        </w:rPr>
        <w:t xml:space="preserve">: (a) Bank </w:t>
      </w:r>
      <w:proofErr w:type="spellStart"/>
      <w:r w:rsidRPr="00EE5204">
        <w:rPr>
          <w:rFonts w:ascii="Times New Roman" w:hAnsi="Times New Roman" w:cs="Times New Roman"/>
          <w:sz w:val="24"/>
          <w:szCs w:val="24"/>
        </w:rPr>
        <w:t>harus</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terdaftar</w:t>
      </w:r>
      <w:proofErr w:type="spellEnd"/>
      <w:r w:rsidRPr="00EE5204">
        <w:rPr>
          <w:rFonts w:ascii="Times New Roman" w:hAnsi="Times New Roman" w:cs="Times New Roman"/>
          <w:sz w:val="24"/>
          <w:szCs w:val="24"/>
        </w:rPr>
        <w:t xml:space="preserve"> di Bank </w:t>
      </w:r>
      <w:proofErr w:type="spellStart"/>
      <w:r w:rsidRPr="00EE5204">
        <w:rPr>
          <w:rFonts w:ascii="Times New Roman" w:hAnsi="Times New Roman" w:cs="Times New Roman"/>
          <w:sz w:val="24"/>
          <w:szCs w:val="24"/>
        </w:rPr>
        <w:t>Indonesi</w:t>
      </w:r>
      <w:proofErr w:type="spellEnd"/>
      <w:r w:rsidRPr="00EE5204">
        <w:rPr>
          <w:rFonts w:ascii="Times New Roman" w:hAnsi="Times New Roman" w:cs="Times New Roman"/>
          <w:sz w:val="24"/>
          <w:szCs w:val="24"/>
          <w:lang w:val="id-ID"/>
        </w:rPr>
        <w:t>a</w:t>
      </w:r>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sejak</w:t>
      </w:r>
      <w:proofErr w:type="spellEnd"/>
      <w:r w:rsidRPr="00EE5204">
        <w:rPr>
          <w:rFonts w:ascii="Times New Roman" w:hAnsi="Times New Roman" w:cs="Times New Roman"/>
          <w:sz w:val="24"/>
          <w:szCs w:val="24"/>
        </w:rPr>
        <w:t xml:space="preserve"> 2007 – 2016, (b) Bank </w:t>
      </w:r>
      <w:proofErr w:type="spellStart"/>
      <w:r w:rsidRPr="00EE5204">
        <w:rPr>
          <w:rFonts w:ascii="Times New Roman" w:hAnsi="Times New Roman" w:cs="Times New Roman"/>
          <w:sz w:val="24"/>
          <w:szCs w:val="24"/>
        </w:rPr>
        <w:t>harus</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menerbitkan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laporan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keuangan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selama</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periode</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penelitian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yaitu</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dari</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tahun</w:t>
      </w:r>
      <w:proofErr w:type="spellEnd"/>
      <w:r w:rsidRPr="00EE5204">
        <w:rPr>
          <w:rFonts w:ascii="Times New Roman" w:hAnsi="Times New Roman" w:cs="Times New Roman"/>
          <w:sz w:val="24"/>
          <w:szCs w:val="24"/>
        </w:rPr>
        <w:t xml:space="preserve"> 2007 – 2016, (c) Bank </w:t>
      </w:r>
      <w:proofErr w:type="spellStart"/>
      <w:r w:rsidRPr="00EE5204">
        <w:rPr>
          <w:rFonts w:ascii="Times New Roman" w:hAnsi="Times New Roman" w:cs="Times New Roman"/>
          <w:sz w:val="24"/>
          <w:szCs w:val="24"/>
        </w:rPr>
        <w:t>harus</w:t>
      </w:r>
      <w:proofErr w:type="spellEnd"/>
      <w:r w:rsidRPr="00EE5204">
        <w:rPr>
          <w:rFonts w:ascii="Times New Roman" w:hAnsi="Times New Roman" w:cs="Times New Roman"/>
          <w:sz w:val="24"/>
          <w:szCs w:val="24"/>
        </w:rPr>
        <w:t xml:space="preserve"> go </w:t>
      </w:r>
      <w:proofErr w:type="spellStart"/>
      <w:r w:rsidRPr="00EE5204">
        <w:rPr>
          <w:rFonts w:ascii="Times New Roman" w:hAnsi="Times New Roman" w:cs="Times New Roman"/>
          <w:sz w:val="24"/>
          <w:szCs w:val="24"/>
        </w:rPr>
        <w:t>publik</w:t>
      </w:r>
      <w:proofErr w:type="spellEnd"/>
      <w:r w:rsidRPr="00EE5204">
        <w:rPr>
          <w:rFonts w:ascii="Times New Roman" w:hAnsi="Times New Roman" w:cs="Times New Roman"/>
          <w:sz w:val="24"/>
          <w:szCs w:val="24"/>
        </w:rPr>
        <w:t xml:space="preserve"> (d) bank </w:t>
      </w:r>
      <w:proofErr w:type="spellStart"/>
      <w:r w:rsidRPr="00EE5204">
        <w:rPr>
          <w:rFonts w:ascii="Times New Roman" w:hAnsi="Times New Roman" w:cs="Times New Roman"/>
          <w:sz w:val="24"/>
          <w:szCs w:val="24"/>
        </w:rPr>
        <w:t>harus</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menerbitkan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laporan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keuangan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dalam</w:t>
      </w:r>
      <w:proofErr w:type="spellEnd"/>
      <w:r w:rsidRPr="00EE5204">
        <w:rPr>
          <w:rFonts w:ascii="Times New Roman" w:hAnsi="Times New Roman" w:cs="Times New Roman"/>
          <w:sz w:val="24"/>
          <w:szCs w:val="24"/>
        </w:rPr>
        <w:t xml:space="preserve"> rupiah. </w:t>
      </w:r>
      <w:proofErr w:type="spellStart"/>
      <w:r w:rsidRPr="00EE5204">
        <w:rPr>
          <w:rFonts w:ascii="Times New Roman" w:hAnsi="Times New Roman" w:cs="Times New Roman"/>
          <w:sz w:val="24"/>
          <w:szCs w:val="24"/>
        </w:rPr>
        <w:t>Penelitian</w:t>
      </w:r>
      <w:proofErr w:type="spellEnd"/>
      <w:r w:rsidRPr="00EE5204">
        <w:rPr>
          <w:rFonts w:ascii="Times New Roman" w:hAnsi="Times New Roman" w:cs="Times New Roman"/>
          <w:sz w:val="24"/>
          <w:szCs w:val="24"/>
        </w:rPr>
        <w:t xml:space="preserve"> ini </w:t>
      </w:r>
      <w:proofErr w:type="spellStart"/>
      <w:r w:rsidRPr="00EE5204">
        <w:rPr>
          <w:rFonts w:ascii="Times New Roman" w:hAnsi="Times New Roman" w:cs="Times New Roman"/>
          <w:sz w:val="24"/>
          <w:szCs w:val="24"/>
        </w:rPr>
        <w:t>menggunakan</w:t>
      </w:r>
      <w:proofErr w:type="spellEnd"/>
      <w:r w:rsidRPr="00EE5204">
        <w:rPr>
          <w:rFonts w:ascii="Times New Roman" w:hAnsi="Times New Roman" w:cs="Times New Roman"/>
          <w:sz w:val="24"/>
          <w:szCs w:val="24"/>
        </w:rPr>
        <w:t xml:space="preserve"> data </w:t>
      </w:r>
      <w:proofErr w:type="spellStart"/>
      <w:r w:rsidRPr="00EE5204">
        <w:rPr>
          <w:rFonts w:ascii="Times New Roman" w:hAnsi="Times New Roman" w:cs="Times New Roman"/>
          <w:sz w:val="24"/>
          <w:szCs w:val="24"/>
        </w:rPr>
        <w:t>sekunder</w:t>
      </w:r>
      <w:proofErr w:type="spellEnd"/>
      <w:r w:rsidRPr="00EE5204">
        <w:rPr>
          <w:rFonts w:ascii="Times New Roman" w:hAnsi="Times New Roman" w:cs="Times New Roman"/>
          <w:sz w:val="24"/>
          <w:szCs w:val="24"/>
        </w:rPr>
        <w:t xml:space="preserve"> yang </w:t>
      </w:r>
      <w:proofErr w:type="spellStart"/>
      <w:r w:rsidRPr="00EE5204">
        <w:rPr>
          <w:rFonts w:ascii="Times New Roman" w:hAnsi="Times New Roman" w:cs="Times New Roman"/>
          <w:sz w:val="24"/>
          <w:szCs w:val="24"/>
        </w:rPr>
        <w:t>diambil</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dari</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laporan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triwulan</w:t>
      </w:r>
      <w:proofErr w:type="spellEnd"/>
      <w:r w:rsidRPr="00EE5204">
        <w:rPr>
          <w:rFonts w:ascii="Times New Roman" w:hAnsi="Times New Roman" w:cs="Times New Roman"/>
          <w:sz w:val="24"/>
          <w:szCs w:val="24"/>
        </w:rPr>
        <w:t xml:space="preserve"> bank Syariah yang </w:t>
      </w:r>
      <w:proofErr w:type="spellStart"/>
      <w:r w:rsidRPr="00EE5204">
        <w:rPr>
          <w:rFonts w:ascii="Times New Roman" w:hAnsi="Times New Roman" w:cs="Times New Roman"/>
          <w:sz w:val="24"/>
          <w:szCs w:val="24"/>
        </w:rPr>
        <w:t>diunduh</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dari</w:t>
      </w:r>
      <w:proofErr w:type="spellEnd"/>
      <w:r w:rsidRPr="00EE5204">
        <w:rPr>
          <w:rFonts w:ascii="Times New Roman" w:hAnsi="Times New Roman" w:cs="Times New Roman"/>
          <w:sz w:val="24"/>
          <w:szCs w:val="24"/>
        </w:rPr>
        <w:t xml:space="preserve"> Bursa </w:t>
      </w:r>
      <w:proofErr w:type="spellStart"/>
      <w:r w:rsidRPr="00EE5204">
        <w:rPr>
          <w:rFonts w:ascii="Times New Roman" w:hAnsi="Times New Roman" w:cs="Times New Roman"/>
          <w:sz w:val="24"/>
          <w:szCs w:val="24"/>
        </w:rPr>
        <w:t>Efek</w:t>
      </w:r>
      <w:proofErr w:type="spellEnd"/>
      <w:r w:rsidRPr="00EE5204">
        <w:rPr>
          <w:rFonts w:ascii="Times New Roman" w:hAnsi="Times New Roman" w:cs="Times New Roman"/>
          <w:sz w:val="24"/>
          <w:szCs w:val="24"/>
        </w:rPr>
        <w:t xml:space="preserve"> Indonesia dan OJK. </w:t>
      </w:r>
      <w:proofErr w:type="spellStart"/>
      <w:r w:rsidRPr="00EE5204">
        <w:rPr>
          <w:rFonts w:ascii="Times New Roman" w:hAnsi="Times New Roman" w:cs="Times New Roman"/>
          <w:sz w:val="24"/>
          <w:szCs w:val="24"/>
        </w:rPr>
        <w:t>Dalam</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penelitian</w:t>
      </w:r>
      <w:proofErr w:type="spellEnd"/>
      <w:r w:rsidRPr="00EE5204">
        <w:rPr>
          <w:rFonts w:ascii="Times New Roman" w:hAnsi="Times New Roman" w:cs="Times New Roman"/>
          <w:sz w:val="24"/>
          <w:szCs w:val="24"/>
        </w:rPr>
        <w:t xml:space="preserve"> ini variable </w:t>
      </w:r>
      <w:proofErr w:type="spellStart"/>
      <w:r w:rsidRPr="00EE5204">
        <w:rPr>
          <w:rFonts w:ascii="Times New Roman" w:hAnsi="Times New Roman" w:cs="Times New Roman"/>
          <w:sz w:val="24"/>
          <w:szCs w:val="24"/>
        </w:rPr>
        <w:t>dependen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sidRPr="00EE5204">
        <w:rPr>
          <w:rFonts w:ascii="Times New Roman" w:hAnsi="Times New Roman" w:cs="Times New Roman"/>
          <w:sz w:val="24"/>
          <w:szCs w:val="24"/>
          <w:lang w:val="id-ID"/>
        </w:rPr>
        <w:t>. R</w:t>
      </w:r>
      <w:proofErr w:type="spellStart"/>
      <w:r w:rsidRPr="00EE5204">
        <w:rPr>
          <w:rFonts w:ascii="Times New Roman" w:hAnsi="Times New Roman" w:cs="Times New Roman"/>
          <w:sz w:val="24"/>
          <w:szCs w:val="24"/>
        </w:rPr>
        <w:t>asio</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probitabitas</w:t>
      </w:r>
      <w:proofErr w:type="spellEnd"/>
      <w:r w:rsidRPr="00EE5204">
        <w:rPr>
          <w:rFonts w:ascii="Times New Roman" w:hAnsi="Times New Roman" w:cs="Times New Roman"/>
          <w:sz w:val="24"/>
          <w:szCs w:val="24"/>
        </w:rPr>
        <w:t xml:space="preserve"> yang </w:t>
      </w:r>
      <w:proofErr w:type="spellStart"/>
      <w:r w:rsidRPr="00EE5204">
        <w:rPr>
          <w:rFonts w:ascii="Times New Roman" w:hAnsi="Times New Roman" w:cs="Times New Roman"/>
          <w:sz w:val="24"/>
          <w:szCs w:val="24"/>
        </w:rPr>
        <w:t>digunakan</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sebagai</w:t>
      </w:r>
      <w:proofErr w:type="spellEnd"/>
      <w:r w:rsidRPr="00EE5204">
        <w:rPr>
          <w:rFonts w:ascii="Times New Roman" w:hAnsi="Times New Roman" w:cs="Times New Roman"/>
          <w:sz w:val="24"/>
          <w:szCs w:val="24"/>
        </w:rPr>
        <w:t xml:space="preserve"> proxy pada </w:t>
      </w:r>
      <w:proofErr w:type="spellStart"/>
      <w:r w:rsidRPr="00EE5204">
        <w:rPr>
          <w:rFonts w:ascii="Times New Roman" w:hAnsi="Times New Roman" w:cs="Times New Roman"/>
          <w:sz w:val="24"/>
          <w:szCs w:val="24"/>
        </w:rPr>
        <w:t>studi</w:t>
      </w:r>
      <w:proofErr w:type="spellEnd"/>
      <w:r w:rsidRPr="00EE5204">
        <w:rPr>
          <w:rFonts w:ascii="Times New Roman" w:hAnsi="Times New Roman" w:cs="Times New Roman"/>
          <w:sz w:val="24"/>
          <w:szCs w:val="24"/>
        </w:rPr>
        <w:t xml:space="preserve"> ini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ROE (</w:t>
      </w:r>
      <w:proofErr w:type="spellStart"/>
      <w:r w:rsidRPr="00EE5204">
        <w:rPr>
          <w:rFonts w:ascii="Times New Roman" w:hAnsi="Times New Roman" w:cs="Times New Roman"/>
          <w:i/>
          <w:sz w:val="24"/>
          <w:szCs w:val="24"/>
        </w:rPr>
        <w:t>Retunt</w:t>
      </w:r>
      <w:proofErr w:type="spellEnd"/>
      <w:r w:rsidRPr="00EE5204">
        <w:rPr>
          <w:rFonts w:ascii="Times New Roman" w:hAnsi="Times New Roman" w:cs="Times New Roman"/>
          <w:i/>
          <w:sz w:val="24"/>
          <w:szCs w:val="24"/>
        </w:rPr>
        <w:t xml:space="preserve"> on Equity), </w:t>
      </w:r>
      <w:proofErr w:type="spellStart"/>
      <w:r w:rsidRPr="00EE5204">
        <w:rPr>
          <w:rFonts w:ascii="Times New Roman" w:hAnsi="Times New Roman" w:cs="Times New Roman"/>
          <w:sz w:val="24"/>
          <w:szCs w:val="24"/>
        </w:rPr>
        <w:t>sedangkan</w:t>
      </w:r>
      <w:proofErr w:type="spellEnd"/>
      <w:r w:rsidRPr="00EE5204">
        <w:rPr>
          <w:rFonts w:ascii="Times New Roman" w:hAnsi="Times New Roman" w:cs="Times New Roman"/>
          <w:sz w:val="24"/>
          <w:szCs w:val="24"/>
        </w:rPr>
        <w:t xml:space="preserve"> variable independent </w:t>
      </w:r>
      <w:proofErr w:type="spellStart"/>
      <w:r w:rsidRPr="00EE5204">
        <w:rPr>
          <w:rFonts w:ascii="Times New Roman" w:hAnsi="Times New Roman" w:cs="Times New Roman"/>
          <w:sz w:val="24"/>
          <w:szCs w:val="24"/>
        </w:rPr>
        <w:t>dalam</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studi</w:t>
      </w:r>
      <w:proofErr w:type="spellEnd"/>
      <w:r w:rsidRPr="00EE5204">
        <w:rPr>
          <w:rFonts w:ascii="Times New Roman" w:hAnsi="Times New Roman" w:cs="Times New Roman"/>
          <w:sz w:val="24"/>
          <w:szCs w:val="24"/>
        </w:rPr>
        <w:t xml:space="preserve"> ini </w:t>
      </w:r>
      <w:proofErr w:type="spellStart"/>
      <w:r w:rsidRPr="00EE5204">
        <w:rPr>
          <w:rFonts w:ascii="Times New Roman" w:hAnsi="Times New Roman" w:cs="Times New Roman"/>
          <w:sz w:val="24"/>
          <w:szCs w:val="24"/>
        </w:rPr>
        <w:t>adalah</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Resiko</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Kredit</w:t>
      </w:r>
      <w:proofErr w:type="spellEnd"/>
      <w:r w:rsidRPr="00EE5204">
        <w:rPr>
          <w:rFonts w:ascii="Times New Roman" w:hAnsi="Times New Roman" w:cs="Times New Roman"/>
          <w:sz w:val="24"/>
          <w:szCs w:val="24"/>
        </w:rPr>
        <w:t xml:space="preserve"> yang </w:t>
      </w:r>
      <w:proofErr w:type="spellStart"/>
      <w:r w:rsidRPr="00EE5204">
        <w:rPr>
          <w:rFonts w:ascii="Times New Roman" w:hAnsi="Times New Roman" w:cs="Times New Roman"/>
          <w:sz w:val="24"/>
          <w:szCs w:val="24"/>
        </w:rPr>
        <w:t>diukur</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dengan</w:t>
      </w:r>
      <w:proofErr w:type="spellEnd"/>
      <w:r w:rsidRPr="00EE5204">
        <w:rPr>
          <w:rFonts w:ascii="Times New Roman" w:hAnsi="Times New Roman" w:cs="Times New Roman"/>
          <w:sz w:val="24"/>
          <w:szCs w:val="24"/>
        </w:rPr>
        <w:t xml:space="preserve"> Non Performing </w:t>
      </w:r>
      <w:proofErr w:type="spellStart"/>
      <w:r w:rsidRPr="00EE5204">
        <w:rPr>
          <w:rFonts w:ascii="Times New Roman" w:hAnsi="Times New Roman" w:cs="Times New Roman"/>
          <w:sz w:val="24"/>
          <w:szCs w:val="24"/>
        </w:rPr>
        <w:t>Finacing</w:t>
      </w:r>
      <w:proofErr w:type="spellEnd"/>
      <w:r w:rsidRPr="00EE5204">
        <w:rPr>
          <w:rFonts w:ascii="Times New Roman" w:hAnsi="Times New Roman" w:cs="Times New Roman"/>
          <w:sz w:val="24"/>
          <w:szCs w:val="24"/>
        </w:rPr>
        <w:t xml:space="preserve"> (NPF), </w:t>
      </w:r>
      <w:r w:rsidRPr="00EE5204">
        <w:rPr>
          <w:rFonts w:ascii="Times New Roman" w:hAnsi="Times New Roman" w:cs="Times New Roman"/>
          <w:sz w:val="24"/>
          <w:szCs w:val="24"/>
          <w:lang w:val="id-ID"/>
        </w:rPr>
        <w:t xml:space="preserve">Kemampuan modal perbankan yang diukur dengan </w:t>
      </w:r>
      <w:r w:rsidRPr="00EE5204">
        <w:rPr>
          <w:rFonts w:ascii="Times New Roman" w:hAnsi="Times New Roman" w:cs="Times New Roman"/>
          <w:sz w:val="24"/>
          <w:szCs w:val="24"/>
        </w:rPr>
        <w:t xml:space="preserve">Capital Adequacy </w:t>
      </w:r>
      <w:proofErr w:type="spellStart"/>
      <w:r w:rsidRPr="00EE5204">
        <w:rPr>
          <w:rFonts w:ascii="Times New Roman" w:hAnsi="Times New Roman" w:cs="Times New Roman"/>
          <w:sz w:val="24"/>
          <w:szCs w:val="24"/>
        </w:rPr>
        <w:t>Rasio</w:t>
      </w:r>
      <w:proofErr w:type="spellEnd"/>
      <w:r w:rsidRPr="00EE5204">
        <w:rPr>
          <w:rFonts w:ascii="Times New Roman" w:hAnsi="Times New Roman" w:cs="Times New Roman"/>
          <w:sz w:val="24"/>
          <w:szCs w:val="24"/>
        </w:rPr>
        <w:t xml:space="preserve"> (CAR) </w:t>
      </w:r>
      <w:r w:rsidR="00C86557" w:rsidRPr="00EE5204">
        <w:rPr>
          <w:rFonts w:ascii="Times New Roman" w:hAnsi="Times New Roman" w:cs="Times New Roman"/>
          <w:sz w:val="24"/>
          <w:szCs w:val="24"/>
        </w:rPr>
        <w:fldChar w:fldCharType="begin" w:fldLock="1"/>
      </w:r>
      <w:r w:rsidRPr="00EE5204">
        <w:rPr>
          <w:rFonts w:ascii="Times New Roman" w:hAnsi="Times New Roman" w:cs="Times New Roman"/>
          <w:sz w:val="24"/>
          <w:szCs w:val="24"/>
        </w:rPr>
        <w:instrText>ADDIN CSL_CITATION { "citationItems" : [ { "id" : "ITEM-1", "itemData" : { "DOI" : "10.21511/imfi.13(1).2016.08", "ISSN" : "18129358", "author" : [ { "dropping-particle" : "", "family" : "Alshatti", "given" : "Ali Sulieman", "non-dropping-particle" : "", "parse-names" : false, "suffix" : "" } ], "container-title" : "Investment Management and Financial Innovations", "id" : "ITEM-1", "issue" : "1", "issued" : { "date-parts" : [ [ "2016" ] ] }, "page" : "84-91", "title" : "Determinants of banks' profitability - The case of Jordan", "type" : "article-journal", "volume" : "13" }, "uris" : [ "http://www.mendeley.com/documents/?uuid=f99d41fc-7f0b-4670-94e7-bc2fd946b843" ] } ], "mendeley" : { "formattedCitation" : "(Alshatti, 2016)", "plainTextFormattedCitation" : "(Alshatti, 2016)", "previouslyFormattedCitation" : "(Alshatti, 2016)" }, "properties" : { "noteIndex" : 3 }, "schema" : "https://github.com/citation-style-language/schema/raw/master/csl-citation.json" }</w:instrText>
      </w:r>
      <w:r w:rsidR="00C86557" w:rsidRPr="00EE5204">
        <w:rPr>
          <w:rFonts w:ascii="Times New Roman" w:hAnsi="Times New Roman" w:cs="Times New Roman"/>
          <w:sz w:val="24"/>
          <w:szCs w:val="24"/>
        </w:rPr>
        <w:fldChar w:fldCharType="separate"/>
      </w:r>
      <w:r w:rsidRPr="00EE5204">
        <w:rPr>
          <w:rFonts w:ascii="Times New Roman" w:hAnsi="Times New Roman" w:cs="Times New Roman"/>
          <w:noProof/>
          <w:sz w:val="24"/>
          <w:szCs w:val="24"/>
        </w:rPr>
        <w:t>(Alshatti, 2016)</w:t>
      </w:r>
      <w:r w:rsidR="00C86557" w:rsidRPr="00EE5204">
        <w:rPr>
          <w:rFonts w:ascii="Times New Roman" w:hAnsi="Times New Roman" w:cs="Times New Roman"/>
          <w:sz w:val="24"/>
          <w:szCs w:val="24"/>
        </w:rPr>
        <w:fldChar w:fldCharType="end"/>
      </w:r>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Ukuran</w:t>
      </w:r>
      <w:proofErr w:type="spellEnd"/>
      <w:r w:rsidRPr="00EE5204">
        <w:rPr>
          <w:rFonts w:ascii="Times New Roman" w:hAnsi="Times New Roman" w:cs="Times New Roman"/>
          <w:sz w:val="24"/>
          <w:szCs w:val="24"/>
        </w:rPr>
        <w:t xml:space="preserve"> Perusahaan (</w:t>
      </w:r>
      <w:r w:rsidRPr="00EE5204">
        <w:rPr>
          <w:rFonts w:ascii="Times New Roman" w:hAnsi="Times New Roman" w:cs="Times New Roman"/>
          <w:sz w:val="24"/>
          <w:szCs w:val="24"/>
          <w:lang w:val="id-ID"/>
        </w:rPr>
        <w:t>size</w:t>
      </w:r>
      <w:r w:rsidRPr="00EE5204">
        <w:rPr>
          <w:rFonts w:ascii="Times New Roman" w:hAnsi="Times New Roman" w:cs="Times New Roman"/>
          <w:sz w:val="24"/>
          <w:szCs w:val="24"/>
        </w:rPr>
        <w:t xml:space="preserve">) yang </w:t>
      </w:r>
      <w:r w:rsidRPr="00EE5204">
        <w:rPr>
          <w:rFonts w:ascii="Times New Roman" w:hAnsi="Times New Roman" w:cs="Times New Roman"/>
          <w:sz w:val="24"/>
          <w:szCs w:val="24"/>
          <w:lang w:val="id-ID"/>
        </w:rPr>
        <w:t>di</w:t>
      </w:r>
      <w:proofErr w:type="spellStart"/>
      <w:r w:rsidRPr="00EE5204">
        <w:rPr>
          <w:rFonts w:ascii="Times New Roman" w:hAnsi="Times New Roman" w:cs="Times New Roman"/>
          <w:sz w:val="24"/>
          <w:szCs w:val="24"/>
        </w:rPr>
        <w:t>ukur</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dengan</w:t>
      </w:r>
      <w:proofErr w:type="spellEnd"/>
      <w:r w:rsidRPr="00EE5204">
        <w:rPr>
          <w:rFonts w:ascii="Times New Roman" w:hAnsi="Times New Roman" w:cs="Times New Roman"/>
          <w:sz w:val="24"/>
          <w:szCs w:val="24"/>
        </w:rPr>
        <w:t xml:space="preserve"> total </w:t>
      </w:r>
      <w:proofErr w:type="spellStart"/>
      <w:r w:rsidRPr="00EE5204">
        <w:rPr>
          <w:rFonts w:ascii="Times New Roman" w:hAnsi="Times New Roman" w:cs="Times New Roman"/>
          <w:sz w:val="24"/>
          <w:szCs w:val="24"/>
        </w:rPr>
        <w:t>Aset</w:t>
      </w:r>
      <w:proofErr w:type="spellEnd"/>
      <w:r w:rsidRPr="00EE5204">
        <w:rPr>
          <w:rFonts w:ascii="Times New Roman" w:hAnsi="Times New Roman" w:cs="Times New Roman"/>
          <w:sz w:val="24"/>
          <w:szCs w:val="24"/>
        </w:rPr>
        <w:t xml:space="preserve"> </w:t>
      </w:r>
      <w:r w:rsidR="00C86557" w:rsidRPr="0042642B">
        <w:rPr>
          <w:rFonts w:ascii="Book Antiqua" w:hAnsi="Book Antiqua"/>
          <w:sz w:val="24"/>
        </w:rPr>
        <w:fldChar w:fldCharType="begin" w:fldLock="1"/>
      </w:r>
      <w:r>
        <w:rPr>
          <w:rFonts w:ascii="Book Antiqua" w:hAnsi="Book Antiqua"/>
          <w:sz w:val="24"/>
        </w:rPr>
        <w:instrText>ADDIN CSL_CITATION { "citationItems" : [ { "id" : "ITEM-1", "itemData" : { "abstract" : "Credit risk management in banks has become more important not only because of the financial crisis that the industry is experiencing currently, but also a crucial concept which determine banks\u2019 survival, growth and profitability. The aim of this study is to investigate the impact of credit risk management on the performance of commercial banks in Nigeria. Financial reports of seven commercial banking firms were used to analyze for seven years (2005 \u2013 2011). The panel regression model was employed for the estimation of the model. In the model, Return on Equity (ROE) and Return on Asset (ROA) were used as the performance indicators while Non-Performing Loans (NPL) and Capital Adequacy Ratio (CAR) as credit risk management indicators. The findings revealed that credit risk management has a significant impact on the profitability of commercial banks\u2019 in Nigeria.", "author" : [ { "dropping-particle" : "", "family" : "Abiola", "given" : "Idowu", "non-dropping-particle" : "", "parse-names" : false, "suffix" : "" }, { "dropping-particle" : "", "family" : "Olausi", "given" : "Awoyemi Samuel", "non-dropping-particle" : "", "parse-names" : false, "suffix" : "" } ], "container-title" : "International Journal of Management and Sustainability", "id" : "ITEM-1", "issue" : "5", "issued" : { "date-parts" : [ [ "2014" ] ] }, "page" : "295-306", "title" : "The Impact of Credit Risk Management on The Commercial Banks Performance in Nigeria", "type" : "article-journal", "volume" : "3" }, "uris" : [ "http://www.mendeley.com/documents/?uuid=6980c47a-79c9-4e94-919c-5c7b8c686086" ] } ], "mendeley" : { "formattedCitation" : "(Abiola and Olausi, 2014)", "plainTextFormattedCitation" : "(Abiola and Olausi, 2014)", "previouslyFormattedCitation" : "(Abiola and Olausi, 2014)" }, "properties" : { "noteIndex" : 2 }, "schema" : "https://github.com/citation-style-language/schema/raw/master/csl-citation.json" }</w:instrText>
      </w:r>
      <w:r w:rsidR="00C86557" w:rsidRPr="0042642B">
        <w:rPr>
          <w:rFonts w:ascii="Book Antiqua" w:hAnsi="Book Antiqua"/>
          <w:sz w:val="24"/>
        </w:rPr>
        <w:fldChar w:fldCharType="separate"/>
      </w:r>
      <w:r w:rsidRPr="007544C9">
        <w:rPr>
          <w:rFonts w:ascii="Book Antiqua" w:hAnsi="Book Antiqua"/>
          <w:noProof/>
          <w:sz w:val="24"/>
        </w:rPr>
        <w:t>(Abiola and Olausi, 2014)</w:t>
      </w:r>
      <w:r w:rsidR="00C86557" w:rsidRPr="0042642B">
        <w:rPr>
          <w:rFonts w:ascii="Book Antiqua" w:hAnsi="Book Antiqua"/>
          <w:sz w:val="24"/>
        </w:rPr>
        <w:fldChar w:fldCharType="end"/>
      </w:r>
      <w:r w:rsidRPr="00EE5204">
        <w:rPr>
          <w:rFonts w:ascii="Times New Roman" w:hAnsi="Times New Roman" w:cs="Times New Roman"/>
          <w:sz w:val="24"/>
          <w:szCs w:val="24"/>
        </w:rPr>
        <w:t>;</w:t>
      </w:r>
      <w:r w:rsidR="00E61690">
        <w:rPr>
          <w:rFonts w:ascii="Times New Roman" w:hAnsi="Times New Roman" w:cs="Times New Roman"/>
          <w:sz w:val="24"/>
          <w:szCs w:val="24"/>
        </w:rPr>
        <w:t xml:space="preserve"> </w:t>
      </w:r>
      <w:r w:rsidR="00C86557" w:rsidRPr="00EE52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"Studies on moderating effect of ownership structure on bank performance are scanty. To fill this glaring gap in this vital area of study, the authors used linear multiple regression model and Generalized Least Square on panel data to estimate the parameters. The findings showed that bank specific factors significantly affect the performance of commercial banks in Kenya, except for liquidity variable. But the overall effect of macroeconomic variables was inconclusive at 5% significance level. The moderating role of ownership identity on the financial performance of commercial banks was insignificant. Thus, it can be concluded that the financial performance of commercial banks in Kenya is driven mainly by board and management decisions, while macroeconomic factors have insignificant contribution.", "author" : [ { "dropping-particle" : "", "family" : "Ongore", "given" : "Vincent Okoth", "non-dropping-particle" : "", "parse-names" : false, "suffix" : "" }, { "dropping-particle" : "", "family" : "Kusa", "given" : "Gemechu Berhanu", "non-dropping-particle" : "", "parse-names" : false, "suffix" : "" } ], "container-title" : "International Journal of Economics and Financial Issues", "id" : "ITEM-1", "issue" : "1", "issued" : { "date-parts" : [ [ "2013" ] ] }, "page" : "237-252", "title" : "Determinants of Financial Performance of Commercial Banks in Kenya", "type" : "article-journal", "volume" : "3" }, "uris" : [ "http://www.mendeley.com/documents/?uuid=8476ff45-e556-49f2-aa20-e0165feb0c99" ] } ], "mendeley" : { "formattedCitation" : "(Ongore and Kusa, 2013)", "plainTextFormattedCitation" : "(Ongore and Kusa, 2013)", "previouslyFormattedCitation" : "(Ongore and Kusa, 2013)" }, "properties" : { "noteIndex" : 2 }, "schema" : "https://github.com/citation-style-language/schema/raw/master/csl-citation.json" }</w:instrText>
      </w:r>
      <w:r w:rsidR="00C86557" w:rsidRPr="00EE5204">
        <w:rPr>
          <w:rFonts w:ascii="Times New Roman" w:hAnsi="Times New Roman" w:cs="Times New Roman"/>
          <w:sz w:val="24"/>
          <w:szCs w:val="24"/>
        </w:rPr>
        <w:fldChar w:fldCharType="separate"/>
      </w:r>
      <w:r w:rsidRPr="007544C9">
        <w:rPr>
          <w:rFonts w:ascii="Times New Roman" w:hAnsi="Times New Roman" w:cs="Times New Roman"/>
          <w:noProof/>
          <w:sz w:val="24"/>
          <w:szCs w:val="24"/>
        </w:rPr>
        <w:t>(Ongore and Kusa, 2013)</w:t>
      </w:r>
      <w:r w:rsidR="00C86557" w:rsidRPr="00EE5204">
        <w:rPr>
          <w:rFonts w:ascii="Times New Roman" w:hAnsi="Times New Roman" w:cs="Times New Roman"/>
          <w:sz w:val="24"/>
          <w:szCs w:val="24"/>
        </w:rPr>
        <w:fldChar w:fldCharType="end"/>
      </w:r>
      <w:r w:rsidRPr="00EE5204">
        <w:rPr>
          <w:rFonts w:ascii="Times New Roman" w:hAnsi="Times New Roman" w:cs="Times New Roman"/>
          <w:sz w:val="24"/>
          <w:szCs w:val="24"/>
        </w:rPr>
        <w:t xml:space="preserve">; </w:t>
      </w:r>
      <w:r w:rsidR="00C86557" w:rsidRPr="00EE52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"10.1016/j.pacfin.2016.02.007", "ISSN" : "0927-538X", "author" : [ { "dropping-particle" : "", "family" : "Sun", "given" : "Poi Hun", "non-dropping-particle" : "", "parse-names" : false, "suffix" : "" }, { "dropping-particle" : "", "family" : "Mohamad", "given" : "Shamsher", "non-dropping-particle" : "", "parse-names" : false, "suffix" : "" }, { "dropping-particle" : "", "family" : "Ariff", "given" : "M", "non-dropping-particle" : "", "parse-names" : false, "suffix" : "" } ], "container-title" : "Pacific-Basin Finance Journal", "id" : "ITEM-1", "issued" : { "date-parts" : [ [ "2016" ] ] }, "publisher" : "Elsevier B.V.", "title" : "Determinants Driving Bank Performance : A Comparison of Two Types of Banks in the PT International Centre for Education in Islamic Finance ( INCEIF ), Kuala Lumpur , Malaysia", "type" : "article-journal" }, "uris" : [ "http://www.mendeley.com/documents/?uuid=525f9fcd-6db8-4209-889c-bd17a5d35107" ] } ], "mendeley" : { "formattedCitation" : "(Sun et al., 2016)", "plainTextFormattedCitation" : "(Sun et al., 2016)", "previouslyFormattedCitation" : "(Sun et al., 2016)" }, "properties" : { "noteIndex" : 3 }, "schema" : "https://github.com/citation-style-language/schema/raw/master/csl-citation.json" }</w:instrText>
      </w:r>
      <w:r w:rsidR="00C86557" w:rsidRPr="00EE5204">
        <w:rPr>
          <w:rFonts w:ascii="Times New Roman" w:hAnsi="Times New Roman" w:cs="Times New Roman"/>
          <w:sz w:val="24"/>
          <w:szCs w:val="24"/>
        </w:rPr>
        <w:fldChar w:fldCharType="separate"/>
      </w:r>
      <w:r w:rsidRPr="007544C9">
        <w:rPr>
          <w:rFonts w:ascii="Times New Roman" w:hAnsi="Times New Roman" w:cs="Times New Roman"/>
          <w:noProof/>
          <w:sz w:val="24"/>
          <w:szCs w:val="24"/>
        </w:rPr>
        <w:t>(Sun et al., 2016)</w:t>
      </w:r>
      <w:r w:rsidR="00C86557" w:rsidRPr="00EE5204">
        <w:rPr>
          <w:rFonts w:ascii="Times New Roman" w:hAnsi="Times New Roman" w:cs="Times New Roman"/>
          <w:sz w:val="24"/>
          <w:szCs w:val="24"/>
        </w:rPr>
        <w:fldChar w:fldCharType="end"/>
      </w:r>
      <w:r w:rsidRPr="00EE5204">
        <w:rPr>
          <w:rFonts w:ascii="Times New Roman" w:hAnsi="Times New Roman" w:cs="Times New Roman"/>
          <w:sz w:val="24"/>
          <w:szCs w:val="24"/>
        </w:rPr>
        <w:t xml:space="preserve">, Liquidity Risk </w:t>
      </w:r>
      <w:proofErr w:type="spellStart"/>
      <w:r w:rsidRPr="00EE5204">
        <w:rPr>
          <w:rFonts w:ascii="Times New Roman" w:hAnsi="Times New Roman" w:cs="Times New Roman"/>
          <w:sz w:val="24"/>
          <w:szCs w:val="24"/>
        </w:rPr>
        <w:t>diukur</w:t>
      </w:r>
      <w:proofErr w:type="spellEnd"/>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dengan</w:t>
      </w:r>
      <w:proofErr w:type="spellEnd"/>
      <w:r w:rsidRPr="00EE5204">
        <w:rPr>
          <w:rFonts w:ascii="Times New Roman" w:hAnsi="Times New Roman" w:cs="Times New Roman"/>
          <w:sz w:val="24"/>
          <w:szCs w:val="24"/>
        </w:rPr>
        <w:t xml:space="preserve"> Cash &amp; Cash Equivalent/Total Assets </w:t>
      </w:r>
      <w:r w:rsidR="00C86557" w:rsidRPr="00EE5204">
        <w:rPr>
          <w:rFonts w:ascii="Times New Roman" w:hAnsi="Times New Roman" w:cs="Times New Roman"/>
          <w:sz w:val="24"/>
          <w:szCs w:val="24"/>
        </w:rPr>
        <w:fldChar w:fldCharType="begin" w:fldLock="1"/>
      </w:r>
      <w:r w:rsidRPr="00EE5204">
        <w:rPr>
          <w:rFonts w:ascii="Times New Roman" w:hAnsi="Times New Roman" w:cs="Times New Roman"/>
          <w:sz w:val="24"/>
          <w:szCs w:val="24"/>
        </w:rPr>
        <w:instrText>ADDIN CSL_CITATION { "citationItems" : [ { "id" : "ITEM-1", "itemData" : { "DOI" : "10.5539/ijbm.v9n4p22", "ISBN" : "1086737121", "ISSN" : "1833-8119", "abstract" : "This paper investigated the internal factors that affecting profitability of banks. The main objective was to compare the profitability of the Saudi and Jordanian banks by using the internal factors for estimations. The necessary data was collected from secondary sources. A sample of twenty three Saudi and Jordanian banks was considered with 161 observations for the period 2005-2011. Financial ratios were calculated and statistical tools including Pearson\u2019s correlation, descriptive analysis of variance and regression analysis were utilized in testing the hypotheses and to measure the differences and similarities between the sample banks according to their different characteristics. The factors influencing the profitability were tested empirically. However, the results indicated that there is a significant positive correlation between ROA of Saudi banks with TEA, TIA and LQR variables, as well as a negative correlation with NCA, CDR, CIR and SZE variables. Meanwhile, there is a significant positive correlation between ROA of Jordanian banks with LQR, NCA, TEA and CDR variables, also there is a negative correlation of return on assets with CIR, TIA and SZE. It is recommended that empirical studies should be undertaken in the same field to find out what more internal factors could affect profitability of banks.", "author" : [ { "dropping-particle" : "", "family" : "Almazari", "given" : "Ahmad Aref", "non-dropping-particle" : "", "parse-names" : false, "suffix" : "" } ], "container-title" : "Journal of Applied Finance &amp; Banking", "id" : "ITEM-1", "issue" : "1", "issued" : { "date-parts" : [ [ "2014" ] ] }, "page" : "125-140", "title" : "Impact of Internal Factors on Bank Profitability : Comparative Study between Saudi Arabia and Jordan", "type" : "article-journal", "volume" : "4" }, "uris" : [ "http://www.mendeley.com/documents/?uuid=39cc8bb4-be32-4e61-8212-4ec3b7388e52" ] } ], "mendeley" : { "formattedCitation" : "(Almazari, 2014)", "plainTextFormattedCitation" : "(Almazari, 2014)", "previouslyFormattedCitation" : "(Almazari, 2014)" }, "properties" : { "noteIndex" : 0 }, "schema" : "https://github.com/citation-style-language/schema/raw/master/csl-citation.json" }</w:instrText>
      </w:r>
      <w:r w:rsidR="00C86557" w:rsidRPr="00EE5204">
        <w:rPr>
          <w:rFonts w:ascii="Times New Roman" w:hAnsi="Times New Roman" w:cs="Times New Roman"/>
          <w:sz w:val="24"/>
          <w:szCs w:val="24"/>
        </w:rPr>
        <w:fldChar w:fldCharType="separate"/>
      </w:r>
      <w:r w:rsidRPr="00EE5204">
        <w:rPr>
          <w:rFonts w:ascii="Times New Roman" w:hAnsi="Times New Roman" w:cs="Times New Roman"/>
          <w:noProof/>
          <w:sz w:val="24"/>
          <w:szCs w:val="24"/>
        </w:rPr>
        <w:t>(Almazari, 2014)</w:t>
      </w:r>
      <w:r w:rsidR="00C86557" w:rsidRPr="00EE5204">
        <w:rPr>
          <w:rFonts w:ascii="Times New Roman" w:hAnsi="Times New Roman" w:cs="Times New Roman"/>
          <w:sz w:val="24"/>
          <w:szCs w:val="24"/>
        </w:rPr>
        <w:fldChar w:fldCharType="end"/>
      </w:r>
      <w:r w:rsidRPr="00EE5204">
        <w:rPr>
          <w:rFonts w:ascii="Times New Roman" w:hAnsi="Times New Roman" w:cs="Times New Roman"/>
          <w:sz w:val="24"/>
          <w:szCs w:val="24"/>
          <w:lang w:val="id-ID"/>
        </w:rPr>
        <w:t>, dan tingkat</w:t>
      </w:r>
      <w:r w:rsidRPr="00EE5204">
        <w:rPr>
          <w:rFonts w:ascii="Times New Roman" w:hAnsi="Times New Roman" w:cs="Times New Roman"/>
          <w:sz w:val="24"/>
          <w:szCs w:val="24"/>
        </w:rPr>
        <w:t xml:space="preserve"> </w:t>
      </w:r>
      <w:proofErr w:type="spellStart"/>
      <w:r w:rsidRPr="00EE5204">
        <w:rPr>
          <w:rFonts w:ascii="Times New Roman" w:hAnsi="Times New Roman" w:cs="Times New Roman"/>
          <w:sz w:val="24"/>
          <w:szCs w:val="24"/>
        </w:rPr>
        <w:t>inflasi</w:t>
      </w:r>
      <w:proofErr w:type="spellEnd"/>
      <w:r w:rsidRPr="00EE5204">
        <w:rPr>
          <w:rFonts w:ascii="Times New Roman" w:hAnsi="Times New Roman" w:cs="Times New Roman"/>
          <w:sz w:val="24"/>
          <w:szCs w:val="24"/>
        </w:rPr>
        <w:t xml:space="preserve"> </w:t>
      </w:r>
      <w:r w:rsidR="00C86557" w:rsidRPr="00EE520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"10.1108/IMEFM-12-2014-0120", "ISBN" : "1220140120", "abstract" : "Abstract Purpose \u2013 The purpose of this paper is to ascertain whether Islamic bank profitability is driven by same forces as those driving conventional banking in the Middle East and North Africa(MENA)region. Distinguished by its principles in conformity with sharia, Islamic banking is different from conventional banking, which is likely to affect profitability. Design/methodology/approach \u2013 The paper builds on a dynamic panel data model to identify the banks\u2019 specific determinants and the macroeconomic factors influencing the profitability of a large sample of 51 Islamic banks operating in the MENA region from 1994 to 2012. The system-generalized method of moment estimators are applied. Findings \u2013 The findings reveal that profitability is positively affected by banks\u2019 cost-effectiveness, asset quality and level of capitalization. The results also indicate that non-financing activities allow Islamic banks to earn higher profits. Islamic banks perform better in environments where the gross domestic product and investment are high. There is evidence of several elements of similarities between determinants of the profitability for Islamic and conventional banks. The inflation rate, however, is negatively associated with Islamic bank profitability. Practical Implications \u2013 The authors conclude that profitability determinants did not differ significantly between Islamic and conventional banks.Manyfactors are deemed the same in explaining the profitability of conventional as well as Islamic banks. The findings reported in the current paper might be of interest for policy makers. It is recommended to better implement non-financing activities to improve Islamic bank profitability. Originality/value \u2013 Unlike the previous empirical research, this empirical investigation assesses the issue whether Islamic banks profitability is influenced by same factors as conventional model. It enriches the literature in this regard by considering the specificities of Islamic banking to identify the determinants of profitability. Moreover, this study considers a large sample (51 Islamic banks) through a different selection of countries/banks than previous studies. In addition, the period of study considers the subprime crisis insofar it ranges from 1994 to 2012. Hence, this broader study allows the authors to draw more consistent conclusions", "author" : [ { "dropping-particle" : "", "family" : "Zarrouk", "given" : "Hajer", "non-dropping-particle" : "", "parse-names" : false, "suffix" : "" }, { "dropping-particle" : "Ben", "family" : "Jedidia", "given" : "Khoutem", "non-dropping-particle" : "", "parse-names" : false, "suffix" : "" }, { "dropping-particle" : "", "family" : "Moualhi", "given" : "Mouna", "non-dropping-particle" : "", "parse-names" : false, "suffix" : "" } ], "container-title" : "International Journal of Islamic and Middle Eastern Finance and Management", "id" : "ITEM-1", "issue" : "1", "issued" : { "date-parts" : [ [ "2016" ] ] }, "page" : "46-65", "title" : "Is Islamic bank profitability driven by same forces as conventional banks ?", "type" : "article-journal", "volume" : "9" }, "uris" : [ "http://www.mendeley.com/documents/?uuid=154d1a19-041c-4a7c-afda-8c66e6f61494" ] } ], "mendeley" : { "formattedCitation" : "(Zarrouk et al., 2016)", "plainTextFormattedCitation" : "(Zarrouk et al., 2016)", "previouslyFormattedCitation" : "(Zarrouk et al., 2016)" }, "properties" : { "noteIndex" : 0 }, "schema" : "https://github.com/citation-style-language/schema/raw/master/csl-citation.json" }</w:instrText>
      </w:r>
      <w:r w:rsidR="00C86557" w:rsidRPr="00EE5204">
        <w:rPr>
          <w:rFonts w:ascii="Times New Roman" w:hAnsi="Times New Roman" w:cs="Times New Roman"/>
          <w:sz w:val="24"/>
          <w:szCs w:val="24"/>
        </w:rPr>
        <w:fldChar w:fldCharType="separate"/>
      </w:r>
      <w:r w:rsidRPr="007544C9">
        <w:rPr>
          <w:rFonts w:ascii="Times New Roman" w:hAnsi="Times New Roman" w:cs="Times New Roman"/>
          <w:noProof/>
          <w:sz w:val="24"/>
          <w:szCs w:val="24"/>
        </w:rPr>
        <w:t>(Zarrouk et al., 2016)</w:t>
      </w:r>
      <w:r w:rsidR="00C86557" w:rsidRPr="00EE5204">
        <w:rPr>
          <w:rFonts w:ascii="Times New Roman" w:hAnsi="Times New Roman" w:cs="Times New Roman"/>
          <w:sz w:val="24"/>
          <w:szCs w:val="24"/>
        </w:rPr>
        <w:fldChar w:fldCharType="end"/>
      </w:r>
      <w:proofErr w:type="spellStart"/>
      <w:r w:rsidRPr="00EE5204">
        <w:rPr>
          <w:rFonts w:ascii="Times New Roman" w:hAnsi="Times New Roman"/>
          <w:sz w:val="24"/>
          <w:szCs w:val="24"/>
        </w:rPr>
        <w:t>Studi</w:t>
      </w:r>
      <w:proofErr w:type="spellEnd"/>
      <w:r w:rsidRPr="00EE5204">
        <w:rPr>
          <w:rFonts w:ascii="Times New Roman" w:hAnsi="Times New Roman"/>
          <w:sz w:val="24"/>
          <w:szCs w:val="24"/>
        </w:rPr>
        <w:t xml:space="preserve"> ini di</w:t>
      </w:r>
      <w:r w:rsidRPr="00EE5204">
        <w:rPr>
          <w:rFonts w:ascii="Times New Roman" w:hAnsi="Times New Roman"/>
          <w:sz w:val="24"/>
          <w:szCs w:val="24"/>
          <w:lang w:val="id-ID"/>
        </w:rPr>
        <w:t>adopsi</w:t>
      </w:r>
      <w:r w:rsidRPr="00EE5204">
        <w:rPr>
          <w:rFonts w:ascii="Times New Roman" w:hAnsi="Times New Roman"/>
          <w:sz w:val="24"/>
          <w:szCs w:val="24"/>
        </w:rPr>
        <w:t xml:space="preserve"> </w:t>
      </w:r>
      <w:proofErr w:type="spellStart"/>
      <w:r w:rsidRPr="00EE5204">
        <w:rPr>
          <w:rFonts w:ascii="Times New Roman" w:hAnsi="Times New Roman"/>
          <w:sz w:val="24"/>
          <w:szCs w:val="24"/>
        </w:rPr>
        <w:t>dari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studi</w:t>
      </w:r>
      <w:proofErr w:type="spellEnd"/>
      <w:r w:rsidRPr="00EE5204">
        <w:rPr>
          <w:rFonts w:ascii="Times New Roman" w:hAnsi="Times New Roman"/>
          <w:sz w:val="24"/>
          <w:szCs w:val="24"/>
        </w:rPr>
        <w:t xml:space="preserve"> yang </w:t>
      </w:r>
      <w:proofErr w:type="spellStart"/>
      <w:r w:rsidRPr="00EE5204">
        <w:rPr>
          <w:rFonts w:ascii="Times New Roman" w:hAnsi="Times New Roman"/>
          <w:sz w:val="24"/>
          <w:szCs w:val="24"/>
        </w:rPr>
        <w:t>dilakukan</w:t>
      </w:r>
      <w:proofErr w:type="spellEnd"/>
      <w:r w:rsidRPr="00EE5204">
        <w:rPr>
          <w:rFonts w:ascii="Times New Roman" w:hAnsi="Times New Roman"/>
          <w:sz w:val="24"/>
          <w:szCs w:val="24"/>
        </w:rPr>
        <w:t xml:space="preserve"> </w:t>
      </w:r>
      <w:r w:rsidR="00C86557" w:rsidRPr="00EE5204">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"10.1016/S2212-5671(16)00044-7", "abstract" : "This study aims to analyze the profitability in Islamic Banks and Conventional Banks in Malaysia. The study uses the period of the year 2006 to until the year 2011. In methodology, this research using T-Test Model, Regression and Correlation.Meanwhile, data are collected from the Bursa Malaysia and bank website in Malaysia. This study finds that Islamic Banks are more profitable than Conventional Banks whereas Total Loan to Total Asset for Islamic bank is higher than Conventional bank. Based on Regression test, for Conventional Banks, ROE is an influence profitability of Conventional Bank.and for Islamic Banks, ROA and ROE are significant factor that influence profitability. Based on Correlation test, ROE is an influence profitability of Conventional Bank and for Islamic Banks, ROA and ROE are significant relationship with independent variable which is Total Equity to Total Asset.", "author" : [ { "dropping-particle" : "", "family" : "Ramlan", "given" : "Hamidah", "non-dropping-particle" : "", "parse-names" : false, "suffix" : "" }, { "dropping-particle" : "", "family" : "Sharrizat", "given" : "Mohd", "non-dropping-particle" : "", "parse-names" : false, "suffix" : "" } ], "container-title" : "7th International Economics &amp; Business Management Conference", "id" : "ITEM-1", "issue" : "October 2015", "issued" : { "date-parts" : [ [ "2016" ] ] }, "page" : "359-367", "publisher" : "Elsevier B.V.", "title" : "The Profitability of Islamic and Conventional Bank : Case study in Malaysia", "type" : "paper-conference", "volume" : "35" }, "uris" : [ "http://www.mendeley.com/documents/?uuid=4148ff34-6e29-4d04-a4ed-58e965fe9b76" ] } ], "mendeley" : { "formattedCitation" : "(Ramlan and Sharrizat, 2016)", "plainTextFormattedCitation" : "(Ramlan and Sharrizat, 2016)", "previouslyFormattedCitation" : "(Ramlan and Sharrizat, 2016)" }, "properties" : { "noteIndex" : 2 }, "schema" : "https://github.com/citation-style-language/schema/raw/master/csl-citation.json" }</w:instrText>
      </w:r>
      <w:r w:rsidR="00C86557" w:rsidRPr="00EE5204">
        <w:rPr>
          <w:rFonts w:ascii="Times New Roman" w:hAnsi="Times New Roman"/>
          <w:sz w:val="24"/>
          <w:szCs w:val="24"/>
        </w:rPr>
        <w:fldChar w:fldCharType="separate"/>
      </w:r>
      <w:r w:rsidRPr="007544C9">
        <w:rPr>
          <w:rFonts w:ascii="Times New Roman" w:hAnsi="Times New Roman"/>
          <w:noProof/>
          <w:sz w:val="24"/>
          <w:szCs w:val="24"/>
        </w:rPr>
        <w:t>(Ramlan and Sharrizat, 2016)</w:t>
      </w:r>
      <w:r w:rsidR="00C86557" w:rsidRPr="00EE5204">
        <w:rPr>
          <w:rFonts w:ascii="Times New Roman" w:hAnsi="Times New Roman"/>
          <w:sz w:val="24"/>
          <w:szCs w:val="24"/>
        </w:rPr>
        <w:fldChar w:fldCharType="end"/>
      </w:r>
      <w:r w:rsidRPr="00EE5204">
        <w:rPr>
          <w:rFonts w:ascii="Times New Roman" w:hAnsi="Times New Roman"/>
          <w:sz w:val="24"/>
          <w:szCs w:val="24"/>
        </w:rPr>
        <w:t xml:space="preserve">; </w:t>
      </w:r>
      <w:r w:rsidR="00C86557" w:rsidRPr="00EE5204">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"Credit risk management in banks has become more important not only because of the financial crisis that the industry is experiencing currently, but also a crucial concept which determine banks\u2019 survival, growth and profitability. The aim of this study is to investigate the impact of credit risk management on the performance of commercial banks in Nigeria. Financial reports of seven commercial banking firms were used to analyze for seven years (2005 \u2013 2011). The panel regression model was employed for the estimation of the model. In the model, Return on Equity (ROE) and Return on Asset (ROA) were used as the performance indicators while Non-Performing Loans (NPL) and Capital Adequacy Ratio (CAR) as credit risk management indicators. The findings revealed that credit risk management has a significant impact on the profitability of commercial banks\u2019 in Nigeria.", "author" : [ { "dropping-particle" : "", "family" : "Abiola", "given" : "Idowu", "non-dropping-particle" : "", "parse-names" : false, "suffix" : "" }, { "dropping-particle" : "", "family" : "Olausi", "given" : "Awoyemi Samuel", "non-dropping-particle" : "", "parse-names" : false, "suffix" : "" } ], "container-title" : "International Journal of Management and Sustainability", "id" : "ITEM-1", "issue" : "5", "issued" : { "date-parts" : [ [ "2014" ] ] }, "page" : "295-306", "title" : "The Impact of Credit Risk Management on The Commercial Banks Performance in Nigeria", "type" : "article-journal", "volume" : "3" }, "uris" : [ "http://www.mendeley.com/documents/?uuid=6980c47a-79c9-4e94-919c-5c7b8c686086" ] } ], "mendeley" : { "formattedCitation" : "(Abiola and Olausi, 2014)", "plainTextFormattedCitation" : "(Abiola and Olausi, 2014)", "previouslyFormattedCitation" : "(Abiola and Olausi, 2014)" }, "properties" : { "noteIndex" : 2 }, "schema" : "https://github.com/citation-style-language/schema/raw/master/csl-citation.json" }</w:instrText>
      </w:r>
      <w:r w:rsidR="00C86557" w:rsidRPr="00EE5204">
        <w:rPr>
          <w:rFonts w:ascii="Times New Roman" w:hAnsi="Times New Roman"/>
          <w:sz w:val="24"/>
          <w:szCs w:val="24"/>
        </w:rPr>
        <w:fldChar w:fldCharType="separate"/>
      </w:r>
      <w:r w:rsidRPr="007544C9">
        <w:rPr>
          <w:rFonts w:ascii="Times New Roman" w:hAnsi="Times New Roman"/>
          <w:noProof/>
          <w:sz w:val="24"/>
          <w:szCs w:val="24"/>
        </w:rPr>
        <w:t>(Abiola and Olausi, 2014)</w:t>
      </w:r>
      <w:r w:rsidR="00C86557" w:rsidRPr="00EE5204">
        <w:rPr>
          <w:rFonts w:ascii="Times New Roman" w:hAnsi="Times New Roman"/>
          <w:sz w:val="24"/>
          <w:szCs w:val="24"/>
        </w:rPr>
        <w:fldChar w:fldCharType="end"/>
      </w:r>
      <w:r w:rsidRPr="00EE5204">
        <w:rPr>
          <w:rFonts w:ascii="Times New Roman" w:hAnsi="Times New Roman"/>
          <w:sz w:val="24"/>
          <w:szCs w:val="24"/>
        </w:rPr>
        <w:t>,</w:t>
      </w:r>
      <w:r w:rsidR="00C86557" w:rsidRPr="00EE5204">
        <w:rPr>
          <w:rFonts w:ascii="Times New Roman" w:hAnsi="Times New Roman"/>
          <w:sz w:val="24"/>
          <w:szCs w:val="24"/>
        </w:rPr>
        <w:fldChar w:fldCharType="begin" w:fldLock="1"/>
      </w:r>
      <w:r w:rsidRPr="00EE5204">
        <w:rPr>
          <w:rFonts w:ascii="Times New Roman" w:hAnsi="Times New Roman"/>
          <w:sz w:val="24"/>
          <w:szCs w:val="24"/>
        </w:rPr>
        <w:instrText>ADDIN CSL_CITATION { "citationItems" : [ { "id" : "ITEM-1", "itemData" : { "author" : [ { "dropping-particle" : "", "family" : "Boahene, S. H., Dasah, J. and Agyei", "given" : "S. K", "non-dropping-particle" : "", "parse-names" : false, "suffix" : "" } ], "container-title" : "Research Journal of Finance and Accounting", "id" : "ITEM-1", "issue" : "7", "issued" : { "date-parts" : [ [ "2012" ] ] }, "page" : "6-14", "title" : "Credit risk and profitability of selected banks in Ghana", "type" : "article-journal", "volume" : "3" }, "uris" : [ "http://www.mendeley.com/documents/?uuid=9c62bb72-e466-481e-bb95-bb8851b86732" ] } ], "mendeley" : { "formattedCitation" : "(Boahene, S. H., Dasah, J. and Agyei, 2012)", "plainTextFormattedCitation" : "(Boahene, S. H., Dasah, J. and Agyei, 2012)", "previouslyFormattedCitation" : "(Boahene, S. H., Dasah, J. and Agyei, 2012)" }, "properties" : { "noteIndex" : 0 }, "schema" : "https://github.com/citation-style-language/schema/raw/master/csl-citation.json" }</w:instrText>
      </w:r>
      <w:r w:rsidR="00C86557" w:rsidRPr="00EE5204">
        <w:rPr>
          <w:rFonts w:ascii="Times New Roman" w:hAnsi="Times New Roman"/>
          <w:sz w:val="24"/>
          <w:szCs w:val="24"/>
        </w:rPr>
        <w:fldChar w:fldCharType="separate"/>
      </w:r>
      <w:r w:rsidRPr="00EE5204">
        <w:rPr>
          <w:rFonts w:ascii="Times New Roman" w:hAnsi="Times New Roman"/>
          <w:noProof/>
          <w:sz w:val="24"/>
          <w:szCs w:val="24"/>
        </w:rPr>
        <w:t>(Boahene, S. H., Dasah, J. and Agyei, 2012)</w:t>
      </w:r>
      <w:r w:rsidR="00C86557" w:rsidRPr="00EE5204">
        <w:rPr>
          <w:rFonts w:ascii="Times New Roman" w:hAnsi="Times New Roman"/>
          <w:sz w:val="24"/>
          <w:szCs w:val="24"/>
        </w:rPr>
        <w:fldChar w:fldCharType="end"/>
      </w:r>
      <w:r w:rsidRPr="00EE5204">
        <w:rPr>
          <w:rFonts w:ascii="Times New Roman" w:hAnsi="Times New Roman"/>
          <w:sz w:val="24"/>
          <w:szCs w:val="24"/>
        </w:rPr>
        <w:t xml:space="preserve">, </w:t>
      </w:r>
      <w:r w:rsidR="00C86557" w:rsidRPr="00EE5204">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"10.1108/ARLA-04-2013-0030", "ISBN" : "0853237239", "ISSN" : "1012-8255", "abstract" : "This paper examines the effect of Internet use on performance in small and me- dium-sized enterprises (SMEs). Performance is measured by enterprise growth. Research design is based on a quantitative study of SMEs in Mexico. The model has been tested by structural equation modelling (SEM) and non-parametric statistical tests. The total effect of the use of the Internet on the growth of the SMEs studied is considered to be plausible. This empirical evidence contributes to the knowledge of Internet use in the Latin-American SME context. Discussions about implications and future research are advanced.", "author" : [ { "dropping-particle" : "", "family" : "Jara\u2010Bertin", "given" : "Mauricio", "non-dropping-particle" : "", "parse-names" : false, "suffix" : "" }, { "dropping-particle" : "", "family" : "Arias Moya", "given" : "Jos\u00e9", "non-dropping-particle" : "", "parse-names" : false, "suffix" : "" }, { "dropping-particle" : "", "family" : "Rodr\u00edguez Perales", "given" : "Arturo", "non-dropping-particle" : "", "parse-names" : false, "suffix" : "" } ], "container-title" : "Academia Revista Latinoamericana de Administraci\u00f3n", "id" : "ITEM-1", "issue" : "2", "issued" : { "date-parts" : [ [ "2014" ] ] }, "page" : "164-182", "title" : "Determinants of bank performance: evidence for Latin America", "type" : "article-journal", "volume" : "27" }, "uris" : [ "http://www.mendeley.com/documents/?uuid=335a0455-9051-4d2a-91a3-19b4a0ac0e0b" ] } ], "mendeley" : { "formattedCitation" : "(Jara\u2010Bertin et al., 2014)", "plainTextFormattedCitation" : "(Jara\u2010Bertin et al., 2014)", "previouslyFormattedCitation" : "(Jara\u2010Bertin et al., 2014)" }, "properties" : { "noteIndex" : 0 }, "schema" : "https://github.com/citation-style-language/schema/raw/master/csl-citation.json" }</w:instrText>
      </w:r>
      <w:r w:rsidR="00C86557" w:rsidRPr="00EE5204">
        <w:rPr>
          <w:rFonts w:ascii="Times New Roman" w:hAnsi="Times New Roman"/>
          <w:sz w:val="24"/>
          <w:szCs w:val="24"/>
        </w:rPr>
        <w:fldChar w:fldCharType="separate"/>
      </w:r>
      <w:r w:rsidRPr="007544C9">
        <w:rPr>
          <w:rFonts w:ascii="Times New Roman" w:hAnsi="Times New Roman"/>
          <w:noProof/>
          <w:sz w:val="24"/>
          <w:szCs w:val="24"/>
        </w:rPr>
        <w:t>(Jara‐Bertin et al., 2014)</w:t>
      </w:r>
      <w:r w:rsidR="00C86557" w:rsidRPr="00EE5204">
        <w:rPr>
          <w:rFonts w:ascii="Times New Roman" w:hAnsi="Times New Roman"/>
          <w:sz w:val="24"/>
          <w:szCs w:val="24"/>
        </w:rPr>
        <w:fldChar w:fldCharType="end"/>
      </w:r>
      <w:r w:rsidRPr="00EE5204">
        <w:rPr>
          <w:rFonts w:ascii="Times New Roman" w:hAnsi="Times New Roman"/>
          <w:sz w:val="24"/>
          <w:szCs w:val="24"/>
        </w:rPr>
        <w:t xml:space="preserve">, </w:t>
      </w:r>
      <w:r w:rsidR="00C86557" w:rsidRPr="00EE5204">
        <w:rPr>
          <w:rFonts w:ascii="Times New Roman" w:hAnsi="Times New Roman"/>
          <w:sz w:val="24"/>
          <w:szCs w:val="24"/>
        </w:rPr>
        <w:fldChar w:fldCharType="begin" w:fldLock="1"/>
      </w:r>
      <w:r w:rsidRPr="00EE5204">
        <w:rPr>
          <w:rFonts w:ascii="Times New Roman" w:hAnsi="Times New Roman"/>
          <w:sz w:val="24"/>
          <w:szCs w:val="24"/>
        </w:rPr>
        <w:instrText>ADDIN CSL_CITATION { "citationItems" : [ { "id" : "ITEM-1", "itemData" : { "ISSN" : "1818-4952", "abstract" : "Starting with the establishment of the Malaysia's first Islamic bank namely Bank Islam Malaysia Berhad (BIMB) in 1983, the Islamic banking system has shown better development and is now widely accepted by Muslims as well as non-Muslim in this country. Islamic Banking System which follows the rule of Shariah plays a vital role in Malaysia as its profitability contributes to the growth of the economy. Therefore, this study was conducted in order to examine the determinants of profitability for Islamic Banking Institutions in Malaysia which are listed on the Bursa Malaysia. The bank-specific determinants (internal factors) include capital adequacy, credit risk, liquidity, bank size and management of expenses. The methodology employed is the Generalized Least Square (GLS) panel data analysis, using quarterly data from nine Islamic banks, which consist of foreign and local Islamic banks incorporated in Malaysia for the period 2007-2009. The result revealed that only the bank size is significant in determining the profitability with positive relationship. It is to be concluded then that, even though there is a lot of determining factors, only the bank's size may put confidence in the eyes of the consumers. For the future studies, it is recommended to have a wider scope where other Malaysian Islamic financial institutions and more determinant factors can be taken into account.", "author" : [ { "dropping-particle" : "", "family" : "Idris", "given" : "Rashidah", "non-dropping-particle" : "", "parse-names" : false, "suffix" : "" }, { "dropping-particle" : "", "family" : "Fizari Abu Hassan Asari", "given" : "Fadli", "non-dropping-particle" : "", "parse-names" : false, "suffix" : "" }, { "dropping-particle" : "", "family" : "Asilah Abdullah Taufik", "given" : "Noor", "non-dropping-particle" : "", "parse-names" : false, "suffix" : "" }, { "dropping-particle" : "", "family" : "Jana Salim", "given" : "Nor", "non-dropping-particle" : "", "parse-names" : false, "suffix" : "" }, { "dropping-particle" : "", "family" : "Mustaffa", "given" : "Rajmi", "non-dropping-particle" : "", "parse-names" : false, "suffix" : "" }, { "dropping-particle" : "", "family" : "Jusoff", "given" : "Kamaruzaman", "non-dropping-particle" : "", "parse-names" : false, "suffix" : "" } ], "container-title" : "World Applied Sciences JournalSpecial Issue on Bolstering Economic Sustainability Bank Negara Malaysia", "id" : "ITEM-1", "issue" : "1", "issued" : { "date-parts" : [ [ "2011" ] ] }, "page" : "1-7", "title" : "Determinant of Islamic Banking Institutions' Profitability in Malaysia", "type" : "article-journal", "volume" : "12" }, "uris" : [ "http://www.mendeley.com/documents/?uuid=dc4cc685-2d9e-4fde-9b46-be1b4649c7e1" ] } ], "mendeley" : { "formattedCitation" : "(Idris et al., 2011)", "plainTextFormattedCitation" : "(Idris et al., 2011)", "previouslyFormattedCitation" : "(Idris et al., 2011)" }, "properties" : { "noteIndex" : 0 }, "schema" : "https://github.com/citation-style-language/schema/raw/master/csl-citation.json" }</w:instrText>
      </w:r>
      <w:r w:rsidR="00C86557" w:rsidRPr="00EE5204">
        <w:rPr>
          <w:rFonts w:ascii="Times New Roman" w:hAnsi="Times New Roman"/>
          <w:sz w:val="24"/>
          <w:szCs w:val="24"/>
        </w:rPr>
        <w:fldChar w:fldCharType="separate"/>
      </w:r>
      <w:r w:rsidRPr="00EE5204">
        <w:rPr>
          <w:rFonts w:ascii="Times New Roman" w:hAnsi="Times New Roman"/>
          <w:noProof/>
          <w:sz w:val="24"/>
          <w:szCs w:val="24"/>
        </w:rPr>
        <w:t>(Idris et al., 2011)</w:t>
      </w:r>
      <w:r w:rsidR="00C86557" w:rsidRPr="00EE5204">
        <w:rPr>
          <w:rFonts w:ascii="Times New Roman" w:hAnsi="Times New Roman"/>
          <w:sz w:val="24"/>
          <w:szCs w:val="24"/>
        </w:rPr>
        <w:fldChar w:fldCharType="end"/>
      </w:r>
      <w:r w:rsidRPr="00EE5204">
        <w:rPr>
          <w:rFonts w:ascii="Times New Roman" w:hAnsi="Times New Roman"/>
          <w:sz w:val="24"/>
          <w:szCs w:val="24"/>
          <w:lang w:val="id-ID"/>
        </w:rPr>
        <w:t>. K</w:t>
      </w:r>
      <w:proofErr w:type="spellStart"/>
      <w:r w:rsidRPr="00EE5204">
        <w:rPr>
          <w:rFonts w:ascii="Times New Roman" w:hAnsi="Times New Roman"/>
          <w:sz w:val="24"/>
          <w:szCs w:val="24"/>
        </w:rPr>
        <w:t>ebaruan</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dalam</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penelitian</w:t>
      </w:r>
      <w:proofErr w:type="spellEnd"/>
      <w:r w:rsidRPr="00EE5204">
        <w:rPr>
          <w:rFonts w:ascii="Times New Roman" w:hAnsi="Times New Roman"/>
          <w:sz w:val="24"/>
          <w:szCs w:val="24"/>
        </w:rPr>
        <w:t xml:space="preserve"> ini </w:t>
      </w:r>
      <w:proofErr w:type="spellStart"/>
      <w:r w:rsidRPr="00EE5204">
        <w:rPr>
          <w:rFonts w:ascii="Times New Roman" w:hAnsi="Times New Roman"/>
          <w:sz w:val="24"/>
          <w:szCs w:val="24"/>
        </w:rPr>
        <w:t>yaitu</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menambahkan</w:t>
      </w:r>
      <w:proofErr w:type="spellEnd"/>
      <w:r w:rsidRPr="00EE5204">
        <w:rPr>
          <w:rFonts w:ascii="Times New Roman" w:hAnsi="Times New Roman"/>
          <w:sz w:val="24"/>
          <w:szCs w:val="24"/>
        </w:rPr>
        <w:t xml:space="preserve"> factor macro </w:t>
      </w:r>
      <w:proofErr w:type="spellStart"/>
      <w:r w:rsidRPr="00EE5204">
        <w:rPr>
          <w:rFonts w:ascii="Times New Roman" w:hAnsi="Times New Roman"/>
          <w:sz w:val="24"/>
          <w:szCs w:val="24"/>
        </w:rPr>
        <w:t>ekonomi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sebagai</w:t>
      </w:r>
      <w:proofErr w:type="spellEnd"/>
      <w:r w:rsidRPr="00EE5204">
        <w:rPr>
          <w:rFonts w:ascii="Times New Roman" w:hAnsi="Times New Roman"/>
          <w:sz w:val="24"/>
          <w:szCs w:val="24"/>
        </w:rPr>
        <w:t xml:space="preserve"> </w:t>
      </w:r>
      <w:r w:rsidRPr="00EE5204">
        <w:rPr>
          <w:rFonts w:ascii="Times New Roman" w:hAnsi="Times New Roman"/>
          <w:sz w:val="24"/>
          <w:szCs w:val="24"/>
          <w:lang w:val="id-ID"/>
        </w:rPr>
        <w:t>variabel independen</w:t>
      </w:r>
      <w:r w:rsidRPr="00EE5204">
        <w:rPr>
          <w:rFonts w:ascii="Times New Roman" w:hAnsi="Times New Roman"/>
          <w:sz w:val="24"/>
          <w:szCs w:val="24"/>
        </w:rPr>
        <w:t xml:space="preserve">. </w:t>
      </w:r>
      <w:proofErr w:type="spellStart"/>
      <w:r w:rsidRPr="00EE5204">
        <w:rPr>
          <w:rFonts w:ascii="Times New Roman" w:hAnsi="Times New Roman"/>
          <w:sz w:val="24"/>
          <w:szCs w:val="24"/>
        </w:rPr>
        <w:t>Studi</w:t>
      </w:r>
      <w:proofErr w:type="spellEnd"/>
      <w:r w:rsidRPr="00EE5204">
        <w:rPr>
          <w:rFonts w:ascii="Times New Roman" w:hAnsi="Times New Roman"/>
          <w:sz w:val="24"/>
          <w:szCs w:val="24"/>
        </w:rPr>
        <w:t xml:space="preserve"> ini focus </w:t>
      </w:r>
      <w:proofErr w:type="spellStart"/>
      <w:r w:rsidRPr="00EE5204">
        <w:rPr>
          <w:rFonts w:ascii="Times New Roman" w:hAnsi="Times New Roman"/>
          <w:sz w:val="24"/>
          <w:szCs w:val="24"/>
        </w:rPr>
        <w:t>hanya</w:t>
      </w:r>
      <w:proofErr w:type="spellEnd"/>
      <w:r w:rsidRPr="00EE5204">
        <w:rPr>
          <w:rFonts w:ascii="Times New Roman" w:hAnsi="Times New Roman"/>
          <w:sz w:val="24"/>
          <w:szCs w:val="24"/>
        </w:rPr>
        <w:t xml:space="preserve"> pada B</w:t>
      </w:r>
      <w:r>
        <w:rPr>
          <w:rFonts w:ascii="Times New Roman" w:hAnsi="Times New Roman"/>
          <w:sz w:val="24"/>
          <w:szCs w:val="24"/>
        </w:rPr>
        <w:t xml:space="preserve">ank </w:t>
      </w:r>
      <w:proofErr w:type="spellStart"/>
      <w:r>
        <w:rPr>
          <w:rFonts w:ascii="Times New Roman" w:hAnsi="Times New Roman"/>
          <w:sz w:val="24"/>
          <w:szCs w:val="24"/>
        </w:rPr>
        <w:t>Umum</w:t>
      </w:r>
      <w:proofErr w:type="spellEnd"/>
      <w:r>
        <w:rPr>
          <w:rFonts w:ascii="Times New Roman" w:hAnsi="Times New Roman"/>
          <w:sz w:val="24"/>
          <w:szCs w:val="24"/>
        </w:rPr>
        <w:t xml:space="preserve"> Syariah di Indonesia. </w:t>
      </w:r>
      <w:r w:rsidRPr="00EE5204">
        <w:rPr>
          <w:rFonts w:ascii="Times New Roman" w:hAnsi="Times New Roman"/>
          <w:sz w:val="24"/>
          <w:szCs w:val="24"/>
        </w:rPr>
        <w:t xml:space="preserve">Teknik </w:t>
      </w:r>
      <w:proofErr w:type="spellStart"/>
      <w:r w:rsidRPr="00EE5204">
        <w:rPr>
          <w:rFonts w:ascii="Times New Roman" w:hAnsi="Times New Roman"/>
          <w:sz w:val="24"/>
          <w:szCs w:val="24"/>
        </w:rPr>
        <w:t>analisis</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studi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sebelumnya</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menggunakan</w:t>
      </w:r>
      <w:proofErr w:type="spellEnd"/>
      <w:r w:rsidRPr="00EE5204">
        <w:rPr>
          <w:rFonts w:ascii="Times New Roman" w:hAnsi="Times New Roman"/>
          <w:sz w:val="24"/>
          <w:szCs w:val="24"/>
        </w:rPr>
        <w:t xml:space="preserve"> </w:t>
      </w:r>
      <w:r w:rsidRPr="0030445E">
        <w:rPr>
          <w:rFonts w:ascii="Times New Roman" w:hAnsi="Times New Roman"/>
          <w:i/>
          <w:sz w:val="24"/>
          <w:szCs w:val="24"/>
        </w:rPr>
        <w:t>General least square</w:t>
      </w:r>
      <w:r w:rsidRPr="00EE5204">
        <w:rPr>
          <w:rFonts w:ascii="Times New Roman" w:hAnsi="Times New Roman"/>
          <w:sz w:val="24"/>
          <w:szCs w:val="24"/>
        </w:rPr>
        <w:t xml:space="preserve">, </w:t>
      </w:r>
      <w:proofErr w:type="spellStart"/>
      <w:r w:rsidRPr="00EE5204">
        <w:rPr>
          <w:rFonts w:ascii="Times New Roman" w:hAnsi="Times New Roman"/>
          <w:sz w:val="24"/>
          <w:szCs w:val="24"/>
        </w:rPr>
        <w:t>studi</w:t>
      </w:r>
      <w:proofErr w:type="spellEnd"/>
      <w:r w:rsidRPr="00EE5204">
        <w:rPr>
          <w:rFonts w:ascii="Times New Roman" w:hAnsi="Times New Roman"/>
          <w:sz w:val="24"/>
          <w:szCs w:val="24"/>
        </w:rPr>
        <w:t xml:space="preserve"> ini </w:t>
      </w:r>
      <w:proofErr w:type="spellStart"/>
      <w:r w:rsidRPr="00EE5204">
        <w:rPr>
          <w:rFonts w:ascii="Times New Roman" w:hAnsi="Times New Roman"/>
          <w:sz w:val="24"/>
          <w:szCs w:val="24"/>
        </w:rPr>
        <w:t>menggunakan</w:t>
      </w:r>
      <w:proofErr w:type="spellEnd"/>
      <w:r w:rsidRPr="00EE5204">
        <w:rPr>
          <w:rFonts w:ascii="Times New Roman" w:hAnsi="Times New Roman"/>
          <w:sz w:val="24"/>
          <w:szCs w:val="24"/>
        </w:rPr>
        <w:t xml:space="preserve"> Teknik </w:t>
      </w:r>
      <w:proofErr w:type="spellStart"/>
      <w:r w:rsidRPr="00EE5204">
        <w:rPr>
          <w:rFonts w:ascii="Times New Roman" w:hAnsi="Times New Roman"/>
          <w:sz w:val="24"/>
          <w:szCs w:val="24"/>
        </w:rPr>
        <w:t>analisis</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regresi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berganda</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Selanjutnya</w:t>
      </w:r>
      <w:proofErr w:type="spellEnd"/>
      <w:r w:rsidRPr="00EE5204">
        <w:rPr>
          <w:rFonts w:ascii="Times New Roman" w:hAnsi="Times New Roman"/>
          <w:sz w:val="24"/>
          <w:szCs w:val="24"/>
        </w:rPr>
        <w:t xml:space="preserve"> data </w:t>
      </w:r>
      <w:proofErr w:type="spellStart"/>
      <w:r w:rsidRPr="00EE5204">
        <w:rPr>
          <w:rFonts w:ascii="Times New Roman" w:hAnsi="Times New Roman"/>
          <w:sz w:val="24"/>
          <w:szCs w:val="24"/>
        </w:rPr>
        <w:t>diolah</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dengan</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menggunakan</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teknik</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analisis</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regresi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berganda</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dengan</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menggunakan</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persamaan</w:t>
      </w:r>
      <w:proofErr w:type="spellEnd"/>
      <w:r w:rsidRPr="00EE5204">
        <w:rPr>
          <w:rFonts w:ascii="Times New Roman" w:hAnsi="Times New Roman"/>
          <w:sz w:val="24"/>
          <w:szCs w:val="24"/>
        </w:rPr>
        <w:t xml:space="preserve"> econometric </w:t>
      </w:r>
      <w:proofErr w:type="spellStart"/>
      <w:r w:rsidRPr="00EE5204">
        <w:rPr>
          <w:rFonts w:ascii="Times New Roman" w:hAnsi="Times New Roman"/>
          <w:sz w:val="24"/>
          <w:szCs w:val="24"/>
        </w:rPr>
        <w:t>sebagai</w:t>
      </w:r>
      <w:proofErr w:type="spellEnd"/>
      <w:r w:rsidRPr="00EE5204">
        <w:rPr>
          <w:rFonts w:ascii="Times New Roman" w:hAnsi="Times New Roman"/>
          <w:sz w:val="24"/>
          <w:szCs w:val="24"/>
        </w:rPr>
        <w:t xml:space="preserve"> </w:t>
      </w:r>
      <w:proofErr w:type="spellStart"/>
      <w:r w:rsidRPr="00EE5204">
        <w:rPr>
          <w:rFonts w:ascii="Times New Roman" w:hAnsi="Times New Roman"/>
          <w:sz w:val="24"/>
          <w:szCs w:val="24"/>
        </w:rPr>
        <w:t>berikut</w:t>
      </w:r>
      <w:proofErr w:type="spellEnd"/>
      <w:r w:rsidRPr="00EE5204">
        <w:rPr>
          <w:rFonts w:ascii="Times New Roman" w:hAnsi="Times New Roman"/>
          <w:sz w:val="24"/>
          <w:szCs w:val="24"/>
        </w:rPr>
        <w:t>:</w:t>
      </w:r>
    </w:p>
    <w:p w:rsidR="00193D1C" w:rsidRDefault="00193D1C" w:rsidP="00193D1C">
      <w:pPr>
        <w:ind w:firstLine="562"/>
        <w:jc w:val="both"/>
        <w:rPr>
          <w:rFonts w:ascii="Times New Roman" w:hAnsi="Times New Roman"/>
          <w:sz w:val="24"/>
          <w:szCs w:val="24"/>
        </w:rPr>
      </w:pPr>
    </w:p>
    <w:p w:rsidR="00193D1C" w:rsidRPr="0042642B" w:rsidRDefault="00193D1C" w:rsidP="00193D1C">
      <w:pPr>
        <w:rPr>
          <w:rFonts w:ascii="Book Antiqua" w:hAnsi="Book Antiqua"/>
          <w:sz w:val="24"/>
        </w:rPr>
      </w:pPr>
      <m:oMath>
        <m:r>
          <w:rPr>
            <w:rFonts w:ascii="Cambria Math" w:hAnsi="Cambria Math"/>
            <w:sz w:val="24"/>
          </w:rPr>
          <m:t>Y=</m:t>
        </m:r>
        <m:sSub>
          <m:sSubPr>
            <m:ctrlPr>
              <w:rPr>
                <w:rFonts w:ascii="Cambria Math" w:hAnsi="Cambria Math"/>
                <w:i/>
                <w:sz w:val="24"/>
              </w:rPr>
            </m:ctrlPr>
          </m:sSubPr>
          <m:e>
            <m:r>
              <w:rPr>
                <w:rFonts w:ascii="Cambria Math" w:hAnsi="Cambria Math"/>
                <w:sz w:val="24"/>
              </w:rPr>
              <m:t>β</m:t>
            </m:r>
          </m:e>
          <m:sub>
            <m:r>
              <w:rPr>
                <w:rFonts w:ascii="Cambria Math" w:hAnsi="Cambria Math"/>
                <w:sz w:val="24"/>
              </w:rPr>
              <m:t>0</m:t>
            </m:r>
          </m:sub>
        </m:sSub>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sSub>
          <m:sSubPr>
            <m:ctrlPr>
              <w:rPr>
                <w:rFonts w:ascii="Cambria Math" w:hAnsi="Cambria Math"/>
                <w:i/>
                <w:sz w:val="24"/>
              </w:rPr>
            </m:ctrlPr>
          </m:sSubPr>
          <m:e>
            <m:r>
              <w:rPr>
                <w:rFonts w:ascii="Cambria Math" w:hAnsi="Cambria Math"/>
                <w:sz w:val="24"/>
              </w:rPr>
              <m:t>Crisk</m:t>
            </m:r>
          </m:e>
          <m:sub>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β</m:t>
            </m:r>
          </m:e>
          <m:sub>
            <m:r>
              <w:rPr>
                <w:rFonts w:ascii="Cambria Math" w:hAnsi="Cambria Math"/>
                <w:sz w:val="24"/>
              </w:rPr>
              <m:t>2</m:t>
            </m:r>
          </m:sub>
        </m:sSub>
        <m:sSub>
          <m:sSubPr>
            <m:ctrlPr>
              <w:rPr>
                <w:rFonts w:ascii="Cambria Math" w:hAnsi="Cambria Math"/>
                <w:i/>
                <w:sz w:val="24"/>
              </w:rPr>
            </m:ctrlPr>
          </m:sSubPr>
          <m:e>
            <m:r>
              <w:rPr>
                <w:rFonts w:ascii="Cambria Math" w:hAnsi="Cambria Math"/>
                <w:sz w:val="24"/>
              </w:rPr>
              <m:t>CAR</m:t>
            </m:r>
          </m:e>
          <m:sub>
            <m:r>
              <w:rPr>
                <w:rFonts w:ascii="Cambria Math" w:hAnsi="Cambria Math"/>
                <w:sz w:val="24"/>
              </w:rPr>
              <m:t>2</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β</m:t>
            </m:r>
          </m:e>
          <m:sub>
            <m:r>
              <w:rPr>
                <w:rFonts w:ascii="Cambria Math" w:hAnsi="Cambria Math"/>
                <w:sz w:val="24"/>
              </w:rPr>
              <m:t>3</m:t>
            </m:r>
          </m:sub>
        </m:sSub>
        <m:sSub>
          <m:sSubPr>
            <m:ctrlPr>
              <w:rPr>
                <w:rFonts w:ascii="Cambria Math" w:hAnsi="Cambria Math"/>
                <w:i/>
                <w:sz w:val="24"/>
              </w:rPr>
            </m:ctrlPr>
          </m:sSubPr>
          <m:e>
            <m:r>
              <w:rPr>
                <w:rFonts w:ascii="Cambria Math" w:hAnsi="Cambria Math"/>
                <w:sz w:val="24"/>
              </w:rPr>
              <m:t>SIZE</m:t>
            </m:r>
          </m:e>
          <m:sub>
            <m:r>
              <w:rPr>
                <w:rFonts w:ascii="Cambria Math" w:hAnsi="Cambria Math"/>
                <w:sz w:val="24"/>
              </w:rPr>
              <m:t>3</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β</m:t>
            </m:r>
          </m:e>
          <m:sub>
            <m:r>
              <w:rPr>
                <w:rFonts w:ascii="Cambria Math" w:hAnsi="Cambria Math"/>
                <w:sz w:val="24"/>
              </w:rPr>
              <m:t>4</m:t>
            </m:r>
          </m:sub>
        </m:sSub>
        <m:sSub>
          <m:sSubPr>
            <m:ctrlPr>
              <w:rPr>
                <w:rFonts w:ascii="Cambria Math" w:hAnsi="Cambria Math"/>
                <w:i/>
                <w:sz w:val="24"/>
              </w:rPr>
            </m:ctrlPr>
          </m:sSubPr>
          <m:e>
            <m:r>
              <w:rPr>
                <w:rFonts w:ascii="Cambria Math" w:hAnsi="Cambria Math"/>
                <w:sz w:val="24"/>
              </w:rPr>
              <m:t>LQRisk</m:t>
            </m:r>
          </m:e>
          <m:sub>
            <m:r>
              <w:rPr>
                <w:rFonts w:ascii="Cambria Math" w:hAnsi="Cambria Math"/>
                <w:sz w:val="24"/>
              </w:rPr>
              <m:t>4</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β</m:t>
            </m:r>
          </m:e>
          <m:sub>
            <m:r>
              <w:rPr>
                <w:rFonts w:ascii="Cambria Math" w:hAnsi="Cambria Math"/>
                <w:sz w:val="24"/>
              </w:rPr>
              <m:t>5</m:t>
            </m:r>
          </m:sub>
        </m:sSub>
        <m:sSub>
          <m:sSubPr>
            <m:ctrlPr>
              <w:rPr>
                <w:rFonts w:ascii="Cambria Math" w:hAnsi="Cambria Math"/>
                <w:i/>
                <w:sz w:val="24"/>
              </w:rPr>
            </m:ctrlPr>
          </m:sSubPr>
          <m:e>
            <m:r>
              <w:rPr>
                <w:rFonts w:ascii="Cambria Math" w:hAnsi="Cambria Math"/>
                <w:sz w:val="24"/>
              </w:rPr>
              <m:t>SIZE</m:t>
            </m:r>
          </m:e>
          <m:sub>
            <m:r>
              <w:rPr>
                <w:rFonts w:ascii="Cambria Math" w:hAnsi="Cambria Math"/>
                <w:sz w:val="24"/>
              </w:rPr>
              <m:t>5</m:t>
            </m:r>
          </m:sub>
        </m:sSub>
        <m:r>
          <w:rPr>
            <w:rFonts w:ascii="Cambria Math" w:hAnsi="Cambria Math"/>
            <w:sz w:val="24"/>
          </w:rPr>
          <m:t>+ ε</m:t>
        </m:r>
      </m:oMath>
      <w:r w:rsidRPr="0042642B">
        <w:rPr>
          <w:rFonts w:ascii="Book Antiqua" w:hAnsi="Book Antiqua"/>
          <w:sz w:val="24"/>
        </w:rPr>
        <w:tab/>
      </w:r>
      <w:r w:rsidRPr="0042642B">
        <w:rPr>
          <w:rFonts w:ascii="Book Antiqua" w:hAnsi="Book Antiqua"/>
          <w:sz w:val="24"/>
        </w:rPr>
        <w:tab/>
      </w:r>
    </w:p>
    <w:p w:rsidR="00193D1C" w:rsidRPr="0042642B" w:rsidRDefault="00193D1C" w:rsidP="00193D1C">
      <w:pPr>
        <w:rPr>
          <w:rFonts w:ascii="Book Antiqua" w:hAnsi="Book Antiqua"/>
        </w:rPr>
      </w:pPr>
    </w:p>
    <w:p w:rsidR="00193D1C" w:rsidRPr="00CE6158" w:rsidRDefault="00193D1C" w:rsidP="00193D1C">
      <w:pPr>
        <w:jc w:val="both"/>
        <w:rPr>
          <w:rFonts w:ascii="Times New Roman" w:hAnsi="Times New Roman"/>
        </w:rPr>
      </w:pPr>
      <w:r w:rsidRPr="00CE6158">
        <w:rPr>
          <w:rFonts w:ascii="Times New Roman" w:hAnsi="Times New Roman"/>
        </w:rPr>
        <w:t>Dimana:</w:t>
      </w:r>
    </w:p>
    <w:p w:rsidR="00193D1C" w:rsidRPr="00CE6158" w:rsidRDefault="00193D1C" w:rsidP="00193D1C">
      <w:pPr>
        <w:jc w:val="both"/>
        <w:rPr>
          <w:rFonts w:ascii="Times New Roman" w:hAnsi="Times New Roman"/>
        </w:rPr>
      </w:pPr>
      <w:r w:rsidRPr="00CE6158">
        <w:rPr>
          <w:rFonts w:ascii="Times New Roman" w:hAnsi="Times New Roman"/>
        </w:rPr>
        <w:t>Y</w:t>
      </w:r>
      <w:r w:rsidRPr="00CE6158">
        <w:rPr>
          <w:rFonts w:ascii="Times New Roman" w:hAnsi="Times New Roman"/>
        </w:rPr>
        <w:tab/>
        <w:t>= Profitabilitas (ROE)</w:t>
      </w:r>
    </w:p>
    <w:p w:rsidR="00193D1C" w:rsidRPr="00CE6158" w:rsidRDefault="00193D1C" w:rsidP="00193D1C">
      <w:pPr>
        <w:jc w:val="both"/>
        <w:rPr>
          <w:rFonts w:ascii="Times New Roman" w:hAnsi="Times New Roman"/>
        </w:rPr>
      </w:pPr>
      <w:r w:rsidRPr="00CE6158">
        <w:rPr>
          <w:rFonts w:ascii="Times New Roman" w:hAnsi="Times New Roman"/>
        </w:rPr>
        <w:t xml:space="preserve">Crisk </w:t>
      </w:r>
      <w:r w:rsidRPr="00CE6158">
        <w:rPr>
          <w:rFonts w:ascii="Times New Roman" w:hAnsi="Times New Roman"/>
        </w:rPr>
        <w:tab/>
        <w:t>= Resiko kredit (NPF)</w:t>
      </w:r>
    </w:p>
    <w:p w:rsidR="00193D1C" w:rsidRPr="00CE6158" w:rsidRDefault="00193D1C" w:rsidP="00193D1C">
      <w:pPr>
        <w:jc w:val="both"/>
        <w:rPr>
          <w:rFonts w:ascii="Times New Roman" w:hAnsi="Times New Roman"/>
        </w:rPr>
      </w:pPr>
      <w:r w:rsidRPr="00CE6158">
        <w:rPr>
          <w:rFonts w:ascii="Times New Roman" w:hAnsi="Times New Roman"/>
        </w:rPr>
        <w:t>CAR</w:t>
      </w:r>
      <w:r w:rsidRPr="00CE6158">
        <w:rPr>
          <w:rFonts w:ascii="Times New Roman" w:hAnsi="Times New Roman"/>
        </w:rPr>
        <w:tab/>
        <w:t>= Modal (CAR)</w:t>
      </w:r>
    </w:p>
    <w:p w:rsidR="00193D1C" w:rsidRPr="00CE6158" w:rsidRDefault="00193D1C" w:rsidP="00193D1C">
      <w:pPr>
        <w:jc w:val="both"/>
        <w:rPr>
          <w:rFonts w:ascii="Times New Roman" w:hAnsi="Times New Roman"/>
        </w:rPr>
      </w:pPr>
      <w:r w:rsidRPr="00CE6158">
        <w:rPr>
          <w:rFonts w:ascii="Times New Roman" w:hAnsi="Times New Roman"/>
        </w:rPr>
        <w:t>SIZE</w:t>
      </w:r>
      <w:r w:rsidRPr="00CE6158">
        <w:rPr>
          <w:rFonts w:ascii="Times New Roman" w:hAnsi="Times New Roman"/>
        </w:rPr>
        <w:tab/>
        <w:t>= Ukuran Perusahaan (Total Aset)</w:t>
      </w:r>
    </w:p>
    <w:p w:rsidR="00193D1C" w:rsidRPr="00CE6158" w:rsidRDefault="00193D1C" w:rsidP="00193D1C">
      <w:pPr>
        <w:jc w:val="both"/>
        <w:rPr>
          <w:rFonts w:ascii="Times New Roman" w:hAnsi="Times New Roman"/>
        </w:rPr>
      </w:pPr>
      <w:r w:rsidRPr="00CE6158">
        <w:rPr>
          <w:rFonts w:ascii="Times New Roman" w:hAnsi="Times New Roman"/>
        </w:rPr>
        <w:t>LQRisk=</w:t>
      </w:r>
      <w:r w:rsidR="00E61690">
        <w:rPr>
          <w:rFonts w:ascii="Times New Roman" w:hAnsi="Times New Roman"/>
          <w:lang w:val="en-US"/>
        </w:rPr>
        <w:t xml:space="preserve"> </w:t>
      </w:r>
      <w:r w:rsidRPr="00CE6158">
        <w:rPr>
          <w:rFonts w:ascii="Times New Roman" w:hAnsi="Times New Roman"/>
        </w:rPr>
        <w:t>Resiko Liquiditas</w:t>
      </w:r>
      <w:r w:rsidRPr="00CE6158">
        <w:rPr>
          <w:rFonts w:ascii="Times New Roman" w:hAnsi="Times New Roman"/>
        </w:rPr>
        <w:tab/>
      </w:r>
    </w:p>
    <w:p w:rsidR="00193D1C" w:rsidRPr="00CE6158" w:rsidRDefault="00193D1C" w:rsidP="00193D1C">
      <w:pPr>
        <w:jc w:val="both"/>
        <w:rPr>
          <w:rFonts w:ascii="Times New Roman" w:hAnsi="Times New Roman"/>
        </w:rPr>
      </w:pPr>
      <w:r w:rsidRPr="00CE6158">
        <w:rPr>
          <w:rFonts w:ascii="Times New Roman" w:hAnsi="Times New Roman"/>
        </w:rPr>
        <w:t>INF</w:t>
      </w:r>
      <w:r w:rsidRPr="00CE6158">
        <w:rPr>
          <w:rFonts w:ascii="Times New Roman" w:hAnsi="Times New Roman"/>
        </w:rPr>
        <w:tab/>
        <w:t>= Tingkat inflasi</w:t>
      </w:r>
    </w:p>
    <w:p w:rsidR="00193D1C" w:rsidRPr="00CE6158" w:rsidRDefault="00193D1C" w:rsidP="00193D1C">
      <w:pPr>
        <w:jc w:val="both"/>
        <w:rPr>
          <w:rFonts w:ascii="Times New Roman" w:hAnsi="Times New Roman"/>
          <w:szCs w:val="24"/>
        </w:rPr>
      </w:pPr>
      <w:r w:rsidRPr="00CE6158">
        <w:rPr>
          <w:rFonts w:ascii="Times New Roman" w:hAnsi="Times New Roman"/>
          <w:szCs w:val="24"/>
        </w:rPr>
        <w:t>β</w:t>
      </w:r>
      <w:r w:rsidRPr="00CE6158">
        <w:rPr>
          <w:rFonts w:ascii="Times New Roman" w:hAnsi="Times New Roman"/>
          <w:szCs w:val="24"/>
          <w:vertAlign w:val="subscript"/>
        </w:rPr>
        <w:t>0</w:t>
      </w:r>
      <w:r w:rsidRPr="00CE6158">
        <w:rPr>
          <w:rFonts w:ascii="Times New Roman" w:hAnsi="Times New Roman"/>
          <w:szCs w:val="24"/>
          <w:vertAlign w:val="subscript"/>
        </w:rPr>
        <w:tab/>
      </w:r>
      <w:r w:rsidRPr="00CE6158">
        <w:rPr>
          <w:rFonts w:ascii="Times New Roman" w:hAnsi="Times New Roman"/>
          <w:szCs w:val="24"/>
        </w:rPr>
        <w:t>= Constanta</w:t>
      </w:r>
    </w:p>
    <w:p w:rsidR="00193D1C" w:rsidRPr="00CE6158" w:rsidRDefault="00193D1C" w:rsidP="00193D1C">
      <w:pPr>
        <w:jc w:val="both"/>
        <w:rPr>
          <w:rFonts w:ascii="Times New Roman" w:hAnsi="Times New Roman"/>
          <w:szCs w:val="24"/>
        </w:rPr>
      </w:pPr>
      <w:r w:rsidRPr="00CE6158">
        <w:rPr>
          <w:rFonts w:ascii="Times New Roman" w:hAnsi="Times New Roman"/>
          <w:szCs w:val="24"/>
        </w:rPr>
        <w:t>β</w:t>
      </w:r>
      <w:r w:rsidRPr="00CE6158">
        <w:rPr>
          <w:rFonts w:ascii="Times New Roman" w:hAnsi="Times New Roman"/>
          <w:szCs w:val="24"/>
          <w:vertAlign w:val="subscript"/>
        </w:rPr>
        <w:t>1</w:t>
      </w:r>
      <w:r w:rsidRPr="00CE6158">
        <w:rPr>
          <w:rFonts w:ascii="Times New Roman" w:hAnsi="Times New Roman"/>
          <w:szCs w:val="24"/>
        </w:rPr>
        <w:t>…β</w:t>
      </w:r>
      <w:r w:rsidRPr="00CE6158">
        <w:rPr>
          <w:rFonts w:ascii="Times New Roman" w:hAnsi="Times New Roman"/>
          <w:szCs w:val="24"/>
          <w:vertAlign w:val="subscript"/>
        </w:rPr>
        <w:t>n</w:t>
      </w:r>
      <w:r w:rsidRPr="00CE6158">
        <w:rPr>
          <w:rFonts w:ascii="Times New Roman" w:hAnsi="Times New Roman"/>
          <w:szCs w:val="24"/>
          <w:vertAlign w:val="subscript"/>
        </w:rPr>
        <w:tab/>
      </w:r>
      <w:r w:rsidRPr="00CE6158">
        <w:rPr>
          <w:rFonts w:ascii="Times New Roman" w:hAnsi="Times New Roman"/>
          <w:szCs w:val="24"/>
        </w:rPr>
        <w:t>= Regression Coefficient</w:t>
      </w:r>
    </w:p>
    <w:p w:rsidR="00193D1C" w:rsidRPr="00CE6158" w:rsidRDefault="00193D1C" w:rsidP="00193D1C">
      <w:pPr>
        <w:jc w:val="both"/>
        <w:rPr>
          <w:rFonts w:ascii="Times New Roman" w:hAnsi="Times New Roman"/>
          <w:color w:val="FF0000"/>
          <w:szCs w:val="24"/>
        </w:rPr>
      </w:pPr>
      <w:r w:rsidRPr="00CE6158">
        <w:rPr>
          <w:rFonts w:ascii="Times New Roman" w:hAnsi="Times New Roman"/>
        </w:rPr>
        <w:t>ε</w:t>
      </w:r>
      <w:r w:rsidRPr="00CE6158">
        <w:rPr>
          <w:rFonts w:ascii="Times New Roman" w:hAnsi="Times New Roman"/>
        </w:rPr>
        <w:tab/>
        <w:t>= error</w:t>
      </w:r>
    </w:p>
    <w:p w:rsidR="00193D1C" w:rsidRPr="007544C9" w:rsidRDefault="00193D1C" w:rsidP="00193D1C">
      <w:pPr>
        <w:jc w:val="both"/>
        <w:rPr>
          <w:rFonts w:ascii="Times New Roman" w:hAnsi="Times New Roman"/>
          <w:sz w:val="24"/>
        </w:rPr>
      </w:pPr>
      <w:r>
        <w:rPr>
          <w:rFonts w:ascii="Times New Roman" w:hAnsi="Times New Roman"/>
          <w:sz w:val="24"/>
        </w:rPr>
        <w:lastRenderedPageBreak/>
        <w:t>Kons</w:t>
      </w:r>
      <w:r w:rsidRPr="007544C9">
        <w:rPr>
          <w:rFonts w:ascii="Times New Roman" w:hAnsi="Times New Roman"/>
          <w:sz w:val="24"/>
        </w:rPr>
        <w:t>eptual Framework</w:t>
      </w:r>
    </w:p>
    <w:p w:rsidR="00193D1C" w:rsidRPr="007544C9" w:rsidRDefault="00193D1C" w:rsidP="00193D1C">
      <w:pPr>
        <w:jc w:val="both"/>
        <w:rPr>
          <w:rFonts w:ascii="Times New Roman" w:hAnsi="Times New Roman"/>
          <w:sz w:val="24"/>
        </w:rPr>
      </w:pPr>
      <w:r>
        <w:rPr>
          <w:rFonts w:ascii="Times New Roman" w:hAnsi="Times New Roman"/>
          <w:sz w:val="24"/>
        </w:rPr>
        <w:t>Kons</w:t>
      </w:r>
      <w:r w:rsidRPr="007544C9">
        <w:rPr>
          <w:rFonts w:ascii="Times New Roman" w:hAnsi="Times New Roman"/>
          <w:sz w:val="24"/>
        </w:rPr>
        <w:t xml:space="preserve">eptual framework adalah konsep-konsep teori atau variabel yang akan digunakan sebagai acuan dalam penelitian yang dibangun dari hasil riset yang mengambarkan hubungan dan pengaruh antar variable. Dalam studi ini Resiko Kredit (NPF), </w:t>
      </w:r>
      <w:r w:rsidRPr="007544C9">
        <w:rPr>
          <w:rFonts w:ascii="Times New Roman" w:hAnsi="Times New Roman"/>
          <w:sz w:val="24"/>
          <w:szCs w:val="23"/>
        </w:rPr>
        <w:t>Kecukupan Modal (CAR) Ukuran Perusahaan, Resiko Liquiditas dan Infasi</w:t>
      </w:r>
      <w:r w:rsidR="00115FCE">
        <w:rPr>
          <w:rFonts w:ascii="Times New Roman" w:hAnsi="Times New Roman"/>
          <w:sz w:val="24"/>
          <w:szCs w:val="23"/>
          <w:lang w:val="en-US"/>
        </w:rPr>
        <w:t xml:space="preserve"> </w:t>
      </w:r>
      <w:r w:rsidRPr="007544C9">
        <w:rPr>
          <w:rFonts w:ascii="Times New Roman" w:hAnsi="Times New Roman"/>
          <w:sz w:val="24"/>
          <w:szCs w:val="23"/>
        </w:rPr>
        <w:t xml:space="preserve">sebagai variable Independent, serta variable dependentadalah Profitabilitas (ROE). </w:t>
      </w:r>
      <w:r w:rsidRPr="007544C9">
        <w:rPr>
          <w:rFonts w:ascii="Times New Roman" w:hAnsi="Times New Roman"/>
          <w:sz w:val="24"/>
        </w:rPr>
        <w:t>Berdasarkan konseptual framework, maka hypothesis penelitian ini adalah:</w:t>
      </w:r>
    </w:p>
    <w:p w:rsidR="00193D1C" w:rsidRPr="002F7CEF" w:rsidRDefault="00E61690" w:rsidP="00193D1C">
      <w:pPr>
        <w:ind w:left="540" w:hanging="54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 xml:space="preserve">1 </m:t>
            </m:r>
          </m:sub>
        </m:sSub>
        <m:r>
          <w:rPr>
            <w:rFonts w:ascii="Cambria Math" w:hAnsi="Cambria Math"/>
            <w:sz w:val="24"/>
          </w:rPr>
          <m:t>=</m:t>
        </m:r>
      </m:oMath>
      <w:r w:rsidR="00193D1C" w:rsidRPr="002F7CEF">
        <w:rPr>
          <w:rFonts w:ascii="Times New Roman" w:hAnsi="Times New Roman"/>
          <w:sz w:val="24"/>
        </w:rPr>
        <w:t xml:space="preserve"> Resiko Kredit berpengaruh positive terhadap Profitabilitas Bank Syariah di Indonesia</w:t>
      </w:r>
    </w:p>
    <w:p w:rsidR="00193D1C" w:rsidRPr="002F7CEF" w:rsidRDefault="00E61690" w:rsidP="00193D1C">
      <w:pPr>
        <w:ind w:left="540" w:hanging="54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 xml:space="preserve">2 </m:t>
            </m:r>
          </m:sub>
        </m:sSub>
        <m:r>
          <w:rPr>
            <w:rFonts w:ascii="Cambria Math" w:hAnsi="Cambria Math"/>
            <w:sz w:val="24"/>
          </w:rPr>
          <m:t>=</m:t>
        </m:r>
      </m:oMath>
      <w:r w:rsidR="00193D1C">
        <w:rPr>
          <w:rFonts w:ascii="Times New Roman" w:hAnsi="Times New Roman"/>
          <w:sz w:val="24"/>
        </w:rPr>
        <w:t>Rasio Kecukupan Modal</w:t>
      </w:r>
      <w:r w:rsidR="00193D1C" w:rsidRPr="002F7CEF">
        <w:rPr>
          <w:rFonts w:ascii="Times New Roman" w:hAnsi="Times New Roman"/>
          <w:sz w:val="24"/>
        </w:rPr>
        <w:t xml:space="preserve"> (CAR) berpengaruh positive terhadap Profitabilitas Bank Syariah di Indonesia.</w:t>
      </w:r>
    </w:p>
    <w:p w:rsidR="00C57768" w:rsidRPr="002F7CEF" w:rsidRDefault="00E61690" w:rsidP="00C57768">
      <w:pPr>
        <w:ind w:left="540" w:hanging="54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 xml:space="preserve">3 </m:t>
            </m:r>
          </m:sub>
        </m:sSub>
        <m:r>
          <w:rPr>
            <w:rFonts w:ascii="Cambria Math" w:hAnsi="Cambria Math"/>
            <w:sz w:val="24"/>
          </w:rPr>
          <m:t>=</m:t>
        </m:r>
      </m:oMath>
      <w:r w:rsidR="00C57768" w:rsidRPr="002F7CEF">
        <w:rPr>
          <w:rFonts w:ascii="Times New Roman" w:hAnsi="Times New Roman"/>
          <w:sz w:val="24"/>
        </w:rPr>
        <w:t xml:space="preserve"> Ukuran perusahaan (SIZE) berpengaruh positive terhadap Profitabilitas Bank Syariah di Indonesia.</w:t>
      </w:r>
    </w:p>
    <w:p w:rsidR="00C57768" w:rsidRPr="002F7CEF" w:rsidRDefault="00E61690" w:rsidP="00C57768">
      <w:pPr>
        <w:ind w:left="540" w:hanging="54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 xml:space="preserve">4 </m:t>
            </m:r>
          </m:sub>
        </m:sSub>
        <m:r>
          <w:rPr>
            <w:rFonts w:ascii="Cambria Math" w:hAnsi="Cambria Math"/>
            <w:sz w:val="24"/>
          </w:rPr>
          <m:t>=</m:t>
        </m:r>
      </m:oMath>
      <w:r w:rsidR="00C57768" w:rsidRPr="002F7CEF">
        <w:rPr>
          <w:rFonts w:ascii="Times New Roman" w:hAnsi="Times New Roman"/>
          <w:sz w:val="24"/>
        </w:rPr>
        <w:t xml:space="preserve"> Risiko Liquiditas (LQRisk) berpengaruh positive terhadap Profitabilitas Bank Syariah di Indonesia.</w:t>
      </w:r>
    </w:p>
    <w:p w:rsidR="00C57768" w:rsidRPr="002F7CEF" w:rsidRDefault="00E61690" w:rsidP="00C57768">
      <w:pPr>
        <w:ind w:left="540" w:hanging="540"/>
        <w:jc w:val="both"/>
        <w:rPr>
          <w:rFonts w:ascii="Times New Roman" w:hAnsi="Times New Roman"/>
          <w:sz w:val="24"/>
        </w:rPr>
      </w:pPr>
      <m:oMath>
        <m:sSub>
          <m:sSubPr>
            <m:ctrlPr>
              <w:rPr>
                <w:rFonts w:ascii="Cambria Math" w:hAnsi="Cambria Math"/>
                <w:i/>
                <w:sz w:val="24"/>
              </w:rPr>
            </m:ctrlPr>
          </m:sSubPr>
          <m:e>
            <m:r>
              <w:rPr>
                <w:rFonts w:ascii="Cambria Math" w:hAnsi="Cambria Math"/>
                <w:sz w:val="24"/>
              </w:rPr>
              <m:t>H</m:t>
            </m:r>
          </m:e>
          <m:sub>
            <m:r>
              <w:rPr>
                <w:rFonts w:ascii="Cambria Math" w:hAnsi="Cambria Math"/>
                <w:sz w:val="24"/>
              </w:rPr>
              <m:t xml:space="preserve">5 </m:t>
            </m:r>
          </m:sub>
        </m:sSub>
        <m:r>
          <w:rPr>
            <w:rFonts w:ascii="Cambria Math" w:hAnsi="Cambria Math"/>
            <w:sz w:val="24"/>
          </w:rPr>
          <m:t>=</m:t>
        </m:r>
      </m:oMath>
      <w:r w:rsidR="00C57768" w:rsidRPr="002F7CEF">
        <w:rPr>
          <w:rFonts w:ascii="Times New Roman" w:hAnsi="Times New Roman"/>
          <w:sz w:val="24"/>
        </w:rPr>
        <w:t xml:space="preserve"> Inflasi berpengaruh negative terhadap Profitabilitas Bank Syariah di Indonesia. </w:t>
      </w:r>
    </w:p>
    <w:p w:rsidR="00C57768" w:rsidRPr="00EE5204" w:rsidRDefault="00C57768" w:rsidP="00C57768">
      <w:pPr>
        <w:jc w:val="both"/>
      </w:pPr>
    </w:p>
    <w:p w:rsidR="00C57768" w:rsidRPr="00744857" w:rsidRDefault="00C57768" w:rsidP="00C57768">
      <w:pPr>
        <w:jc w:val="both"/>
        <w:rPr>
          <w:rFonts w:ascii="Times New Roman" w:hAnsi="Times New Roman"/>
          <w:b/>
          <w:sz w:val="24"/>
          <w:szCs w:val="24"/>
        </w:rPr>
      </w:pPr>
    </w:p>
    <w:p w:rsidR="00C57768" w:rsidRPr="00744857" w:rsidRDefault="00C57768" w:rsidP="00C57768">
      <w:pPr>
        <w:spacing w:line="360" w:lineRule="auto"/>
        <w:rPr>
          <w:rFonts w:ascii="Times New Roman" w:hAnsi="Times New Roman"/>
          <w:b/>
          <w:sz w:val="24"/>
          <w:szCs w:val="24"/>
        </w:rPr>
      </w:pPr>
      <w:r w:rsidRPr="00744857">
        <w:rPr>
          <w:rFonts w:ascii="Times New Roman" w:hAnsi="Times New Roman"/>
          <w:b/>
          <w:sz w:val="24"/>
          <w:szCs w:val="24"/>
        </w:rPr>
        <w:t>HASIL DAN PEMBAHASAN</w:t>
      </w:r>
    </w:p>
    <w:p w:rsidR="00C57768" w:rsidRPr="00BC683C" w:rsidRDefault="00C57768" w:rsidP="00C57768">
      <w:pPr>
        <w:jc w:val="both"/>
        <w:rPr>
          <w:rFonts w:ascii="Times New Roman" w:hAnsi="Times New Roman"/>
          <w:sz w:val="24"/>
        </w:rPr>
      </w:pPr>
      <w:r w:rsidRPr="00BC683C">
        <w:rPr>
          <w:rFonts w:ascii="Times New Roman" w:hAnsi="Times New Roman"/>
          <w:sz w:val="24"/>
        </w:rPr>
        <w:t xml:space="preserve">Asumsi tes klasik digunakan untuk mengetahui apakah model penelitian layak atau tidak, yaitu uji normalitas, uji multikolinearitas, dan uji autokorelasi. Hasil uji normalitas </w:t>
      </w:r>
      <w:r>
        <w:rPr>
          <w:rFonts w:ascii="Times New Roman" w:hAnsi="Times New Roman"/>
          <w:sz w:val="24"/>
        </w:rPr>
        <w:t xml:space="preserve">disajika </w:t>
      </w:r>
      <w:r w:rsidRPr="00BC683C">
        <w:rPr>
          <w:rFonts w:ascii="Times New Roman" w:hAnsi="Times New Roman"/>
          <w:sz w:val="24"/>
        </w:rPr>
        <w:t xml:space="preserve">pada Gambar </w:t>
      </w:r>
      <w:r w:rsidR="00115FCE">
        <w:rPr>
          <w:rFonts w:ascii="Times New Roman" w:hAnsi="Times New Roman"/>
          <w:sz w:val="24"/>
          <w:lang w:val="en-US"/>
        </w:rPr>
        <w:t>1</w:t>
      </w:r>
      <w:r w:rsidRPr="00BC683C">
        <w:rPr>
          <w:rFonts w:ascii="Times New Roman" w:hAnsi="Times New Roman"/>
          <w:sz w:val="24"/>
        </w:rPr>
        <w:t xml:space="preserve">. Grafik tersebut mengkonfirmasikan bahwa model regresi yang diperoleh terdistribusi normal, dimana distribusi data berada di sekitar garis diagonal. Hasil uji multikolinieritas pada Tabel 1. menunjukkan bahwa variabel Risiko Kredit, CAR, Bank Size, Likuiditas dan Inflasi memiliki nilai toleransi antara 0,299 sampai 0,809 untuk semua data pengamatan, nilainya lebih besar dari 0,10 sehingga dapat disimpulkan bahwa tidak ada multikolinearitas antar variabel independen, hal ini diperkuat oleh nilai VIF (varian faktor inflasi) antara 1,237 sampai 3,343, dimana nilainya kurang dari 10, dapat dikatakan bahwa tidak ada masalah multikolinearitas </w:t>
      </w:r>
      <w:r w:rsidRPr="00BC683C">
        <w:rPr>
          <w:rFonts w:ascii="Times New Roman" w:hAnsi="Times New Roman"/>
          <w:sz w:val="24"/>
        </w:rPr>
        <w:t>dalam model prediksi. Hasil uji autokorelasi pada Tabel 6, nilai Durbin Watson adalah 1,209, dari hasil analisis menunjukkan bahwa nilai Durbin-Watson lebih besar dari nilai dL adalah 1.235, sehingga tidak ada masalah autokorelasi. Studi ini memenuhi asumsi klasik, sehingga dapat disimpulkan bahwa penelitian bebas multikolinearitas dan autokorelasi.</w:t>
      </w:r>
    </w:p>
    <w:p w:rsidR="00C57768" w:rsidRDefault="00C57768" w:rsidP="00C57768">
      <w:pPr>
        <w:jc w:val="both"/>
        <w:rPr>
          <w:rFonts w:ascii="Times New Roman" w:hAnsi="Times New Roman"/>
          <w:sz w:val="24"/>
        </w:rPr>
      </w:pPr>
      <w:r w:rsidRPr="00BC683C">
        <w:rPr>
          <w:rFonts w:ascii="Times New Roman" w:hAnsi="Times New Roman"/>
          <w:sz w:val="24"/>
        </w:rPr>
        <w:t>Pengujian statistik deskriptif digunakan untuk memberikan informasi gambaran umum dari tiap variabel penelitian. Tabel 2 menjelaskan hasil pengujian statistik dalam penelitian ini.</w:t>
      </w:r>
    </w:p>
    <w:p w:rsidR="00C57768" w:rsidRPr="00BC683C" w:rsidRDefault="00C57768" w:rsidP="00C57768">
      <w:pPr>
        <w:jc w:val="both"/>
        <w:rPr>
          <w:rFonts w:ascii="Times New Roman" w:hAnsi="Times New Roman"/>
          <w:sz w:val="24"/>
        </w:rPr>
      </w:pPr>
    </w:p>
    <w:p w:rsidR="00C57768" w:rsidRDefault="00C57768" w:rsidP="00C57768">
      <w:pPr>
        <w:jc w:val="both"/>
        <w:rPr>
          <w:rFonts w:ascii="Times New Roman" w:hAnsi="Times New Roman"/>
          <w:color w:val="000000" w:themeColor="text1"/>
          <w:sz w:val="24"/>
          <w:szCs w:val="24"/>
        </w:rPr>
      </w:pPr>
      <w:r w:rsidRPr="00B33ECC">
        <w:rPr>
          <w:rFonts w:ascii="Times New Roman" w:hAnsi="Times New Roman"/>
          <w:sz w:val="24"/>
          <w:szCs w:val="24"/>
        </w:rPr>
        <w:t>Table 1. Collinearity Statistics</w:t>
      </w:r>
    </w:p>
    <w:tbl>
      <w:tblPr>
        <w:tblStyle w:val="TableGrid3"/>
        <w:tblW w:w="446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293"/>
        <w:gridCol w:w="1201"/>
      </w:tblGrid>
      <w:tr w:rsidR="00C57768" w:rsidRPr="00BC683C" w:rsidTr="00964031">
        <w:trPr>
          <w:trHeight w:val="261"/>
          <w:jc w:val="center"/>
        </w:trPr>
        <w:tc>
          <w:tcPr>
            <w:tcW w:w="1973" w:type="dxa"/>
            <w:tcBorders>
              <w:top w:val="single" w:sz="4" w:space="0" w:color="auto"/>
              <w:bottom w:val="nil"/>
            </w:tcBorders>
          </w:tcPr>
          <w:p w:rsidR="00C57768" w:rsidRPr="00BC683C" w:rsidRDefault="00C57768" w:rsidP="00943EC8">
            <w:pPr>
              <w:rPr>
                <w:rFonts w:ascii="Times New Roman" w:hAnsi="Times New Roman"/>
                <w:b/>
                <w:sz w:val="24"/>
                <w:szCs w:val="24"/>
              </w:rPr>
            </w:pPr>
            <w:r w:rsidRPr="00BC683C">
              <w:rPr>
                <w:rFonts w:ascii="Times New Roman" w:hAnsi="Times New Roman"/>
                <w:b/>
                <w:sz w:val="24"/>
                <w:szCs w:val="24"/>
              </w:rPr>
              <w:t>Model</w:t>
            </w:r>
          </w:p>
        </w:tc>
        <w:tc>
          <w:tcPr>
            <w:tcW w:w="2494" w:type="dxa"/>
            <w:gridSpan w:val="2"/>
            <w:tcBorders>
              <w:top w:val="single" w:sz="4" w:space="0" w:color="auto"/>
              <w:bottom w:val="nil"/>
            </w:tcBorders>
          </w:tcPr>
          <w:p w:rsidR="00C57768" w:rsidRPr="00BC683C" w:rsidRDefault="00C57768" w:rsidP="00943EC8">
            <w:pPr>
              <w:rPr>
                <w:rFonts w:ascii="Times New Roman" w:hAnsi="Times New Roman"/>
                <w:b/>
                <w:sz w:val="24"/>
                <w:szCs w:val="24"/>
              </w:rPr>
            </w:pPr>
            <w:r w:rsidRPr="00BC683C">
              <w:rPr>
                <w:rFonts w:ascii="Times New Roman" w:hAnsi="Times New Roman"/>
                <w:b/>
                <w:sz w:val="24"/>
                <w:szCs w:val="24"/>
              </w:rPr>
              <w:t>Collinearity Statistics</w:t>
            </w:r>
          </w:p>
        </w:tc>
      </w:tr>
      <w:tr w:rsidR="00C57768" w:rsidRPr="00BC683C" w:rsidTr="00964031">
        <w:trPr>
          <w:trHeight w:val="261"/>
          <w:jc w:val="center"/>
        </w:trPr>
        <w:tc>
          <w:tcPr>
            <w:tcW w:w="1973" w:type="dxa"/>
            <w:tcBorders>
              <w:top w:val="nil"/>
              <w:bottom w:val="single" w:sz="4" w:space="0" w:color="auto"/>
            </w:tcBorders>
          </w:tcPr>
          <w:p w:rsidR="00C57768" w:rsidRPr="00BC683C" w:rsidRDefault="00C57768" w:rsidP="00943EC8">
            <w:pPr>
              <w:rPr>
                <w:rFonts w:ascii="Times New Roman" w:hAnsi="Times New Roman"/>
                <w:sz w:val="24"/>
                <w:szCs w:val="24"/>
              </w:rPr>
            </w:pPr>
          </w:p>
        </w:tc>
        <w:tc>
          <w:tcPr>
            <w:tcW w:w="1293" w:type="dxa"/>
            <w:tcBorders>
              <w:top w:val="nil"/>
              <w:bottom w:val="single" w:sz="4" w:space="0" w:color="auto"/>
            </w:tcBorders>
          </w:tcPr>
          <w:p w:rsidR="00C57768" w:rsidRPr="00BC683C" w:rsidRDefault="00C57768" w:rsidP="00943EC8">
            <w:pPr>
              <w:rPr>
                <w:rFonts w:ascii="Times New Roman" w:hAnsi="Times New Roman"/>
                <w:b/>
                <w:sz w:val="24"/>
                <w:szCs w:val="24"/>
              </w:rPr>
            </w:pPr>
            <w:r w:rsidRPr="00BC683C">
              <w:rPr>
                <w:rFonts w:ascii="Times New Roman" w:hAnsi="Times New Roman"/>
                <w:b/>
                <w:sz w:val="24"/>
                <w:szCs w:val="24"/>
              </w:rPr>
              <w:t>Tolerance</w:t>
            </w:r>
          </w:p>
        </w:tc>
        <w:tc>
          <w:tcPr>
            <w:tcW w:w="1201" w:type="dxa"/>
            <w:tcBorders>
              <w:top w:val="nil"/>
              <w:bottom w:val="single" w:sz="4" w:space="0" w:color="auto"/>
            </w:tcBorders>
          </w:tcPr>
          <w:p w:rsidR="00C57768" w:rsidRPr="00BC683C" w:rsidRDefault="00C57768" w:rsidP="00943EC8">
            <w:pPr>
              <w:rPr>
                <w:rFonts w:ascii="Times New Roman" w:hAnsi="Times New Roman"/>
                <w:b/>
                <w:sz w:val="24"/>
                <w:szCs w:val="24"/>
              </w:rPr>
            </w:pPr>
            <w:r w:rsidRPr="00BC683C">
              <w:rPr>
                <w:rFonts w:ascii="Times New Roman" w:hAnsi="Times New Roman"/>
                <w:b/>
                <w:sz w:val="24"/>
                <w:szCs w:val="24"/>
              </w:rPr>
              <w:t>VIF</w:t>
            </w:r>
          </w:p>
        </w:tc>
      </w:tr>
      <w:tr w:rsidR="00C57768" w:rsidRPr="00BC683C" w:rsidTr="00964031">
        <w:trPr>
          <w:trHeight w:val="249"/>
          <w:jc w:val="center"/>
        </w:trPr>
        <w:tc>
          <w:tcPr>
            <w:tcW w:w="1973" w:type="dxa"/>
            <w:tcBorders>
              <w:top w:val="single" w:sz="4" w:space="0" w:color="auto"/>
            </w:tcBorders>
          </w:tcPr>
          <w:p w:rsidR="00C57768" w:rsidRPr="00BC683C" w:rsidRDefault="00C57768" w:rsidP="00943EC8">
            <w:pPr>
              <w:rPr>
                <w:rFonts w:ascii="Times New Roman" w:hAnsi="Times New Roman"/>
                <w:sz w:val="24"/>
                <w:szCs w:val="24"/>
              </w:rPr>
            </w:pPr>
            <w:r w:rsidRPr="00BC683C">
              <w:rPr>
                <w:rFonts w:ascii="Times New Roman" w:hAnsi="Times New Roman"/>
                <w:sz w:val="24"/>
                <w:szCs w:val="24"/>
              </w:rPr>
              <w:t>(Constant)</w:t>
            </w:r>
          </w:p>
        </w:tc>
        <w:tc>
          <w:tcPr>
            <w:tcW w:w="1293" w:type="dxa"/>
            <w:tcBorders>
              <w:top w:val="single" w:sz="4" w:space="0" w:color="auto"/>
            </w:tcBorders>
          </w:tcPr>
          <w:p w:rsidR="00C57768" w:rsidRPr="00BC683C" w:rsidRDefault="00C57768" w:rsidP="00943EC8">
            <w:pPr>
              <w:rPr>
                <w:rFonts w:ascii="Times New Roman" w:hAnsi="Times New Roman"/>
                <w:sz w:val="24"/>
                <w:szCs w:val="24"/>
              </w:rPr>
            </w:pPr>
          </w:p>
        </w:tc>
        <w:tc>
          <w:tcPr>
            <w:tcW w:w="1201" w:type="dxa"/>
            <w:tcBorders>
              <w:top w:val="single" w:sz="4" w:space="0" w:color="auto"/>
            </w:tcBorders>
          </w:tcPr>
          <w:p w:rsidR="00C57768" w:rsidRPr="00BC683C" w:rsidRDefault="00C57768" w:rsidP="00943EC8">
            <w:pPr>
              <w:rPr>
                <w:rFonts w:ascii="Times New Roman" w:hAnsi="Times New Roman"/>
                <w:sz w:val="24"/>
                <w:szCs w:val="24"/>
              </w:rPr>
            </w:pPr>
          </w:p>
        </w:tc>
      </w:tr>
      <w:tr w:rsidR="00C57768" w:rsidRPr="00BC683C" w:rsidTr="00964031">
        <w:trPr>
          <w:trHeight w:val="261"/>
          <w:jc w:val="center"/>
        </w:trPr>
        <w:tc>
          <w:tcPr>
            <w:tcW w:w="1973" w:type="dxa"/>
            <w:vAlign w:val="center"/>
          </w:tcPr>
          <w:p w:rsidR="00C57768" w:rsidRPr="00BC683C" w:rsidRDefault="00C57768" w:rsidP="00943EC8">
            <w:pPr>
              <w:autoSpaceDE w:val="0"/>
              <w:autoSpaceDN w:val="0"/>
              <w:adjustRightInd w:val="0"/>
              <w:ind w:left="60" w:right="60"/>
              <w:rPr>
                <w:rFonts w:ascii="Times New Roman" w:hAnsi="Times New Roman"/>
                <w:color w:val="000000" w:themeColor="text1"/>
                <w:sz w:val="24"/>
                <w:szCs w:val="24"/>
                <w:lang w:eastAsia="pt-PT"/>
              </w:rPr>
            </w:pPr>
            <w:r w:rsidRPr="00BC683C">
              <w:rPr>
                <w:rFonts w:ascii="Times New Roman" w:hAnsi="Times New Roman"/>
                <w:color w:val="000000" w:themeColor="text1"/>
                <w:sz w:val="24"/>
                <w:szCs w:val="24"/>
                <w:lang w:eastAsia="pt-PT"/>
              </w:rPr>
              <w:t>CRISK</w:t>
            </w:r>
          </w:p>
        </w:tc>
        <w:tc>
          <w:tcPr>
            <w:tcW w:w="1293"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.809</w:t>
            </w:r>
          </w:p>
        </w:tc>
        <w:tc>
          <w:tcPr>
            <w:tcW w:w="1201"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1.237</w:t>
            </w:r>
          </w:p>
        </w:tc>
      </w:tr>
      <w:tr w:rsidR="00C57768" w:rsidRPr="00BC683C" w:rsidTr="00964031">
        <w:trPr>
          <w:trHeight w:val="261"/>
          <w:jc w:val="center"/>
        </w:trPr>
        <w:tc>
          <w:tcPr>
            <w:tcW w:w="1973" w:type="dxa"/>
            <w:vAlign w:val="center"/>
          </w:tcPr>
          <w:p w:rsidR="00C57768" w:rsidRPr="00BC683C" w:rsidRDefault="00C57768" w:rsidP="00943EC8">
            <w:pPr>
              <w:autoSpaceDE w:val="0"/>
              <w:autoSpaceDN w:val="0"/>
              <w:adjustRightInd w:val="0"/>
              <w:ind w:left="60" w:right="60"/>
              <w:rPr>
                <w:rFonts w:ascii="Times New Roman" w:hAnsi="Times New Roman"/>
                <w:color w:val="000000" w:themeColor="text1"/>
                <w:sz w:val="24"/>
                <w:szCs w:val="24"/>
                <w:lang w:eastAsia="pt-PT"/>
              </w:rPr>
            </w:pPr>
            <w:r w:rsidRPr="00BC683C">
              <w:rPr>
                <w:rFonts w:ascii="Times New Roman" w:hAnsi="Times New Roman"/>
                <w:color w:val="000000" w:themeColor="text1"/>
                <w:sz w:val="24"/>
                <w:szCs w:val="24"/>
                <w:lang w:eastAsia="pt-PT"/>
              </w:rPr>
              <w:t>CAR</w:t>
            </w:r>
          </w:p>
        </w:tc>
        <w:tc>
          <w:tcPr>
            <w:tcW w:w="1293"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.450</w:t>
            </w:r>
          </w:p>
        </w:tc>
        <w:tc>
          <w:tcPr>
            <w:tcW w:w="1201"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2.221</w:t>
            </w:r>
          </w:p>
        </w:tc>
      </w:tr>
      <w:tr w:rsidR="00C57768" w:rsidRPr="00BC683C" w:rsidTr="00964031">
        <w:trPr>
          <w:trHeight w:val="261"/>
          <w:jc w:val="center"/>
        </w:trPr>
        <w:tc>
          <w:tcPr>
            <w:tcW w:w="1973" w:type="dxa"/>
            <w:vAlign w:val="center"/>
          </w:tcPr>
          <w:p w:rsidR="00C57768" w:rsidRPr="00BC683C" w:rsidRDefault="00C57768" w:rsidP="00943EC8">
            <w:pPr>
              <w:autoSpaceDE w:val="0"/>
              <w:autoSpaceDN w:val="0"/>
              <w:adjustRightInd w:val="0"/>
              <w:ind w:left="60" w:right="60"/>
              <w:rPr>
                <w:rFonts w:ascii="Times New Roman" w:hAnsi="Times New Roman"/>
                <w:color w:val="000000" w:themeColor="text1"/>
                <w:sz w:val="24"/>
                <w:szCs w:val="24"/>
                <w:lang w:eastAsia="pt-PT"/>
              </w:rPr>
            </w:pPr>
            <w:r w:rsidRPr="00BC683C">
              <w:rPr>
                <w:rFonts w:ascii="Times New Roman" w:hAnsi="Times New Roman"/>
                <w:color w:val="000000" w:themeColor="text1"/>
                <w:sz w:val="24"/>
                <w:szCs w:val="24"/>
                <w:lang w:eastAsia="pt-PT"/>
              </w:rPr>
              <w:t xml:space="preserve">SIZE </w:t>
            </w:r>
          </w:p>
        </w:tc>
        <w:tc>
          <w:tcPr>
            <w:tcW w:w="1293"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.299</w:t>
            </w:r>
          </w:p>
        </w:tc>
        <w:tc>
          <w:tcPr>
            <w:tcW w:w="1201"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3.343</w:t>
            </w:r>
          </w:p>
        </w:tc>
      </w:tr>
      <w:tr w:rsidR="00C57768" w:rsidRPr="00BC683C" w:rsidTr="00964031">
        <w:trPr>
          <w:trHeight w:val="261"/>
          <w:jc w:val="center"/>
        </w:trPr>
        <w:tc>
          <w:tcPr>
            <w:tcW w:w="1973" w:type="dxa"/>
            <w:vAlign w:val="center"/>
          </w:tcPr>
          <w:p w:rsidR="00C57768" w:rsidRPr="00BC683C" w:rsidRDefault="00C57768" w:rsidP="00943EC8">
            <w:pPr>
              <w:autoSpaceDE w:val="0"/>
              <w:autoSpaceDN w:val="0"/>
              <w:adjustRightInd w:val="0"/>
              <w:ind w:left="60" w:right="60"/>
              <w:rPr>
                <w:rFonts w:ascii="Times New Roman" w:hAnsi="Times New Roman"/>
                <w:color w:val="000000" w:themeColor="text1"/>
                <w:sz w:val="24"/>
                <w:szCs w:val="24"/>
                <w:lang w:eastAsia="pt-PT"/>
              </w:rPr>
            </w:pPr>
            <w:r w:rsidRPr="00BC683C">
              <w:rPr>
                <w:rFonts w:ascii="Times New Roman" w:hAnsi="Times New Roman"/>
                <w:color w:val="000000" w:themeColor="text1"/>
                <w:sz w:val="24"/>
                <w:szCs w:val="24"/>
                <w:lang w:eastAsia="pt-PT"/>
              </w:rPr>
              <w:t>INF</w:t>
            </w:r>
          </w:p>
        </w:tc>
        <w:tc>
          <w:tcPr>
            <w:tcW w:w="1293"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.741</w:t>
            </w:r>
          </w:p>
        </w:tc>
        <w:tc>
          <w:tcPr>
            <w:tcW w:w="1201"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1.350</w:t>
            </w:r>
          </w:p>
        </w:tc>
      </w:tr>
      <w:tr w:rsidR="00C57768" w:rsidRPr="00BC683C" w:rsidTr="00964031">
        <w:trPr>
          <w:trHeight w:val="261"/>
          <w:jc w:val="center"/>
        </w:trPr>
        <w:tc>
          <w:tcPr>
            <w:tcW w:w="1973" w:type="dxa"/>
            <w:vAlign w:val="center"/>
          </w:tcPr>
          <w:p w:rsidR="00C57768" w:rsidRPr="00BC683C" w:rsidRDefault="00C57768" w:rsidP="00943EC8">
            <w:pPr>
              <w:autoSpaceDE w:val="0"/>
              <w:autoSpaceDN w:val="0"/>
              <w:adjustRightInd w:val="0"/>
              <w:ind w:left="60" w:right="60"/>
              <w:rPr>
                <w:rFonts w:ascii="Times New Roman" w:hAnsi="Times New Roman"/>
                <w:color w:val="000000" w:themeColor="text1"/>
                <w:sz w:val="24"/>
                <w:szCs w:val="24"/>
                <w:lang w:eastAsia="pt-PT"/>
              </w:rPr>
            </w:pPr>
            <w:r w:rsidRPr="00BC683C">
              <w:rPr>
                <w:rFonts w:ascii="Times New Roman" w:hAnsi="Times New Roman"/>
                <w:color w:val="000000" w:themeColor="text1"/>
                <w:sz w:val="24"/>
                <w:szCs w:val="24"/>
                <w:lang w:eastAsia="pt-PT"/>
              </w:rPr>
              <w:t>LQRISK</w:t>
            </w:r>
          </w:p>
        </w:tc>
        <w:tc>
          <w:tcPr>
            <w:tcW w:w="1293"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.620</w:t>
            </w:r>
          </w:p>
        </w:tc>
        <w:tc>
          <w:tcPr>
            <w:tcW w:w="1201" w:type="dxa"/>
          </w:tcPr>
          <w:p w:rsidR="00C57768" w:rsidRPr="00BC683C" w:rsidRDefault="00C57768" w:rsidP="00943EC8">
            <w:pPr>
              <w:autoSpaceDE w:val="0"/>
              <w:autoSpaceDN w:val="0"/>
              <w:adjustRightInd w:val="0"/>
              <w:ind w:left="60" w:right="60"/>
              <w:rPr>
                <w:rFonts w:ascii="Times New Roman" w:hAnsi="Times New Roman"/>
                <w:color w:val="010205"/>
                <w:sz w:val="24"/>
                <w:szCs w:val="24"/>
              </w:rPr>
            </w:pPr>
            <w:r w:rsidRPr="00BC683C">
              <w:rPr>
                <w:rFonts w:ascii="Times New Roman" w:hAnsi="Times New Roman"/>
                <w:color w:val="010205"/>
                <w:sz w:val="24"/>
                <w:szCs w:val="24"/>
              </w:rPr>
              <w:t>1.613</w:t>
            </w:r>
          </w:p>
        </w:tc>
      </w:tr>
      <w:tr w:rsidR="00C57768" w:rsidRPr="00BC683C" w:rsidTr="00964031">
        <w:trPr>
          <w:trHeight w:val="261"/>
          <w:jc w:val="center"/>
        </w:trPr>
        <w:tc>
          <w:tcPr>
            <w:tcW w:w="4467" w:type="dxa"/>
            <w:gridSpan w:val="3"/>
          </w:tcPr>
          <w:p w:rsidR="00C57768" w:rsidRPr="00BC683C" w:rsidRDefault="00C57768" w:rsidP="00943EC8">
            <w:pPr>
              <w:rPr>
                <w:rFonts w:ascii="Times New Roman" w:hAnsi="Times New Roman"/>
                <w:sz w:val="24"/>
                <w:szCs w:val="24"/>
              </w:rPr>
            </w:pPr>
            <w:r w:rsidRPr="00BC683C">
              <w:rPr>
                <w:rFonts w:ascii="Times New Roman" w:hAnsi="Times New Roman"/>
                <w:sz w:val="24"/>
                <w:szCs w:val="24"/>
              </w:rPr>
              <w:t>a. Dependent Variable: ROE</w:t>
            </w:r>
          </w:p>
        </w:tc>
      </w:tr>
    </w:tbl>
    <w:p w:rsidR="00964031" w:rsidRPr="00115FCE" w:rsidRDefault="00943EC8" w:rsidP="00C5776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57768" w:rsidRPr="00BC683C" w:rsidRDefault="00C57768" w:rsidP="00C57768">
      <w:pPr>
        <w:rPr>
          <w:rFonts w:ascii="Times New Roman" w:hAnsi="Times New Roman"/>
          <w:sz w:val="24"/>
        </w:rPr>
      </w:pPr>
      <w:r w:rsidRPr="00BC683C">
        <w:rPr>
          <w:rFonts w:ascii="Times New Roman" w:hAnsi="Times New Roman"/>
          <w:sz w:val="24"/>
        </w:rPr>
        <w:t xml:space="preserve">Gambar </w:t>
      </w:r>
      <w:r w:rsidR="00115FCE">
        <w:rPr>
          <w:rFonts w:ascii="Times New Roman" w:hAnsi="Times New Roman"/>
          <w:sz w:val="24"/>
          <w:lang w:val="en-US"/>
        </w:rPr>
        <w:t>1</w:t>
      </w:r>
      <w:r w:rsidRPr="00BC683C">
        <w:rPr>
          <w:rFonts w:ascii="Times New Roman" w:hAnsi="Times New Roman"/>
          <w:sz w:val="24"/>
        </w:rPr>
        <w:t>. Normal P-P Plot</w:t>
      </w:r>
    </w:p>
    <w:p w:rsidR="00C57768" w:rsidRDefault="00C57768">
      <w:pPr>
        <w:rPr>
          <w:rFonts w:ascii="Times New Roman" w:eastAsia="Times New Roman" w:hAnsi="Times New Roman" w:cs="Times New Roman"/>
          <w:sz w:val="24"/>
          <w:szCs w:val="24"/>
          <w:highlight w:val="yellow"/>
        </w:rPr>
      </w:pPr>
    </w:p>
    <w:p w:rsidR="00964031" w:rsidRDefault="00BE311F" w:rsidP="00964031">
      <w:pPr>
        <w:spacing w:before="120" w:after="120"/>
        <w:jc w:val="both"/>
        <w:rPr>
          <w:rFonts w:ascii="Times New Roman" w:hAnsi="Times New Roman"/>
          <w:sz w:val="24"/>
        </w:rPr>
      </w:pPr>
      <w:r>
        <w:rPr>
          <w:rFonts w:ascii="Times New Roman" w:hAnsi="Times New Roman"/>
          <w:noProof/>
          <w:sz w:val="24"/>
          <w:lang w:val="en-US"/>
        </w:rPr>
        <w:drawing>
          <wp:anchor distT="0" distB="0" distL="114300" distR="114300" simplePos="0" relativeHeight="251665408" behindDoc="0" locked="0" layoutInCell="1" allowOverlap="1">
            <wp:simplePos x="0" y="0"/>
            <wp:positionH relativeFrom="column">
              <wp:posOffset>-15240</wp:posOffset>
            </wp:positionH>
            <wp:positionV relativeFrom="paragraph">
              <wp:posOffset>-230505</wp:posOffset>
            </wp:positionV>
            <wp:extent cx="2745105" cy="2360295"/>
            <wp:effectExtent l="19050" t="0" r="0"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l="11098" r="7832"/>
                    <a:stretch>
                      <a:fillRect/>
                    </a:stretch>
                  </pic:blipFill>
                  <pic:spPr bwMode="auto">
                    <a:xfrm>
                      <a:off x="0" y="0"/>
                      <a:ext cx="2745105" cy="2360295"/>
                    </a:xfrm>
                    <a:prstGeom prst="rect">
                      <a:avLst/>
                    </a:prstGeom>
                    <a:noFill/>
                    <a:ln>
                      <a:noFill/>
                    </a:ln>
                  </pic:spPr>
                </pic:pic>
              </a:graphicData>
            </a:graphic>
          </wp:anchor>
        </w:drawing>
      </w:r>
      <w:r w:rsidR="00964031">
        <w:rPr>
          <w:rFonts w:ascii="Times New Roman" w:hAnsi="Times New Roman"/>
          <w:sz w:val="24"/>
        </w:rPr>
        <w:t>Hasil statistik</w:t>
      </w:r>
      <w:r w:rsidR="00964031" w:rsidRPr="00B17223">
        <w:rPr>
          <w:rFonts w:ascii="Times New Roman" w:hAnsi="Times New Roman"/>
          <w:sz w:val="24"/>
        </w:rPr>
        <w:t xml:space="preserve"> descriptive menunjukan bahwa profitabilitas bank syariah di indonesia mempunyai nilai minimum 0.05 dan nilai maksimum 0.54, rata-rata profitabilitas bank syariah yaitu 0.196 atau 19.6%, menunjukan bahwa kinerja bank syariah di Indonesia hanya 19.6% belum menunjukan hasil yang maksimum, hal ini berpengaruh terhadap kinerja bank itu sendiri dan bagi stake holder. </w:t>
      </w:r>
      <w:r w:rsidR="00964031" w:rsidRPr="00B17223">
        <w:rPr>
          <w:rFonts w:ascii="Times New Roman" w:hAnsi="Times New Roman"/>
          <w:sz w:val="24"/>
        </w:rPr>
        <w:lastRenderedPageBreak/>
        <w:t>Nilai rata-rata liquidity risk yaitu 0.15 artinya bank syariah di Indonesia memiliki tingkat risiko liquid yang rendah, dengan demikian kinerja likuiditas bank syariah di Indonesia termasuk kategori sangat baik.</w:t>
      </w:r>
    </w:p>
    <w:p w:rsidR="00BE311F" w:rsidRDefault="00964031" w:rsidP="00964031">
      <w:pPr>
        <w:spacing w:before="120" w:after="120"/>
        <w:jc w:val="both"/>
        <w:rPr>
          <w:rFonts w:ascii="Times New Roman" w:hAnsi="Times New Roman"/>
          <w:sz w:val="24"/>
        </w:rPr>
        <w:sectPr w:rsidR="00BE311F" w:rsidSect="00FD44D7">
          <w:type w:val="continuous"/>
          <w:pgSz w:w="11906" w:h="16838"/>
          <w:pgMar w:top="1411" w:right="1282" w:bottom="1411" w:left="1282" w:header="706" w:footer="706" w:gutter="0"/>
          <w:cols w:num="2" w:space="720" w:equalWidth="0">
            <w:col w:w="4455" w:space="432"/>
            <w:col w:w="4455" w:space="0"/>
          </w:cols>
        </w:sectPr>
      </w:pPr>
      <w:r w:rsidRPr="00343F33">
        <w:rPr>
          <w:rFonts w:ascii="Times New Roman" w:hAnsi="Times New Roman"/>
          <w:sz w:val="24"/>
        </w:rPr>
        <w:t xml:space="preserve">Inflasi adalah indicator makro ekonomi yang sering mempengaruhi kinerja ekonomi suatu Negara. Hasil studi menunjukan nilai rata-rata inflasi di Indoensia selama masa penelitian adalah 0.59%. Kondisi perekonomian </w:t>
      </w:r>
      <w:r w:rsidRPr="00343F33">
        <w:rPr>
          <w:rFonts w:ascii="Times New Roman" w:hAnsi="Times New Roman"/>
          <w:sz w:val="24"/>
        </w:rPr>
        <w:t xml:space="preserve">Indonesia dengan tingkat inflasi pada periode studi ini tidak mempengaruhi kinerja bank syariah di Indonesia. Dalam penelitian ini Nilai rata-rata ukuran perusahaan sebesar 153.55, nilai minimun 117.000 dan nilai maksimum 169.000 artinya bank syariah di Indonesia mempunyai kualitas asset sangat baik sehingga mampu menjaga kinerja perusahaaan dengan baik. </w:t>
      </w:r>
    </w:p>
    <w:p w:rsidR="00AB7030" w:rsidRDefault="00AB7030" w:rsidP="00964031">
      <w:pPr>
        <w:spacing w:before="120" w:after="120"/>
        <w:jc w:val="both"/>
        <w:rPr>
          <w:rFonts w:ascii="Times New Roman" w:hAnsi="Times New Roman"/>
          <w:sz w:val="24"/>
        </w:rPr>
      </w:pPr>
    </w:p>
    <w:p w:rsidR="00AB7030" w:rsidRDefault="00AB7030" w:rsidP="00964031">
      <w:pPr>
        <w:spacing w:before="120" w:after="120"/>
        <w:jc w:val="both"/>
        <w:rPr>
          <w:rFonts w:ascii="Times New Roman" w:hAnsi="Times New Roman"/>
          <w:sz w:val="24"/>
        </w:rPr>
        <w:sectPr w:rsidR="00AB7030" w:rsidSect="00FD44D7">
          <w:type w:val="continuous"/>
          <w:pgSz w:w="11906" w:h="16838"/>
          <w:pgMar w:top="1411" w:right="1282" w:bottom="1411" w:left="1282" w:header="706" w:footer="706" w:gutter="0"/>
          <w:cols w:num="2" w:space="720" w:equalWidth="0">
            <w:col w:w="4455" w:space="432"/>
            <w:col w:w="4455" w:space="0"/>
          </w:cols>
        </w:sectPr>
      </w:pPr>
    </w:p>
    <w:tbl>
      <w:tblPr>
        <w:tblpPr w:leftFromText="180" w:rightFromText="180" w:vertAnchor="page" w:horzAnchor="margin" w:tblpY="51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2"/>
        <w:gridCol w:w="1598"/>
        <w:gridCol w:w="1598"/>
        <w:gridCol w:w="1592"/>
        <w:gridCol w:w="3060"/>
      </w:tblGrid>
      <w:tr w:rsidR="00115FCE" w:rsidRPr="0042642B" w:rsidTr="00115FCE">
        <w:trPr>
          <w:cantSplit/>
          <w:trHeight w:val="222"/>
        </w:trPr>
        <w:tc>
          <w:tcPr>
            <w:tcW w:w="1512" w:type="dxa"/>
            <w:tcBorders>
              <w:top w:val="single" w:sz="4" w:space="0" w:color="auto"/>
              <w:left w:val="nil"/>
              <w:bottom w:val="single" w:sz="4" w:space="0" w:color="auto"/>
              <w:right w:val="nil"/>
            </w:tcBorders>
            <w:shd w:val="clear" w:color="auto" w:fill="FFFFFF"/>
            <w:vAlign w:val="center"/>
          </w:tcPr>
          <w:p w:rsidR="00115FCE" w:rsidRPr="00B17223" w:rsidRDefault="00115FCE" w:rsidP="00115FCE">
            <w:pPr>
              <w:autoSpaceDE w:val="0"/>
              <w:autoSpaceDN w:val="0"/>
              <w:adjustRightInd w:val="0"/>
              <w:rPr>
                <w:rFonts w:ascii="Times New Roman" w:hAnsi="Times New Roman"/>
                <w:b/>
                <w:color w:val="000000" w:themeColor="text1"/>
                <w:sz w:val="24"/>
                <w:szCs w:val="16"/>
                <w:lang w:eastAsia="pt-PT"/>
              </w:rPr>
            </w:pPr>
          </w:p>
        </w:tc>
        <w:tc>
          <w:tcPr>
            <w:tcW w:w="1598" w:type="dxa"/>
            <w:tcBorders>
              <w:top w:val="single" w:sz="4" w:space="0" w:color="auto"/>
              <w:left w:val="nil"/>
              <w:bottom w:val="single" w:sz="4" w:space="0" w:color="auto"/>
              <w:right w:val="nil"/>
            </w:tcBorders>
            <w:shd w:val="clear" w:color="auto" w:fill="FFFFFF"/>
            <w:vAlign w:val="center"/>
          </w:tcPr>
          <w:p w:rsidR="00115FCE" w:rsidRPr="00B17223" w:rsidRDefault="00115FCE" w:rsidP="00115FCE">
            <w:pPr>
              <w:autoSpaceDE w:val="0"/>
              <w:autoSpaceDN w:val="0"/>
              <w:adjustRightInd w:val="0"/>
              <w:ind w:left="60" w:right="60"/>
              <w:jc w:val="right"/>
              <w:rPr>
                <w:rFonts w:ascii="Times New Roman" w:hAnsi="Times New Roman"/>
                <w:b/>
                <w:color w:val="000000" w:themeColor="text1"/>
                <w:sz w:val="24"/>
                <w:szCs w:val="16"/>
                <w:lang w:eastAsia="pt-PT"/>
              </w:rPr>
            </w:pPr>
            <w:r w:rsidRPr="00B17223">
              <w:rPr>
                <w:rFonts w:ascii="Times New Roman" w:hAnsi="Times New Roman"/>
                <w:b/>
                <w:color w:val="000000" w:themeColor="text1"/>
                <w:sz w:val="24"/>
                <w:szCs w:val="16"/>
                <w:lang w:eastAsia="pt-PT"/>
              </w:rPr>
              <w:t>Minimum</w:t>
            </w:r>
          </w:p>
        </w:tc>
        <w:tc>
          <w:tcPr>
            <w:tcW w:w="1598" w:type="dxa"/>
            <w:tcBorders>
              <w:top w:val="single" w:sz="4" w:space="0" w:color="auto"/>
              <w:left w:val="nil"/>
              <w:bottom w:val="single" w:sz="4" w:space="0" w:color="auto"/>
              <w:right w:val="nil"/>
            </w:tcBorders>
            <w:shd w:val="clear" w:color="auto" w:fill="FFFFFF"/>
            <w:vAlign w:val="center"/>
          </w:tcPr>
          <w:p w:rsidR="00115FCE" w:rsidRPr="00B17223" w:rsidRDefault="00115FCE" w:rsidP="00115FCE">
            <w:pPr>
              <w:autoSpaceDE w:val="0"/>
              <w:autoSpaceDN w:val="0"/>
              <w:adjustRightInd w:val="0"/>
              <w:ind w:left="60" w:right="60"/>
              <w:jc w:val="right"/>
              <w:rPr>
                <w:rFonts w:ascii="Times New Roman" w:hAnsi="Times New Roman"/>
                <w:b/>
                <w:color w:val="000000" w:themeColor="text1"/>
                <w:sz w:val="24"/>
                <w:szCs w:val="16"/>
                <w:lang w:eastAsia="pt-PT"/>
              </w:rPr>
            </w:pPr>
            <w:r w:rsidRPr="00B17223">
              <w:rPr>
                <w:rFonts w:ascii="Times New Roman" w:hAnsi="Times New Roman"/>
                <w:b/>
                <w:color w:val="000000" w:themeColor="text1"/>
                <w:sz w:val="24"/>
                <w:szCs w:val="16"/>
                <w:lang w:eastAsia="pt-PT"/>
              </w:rPr>
              <w:t>Maximum</w:t>
            </w:r>
          </w:p>
        </w:tc>
        <w:tc>
          <w:tcPr>
            <w:tcW w:w="1592" w:type="dxa"/>
            <w:tcBorders>
              <w:top w:val="single" w:sz="4" w:space="0" w:color="auto"/>
              <w:left w:val="nil"/>
              <w:bottom w:val="single" w:sz="4" w:space="0" w:color="auto"/>
              <w:right w:val="nil"/>
            </w:tcBorders>
            <w:shd w:val="clear" w:color="auto" w:fill="FFFFFF"/>
            <w:vAlign w:val="center"/>
          </w:tcPr>
          <w:p w:rsidR="00115FCE" w:rsidRPr="00B17223" w:rsidRDefault="00115FCE" w:rsidP="00115FCE">
            <w:pPr>
              <w:autoSpaceDE w:val="0"/>
              <w:autoSpaceDN w:val="0"/>
              <w:adjustRightInd w:val="0"/>
              <w:ind w:left="60" w:right="60"/>
              <w:jc w:val="right"/>
              <w:rPr>
                <w:rFonts w:ascii="Times New Roman" w:hAnsi="Times New Roman"/>
                <w:b/>
                <w:color w:val="000000" w:themeColor="text1"/>
                <w:sz w:val="24"/>
                <w:szCs w:val="16"/>
                <w:lang w:eastAsia="pt-PT"/>
              </w:rPr>
            </w:pPr>
            <w:r w:rsidRPr="00B17223">
              <w:rPr>
                <w:rFonts w:ascii="Times New Roman" w:hAnsi="Times New Roman"/>
                <w:b/>
                <w:color w:val="000000" w:themeColor="text1"/>
                <w:sz w:val="24"/>
                <w:szCs w:val="16"/>
                <w:lang w:eastAsia="pt-PT"/>
              </w:rPr>
              <w:t>Mean</w:t>
            </w:r>
          </w:p>
        </w:tc>
        <w:tc>
          <w:tcPr>
            <w:tcW w:w="3060" w:type="dxa"/>
            <w:tcBorders>
              <w:top w:val="single" w:sz="4" w:space="0" w:color="auto"/>
              <w:left w:val="nil"/>
              <w:bottom w:val="single" w:sz="4" w:space="0" w:color="auto"/>
              <w:right w:val="nil"/>
            </w:tcBorders>
            <w:shd w:val="clear" w:color="auto" w:fill="FFFFFF"/>
            <w:vAlign w:val="center"/>
          </w:tcPr>
          <w:p w:rsidR="00115FCE" w:rsidRPr="00B17223" w:rsidRDefault="00115FCE" w:rsidP="00115FCE">
            <w:pPr>
              <w:autoSpaceDE w:val="0"/>
              <w:autoSpaceDN w:val="0"/>
              <w:adjustRightInd w:val="0"/>
              <w:ind w:left="60" w:right="60"/>
              <w:jc w:val="right"/>
              <w:rPr>
                <w:rFonts w:ascii="Times New Roman" w:hAnsi="Times New Roman"/>
                <w:b/>
                <w:color w:val="000000" w:themeColor="text1"/>
                <w:sz w:val="24"/>
                <w:szCs w:val="16"/>
                <w:lang w:eastAsia="pt-PT"/>
              </w:rPr>
            </w:pPr>
            <w:r w:rsidRPr="00B17223">
              <w:rPr>
                <w:rFonts w:ascii="Times New Roman" w:hAnsi="Times New Roman"/>
                <w:b/>
                <w:color w:val="000000" w:themeColor="text1"/>
                <w:sz w:val="24"/>
                <w:szCs w:val="16"/>
                <w:lang w:eastAsia="pt-PT"/>
              </w:rPr>
              <w:t>Std. Deviation</w:t>
            </w:r>
          </w:p>
        </w:tc>
      </w:tr>
      <w:tr w:rsidR="00115FCE" w:rsidRPr="0042642B" w:rsidTr="00115FCE">
        <w:trPr>
          <w:cantSplit/>
          <w:trHeight w:val="273"/>
        </w:trPr>
        <w:tc>
          <w:tcPr>
            <w:tcW w:w="1512" w:type="dxa"/>
            <w:tcBorders>
              <w:top w:val="single" w:sz="4" w:space="0" w:color="auto"/>
              <w:left w:val="nil"/>
              <w:bottom w:val="nil"/>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CRISK</w:t>
            </w:r>
          </w:p>
        </w:tc>
        <w:tc>
          <w:tcPr>
            <w:tcW w:w="1598" w:type="dxa"/>
            <w:tcBorders>
              <w:top w:val="single" w:sz="4" w:space="0" w:color="auto"/>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4.230</w:t>
            </w:r>
          </w:p>
        </w:tc>
        <w:tc>
          <w:tcPr>
            <w:tcW w:w="1598" w:type="dxa"/>
            <w:tcBorders>
              <w:top w:val="single" w:sz="4" w:space="0" w:color="auto"/>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439.060</w:t>
            </w:r>
          </w:p>
        </w:tc>
        <w:tc>
          <w:tcPr>
            <w:tcW w:w="1592" w:type="dxa"/>
            <w:tcBorders>
              <w:top w:val="single" w:sz="4" w:space="0" w:color="auto"/>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48.248</w:t>
            </w:r>
          </w:p>
        </w:tc>
        <w:tc>
          <w:tcPr>
            <w:tcW w:w="3060" w:type="dxa"/>
            <w:tcBorders>
              <w:top w:val="single" w:sz="4" w:space="0" w:color="auto"/>
              <w:left w:val="nil"/>
              <w:bottom w:val="nil"/>
              <w:right w:val="nil"/>
            </w:tcBorders>
            <w:shd w:val="clear" w:color="auto" w:fill="FFFFFF"/>
          </w:tcPr>
          <w:p w:rsidR="00115FCE" w:rsidRPr="00B17223" w:rsidRDefault="00115FCE" w:rsidP="00115FCE">
            <w:pPr>
              <w:autoSpaceDE w:val="0"/>
              <w:autoSpaceDN w:val="0"/>
              <w:adjustRightInd w:val="0"/>
              <w:ind w:left="60" w:right="900" w:firstLine="30"/>
              <w:jc w:val="right"/>
              <w:rPr>
                <w:rFonts w:ascii="Times New Roman" w:hAnsi="Times New Roman"/>
                <w:color w:val="010205"/>
                <w:sz w:val="24"/>
                <w:szCs w:val="18"/>
              </w:rPr>
            </w:pPr>
            <w:r w:rsidRPr="00B17223">
              <w:rPr>
                <w:rFonts w:ascii="Times New Roman" w:hAnsi="Times New Roman"/>
                <w:color w:val="010205"/>
                <w:sz w:val="24"/>
                <w:szCs w:val="18"/>
              </w:rPr>
              <w:t>103.909</w:t>
            </w:r>
          </w:p>
        </w:tc>
      </w:tr>
      <w:tr w:rsidR="00115FCE" w:rsidRPr="0042642B" w:rsidTr="00115FCE">
        <w:trPr>
          <w:cantSplit/>
          <w:trHeight w:val="222"/>
        </w:trPr>
        <w:tc>
          <w:tcPr>
            <w:tcW w:w="1512" w:type="dxa"/>
            <w:tcBorders>
              <w:top w:val="nil"/>
              <w:left w:val="nil"/>
              <w:bottom w:val="nil"/>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CAR</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.110</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.170</w:t>
            </w:r>
          </w:p>
        </w:tc>
        <w:tc>
          <w:tcPr>
            <w:tcW w:w="1592"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.144</w:t>
            </w:r>
          </w:p>
        </w:tc>
        <w:tc>
          <w:tcPr>
            <w:tcW w:w="3060"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900"/>
              <w:jc w:val="right"/>
              <w:rPr>
                <w:rFonts w:ascii="Times New Roman" w:hAnsi="Times New Roman"/>
                <w:color w:val="010205"/>
                <w:sz w:val="24"/>
                <w:szCs w:val="18"/>
              </w:rPr>
            </w:pPr>
            <w:r w:rsidRPr="00B17223">
              <w:rPr>
                <w:rFonts w:ascii="Times New Roman" w:hAnsi="Times New Roman"/>
                <w:color w:val="010205"/>
                <w:sz w:val="24"/>
                <w:szCs w:val="18"/>
              </w:rPr>
              <w:t>.017</w:t>
            </w:r>
          </w:p>
        </w:tc>
      </w:tr>
      <w:tr w:rsidR="00115FCE" w:rsidRPr="0042642B" w:rsidTr="00115FCE">
        <w:trPr>
          <w:cantSplit/>
          <w:trHeight w:val="222"/>
        </w:trPr>
        <w:tc>
          <w:tcPr>
            <w:tcW w:w="1512" w:type="dxa"/>
            <w:tcBorders>
              <w:top w:val="nil"/>
              <w:left w:val="nil"/>
              <w:bottom w:val="nil"/>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 xml:space="preserve">SIZE </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117.000</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169.000</w:t>
            </w:r>
          </w:p>
        </w:tc>
        <w:tc>
          <w:tcPr>
            <w:tcW w:w="1592"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firstLine="30"/>
              <w:jc w:val="right"/>
              <w:rPr>
                <w:rFonts w:ascii="Times New Roman" w:hAnsi="Times New Roman"/>
                <w:color w:val="010205"/>
                <w:sz w:val="24"/>
                <w:szCs w:val="18"/>
              </w:rPr>
            </w:pPr>
            <w:r w:rsidRPr="00B17223">
              <w:rPr>
                <w:rFonts w:ascii="Times New Roman" w:hAnsi="Times New Roman"/>
                <w:color w:val="010205"/>
                <w:sz w:val="24"/>
                <w:szCs w:val="18"/>
              </w:rPr>
              <w:t>153.550</w:t>
            </w:r>
          </w:p>
        </w:tc>
        <w:tc>
          <w:tcPr>
            <w:tcW w:w="3060"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900" w:firstLine="30"/>
              <w:jc w:val="right"/>
              <w:rPr>
                <w:rFonts w:ascii="Times New Roman" w:hAnsi="Times New Roman"/>
                <w:color w:val="010205"/>
                <w:sz w:val="24"/>
                <w:szCs w:val="18"/>
              </w:rPr>
            </w:pPr>
            <w:r w:rsidRPr="00B17223">
              <w:rPr>
                <w:rFonts w:ascii="Times New Roman" w:hAnsi="Times New Roman"/>
                <w:color w:val="010205"/>
                <w:sz w:val="24"/>
                <w:szCs w:val="18"/>
              </w:rPr>
              <w:t>13.739</w:t>
            </w:r>
          </w:p>
        </w:tc>
      </w:tr>
      <w:tr w:rsidR="00115FCE" w:rsidRPr="0042642B" w:rsidTr="00115FCE">
        <w:trPr>
          <w:cantSplit/>
          <w:trHeight w:val="222"/>
        </w:trPr>
        <w:tc>
          <w:tcPr>
            <w:tcW w:w="1512" w:type="dxa"/>
            <w:tcBorders>
              <w:top w:val="nil"/>
              <w:left w:val="nil"/>
              <w:bottom w:val="nil"/>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INF</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.03</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.12</w:t>
            </w:r>
          </w:p>
        </w:tc>
        <w:tc>
          <w:tcPr>
            <w:tcW w:w="1592"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.059</w:t>
            </w:r>
          </w:p>
        </w:tc>
        <w:tc>
          <w:tcPr>
            <w:tcW w:w="3060"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900"/>
              <w:jc w:val="right"/>
              <w:rPr>
                <w:rFonts w:ascii="Times New Roman" w:hAnsi="Times New Roman"/>
                <w:color w:val="010205"/>
                <w:sz w:val="24"/>
                <w:szCs w:val="18"/>
              </w:rPr>
            </w:pPr>
            <w:r w:rsidRPr="00B17223">
              <w:rPr>
                <w:rFonts w:ascii="Times New Roman" w:hAnsi="Times New Roman"/>
                <w:color w:val="010205"/>
                <w:sz w:val="24"/>
                <w:szCs w:val="18"/>
              </w:rPr>
              <w:t>.023</w:t>
            </w:r>
          </w:p>
        </w:tc>
      </w:tr>
      <w:tr w:rsidR="00115FCE" w:rsidRPr="0042642B" w:rsidTr="00115FCE">
        <w:trPr>
          <w:cantSplit/>
          <w:trHeight w:val="222"/>
        </w:trPr>
        <w:tc>
          <w:tcPr>
            <w:tcW w:w="1512" w:type="dxa"/>
            <w:tcBorders>
              <w:top w:val="nil"/>
              <w:left w:val="nil"/>
              <w:bottom w:val="nil"/>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LQRISK</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.000</w:t>
            </w:r>
          </w:p>
        </w:tc>
        <w:tc>
          <w:tcPr>
            <w:tcW w:w="1598"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.030</w:t>
            </w:r>
          </w:p>
        </w:tc>
        <w:tc>
          <w:tcPr>
            <w:tcW w:w="1592"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.015</w:t>
            </w:r>
          </w:p>
        </w:tc>
        <w:tc>
          <w:tcPr>
            <w:tcW w:w="3060" w:type="dxa"/>
            <w:tcBorders>
              <w:top w:val="nil"/>
              <w:left w:val="nil"/>
              <w:bottom w:val="nil"/>
              <w:right w:val="nil"/>
            </w:tcBorders>
            <w:shd w:val="clear" w:color="auto" w:fill="FFFFFF"/>
          </w:tcPr>
          <w:p w:rsidR="00115FCE" w:rsidRPr="00B17223" w:rsidRDefault="00115FCE" w:rsidP="00115FCE">
            <w:pPr>
              <w:autoSpaceDE w:val="0"/>
              <w:autoSpaceDN w:val="0"/>
              <w:adjustRightInd w:val="0"/>
              <w:ind w:left="60" w:right="900"/>
              <w:jc w:val="right"/>
              <w:rPr>
                <w:rFonts w:ascii="Times New Roman" w:hAnsi="Times New Roman"/>
                <w:color w:val="010205"/>
                <w:sz w:val="24"/>
                <w:szCs w:val="18"/>
              </w:rPr>
            </w:pPr>
            <w:r w:rsidRPr="00B17223">
              <w:rPr>
                <w:rFonts w:ascii="Times New Roman" w:hAnsi="Times New Roman"/>
                <w:color w:val="010205"/>
                <w:sz w:val="24"/>
                <w:szCs w:val="18"/>
              </w:rPr>
              <w:t>.008</w:t>
            </w:r>
          </w:p>
        </w:tc>
      </w:tr>
      <w:tr w:rsidR="00115FCE" w:rsidRPr="0042642B" w:rsidTr="00115FCE">
        <w:trPr>
          <w:cantSplit/>
          <w:trHeight w:val="222"/>
        </w:trPr>
        <w:tc>
          <w:tcPr>
            <w:tcW w:w="1512" w:type="dxa"/>
            <w:tcBorders>
              <w:top w:val="nil"/>
              <w:left w:val="nil"/>
              <w:bottom w:val="single" w:sz="4" w:space="0" w:color="auto"/>
              <w:right w:val="nil"/>
            </w:tcBorders>
            <w:shd w:val="clear" w:color="auto" w:fill="auto"/>
            <w:vAlign w:val="center"/>
          </w:tcPr>
          <w:p w:rsidR="00115FCE" w:rsidRPr="00B17223" w:rsidRDefault="00115FCE" w:rsidP="00115FCE">
            <w:pPr>
              <w:autoSpaceDE w:val="0"/>
              <w:autoSpaceDN w:val="0"/>
              <w:adjustRightInd w:val="0"/>
              <w:ind w:left="60" w:right="60"/>
              <w:rPr>
                <w:rFonts w:ascii="Times New Roman" w:hAnsi="Times New Roman"/>
                <w:color w:val="000000" w:themeColor="text1"/>
                <w:sz w:val="24"/>
                <w:szCs w:val="16"/>
                <w:lang w:eastAsia="pt-PT"/>
              </w:rPr>
            </w:pPr>
            <w:r w:rsidRPr="00B17223">
              <w:rPr>
                <w:rFonts w:ascii="Times New Roman" w:hAnsi="Times New Roman"/>
                <w:color w:val="000000" w:themeColor="text1"/>
                <w:sz w:val="24"/>
                <w:szCs w:val="16"/>
                <w:lang w:eastAsia="pt-PT"/>
              </w:rPr>
              <w:t>ROE</w:t>
            </w:r>
          </w:p>
        </w:tc>
        <w:tc>
          <w:tcPr>
            <w:tcW w:w="1598" w:type="dxa"/>
            <w:tcBorders>
              <w:top w:val="nil"/>
              <w:left w:val="nil"/>
              <w:bottom w:val="single" w:sz="4" w:space="0" w:color="auto"/>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.050</w:t>
            </w:r>
          </w:p>
        </w:tc>
        <w:tc>
          <w:tcPr>
            <w:tcW w:w="1598" w:type="dxa"/>
            <w:tcBorders>
              <w:top w:val="nil"/>
              <w:left w:val="nil"/>
              <w:bottom w:val="single" w:sz="4" w:space="0" w:color="auto"/>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.540</w:t>
            </w:r>
          </w:p>
        </w:tc>
        <w:tc>
          <w:tcPr>
            <w:tcW w:w="1592" w:type="dxa"/>
            <w:tcBorders>
              <w:top w:val="nil"/>
              <w:left w:val="nil"/>
              <w:bottom w:val="single" w:sz="4" w:space="0" w:color="auto"/>
              <w:right w:val="nil"/>
            </w:tcBorders>
            <w:shd w:val="clear" w:color="auto" w:fill="FFFFFF"/>
          </w:tcPr>
          <w:p w:rsidR="00115FCE" w:rsidRPr="00B17223" w:rsidRDefault="00115FCE" w:rsidP="00115FCE">
            <w:pPr>
              <w:autoSpaceDE w:val="0"/>
              <w:autoSpaceDN w:val="0"/>
              <w:adjustRightInd w:val="0"/>
              <w:ind w:left="60" w:right="60"/>
              <w:jc w:val="right"/>
              <w:rPr>
                <w:rFonts w:ascii="Times New Roman" w:hAnsi="Times New Roman"/>
                <w:color w:val="010205"/>
                <w:sz w:val="24"/>
                <w:szCs w:val="18"/>
              </w:rPr>
            </w:pPr>
            <w:r w:rsidRPr="00B17223">
              <w:rPr>
                <w:rFonts w:ascii="Times New Roman" w:hAnsi="Times New Roman"/>
                <w:color w:val="010205"/>
                <w:sz w:val="24"/>
                <w:szCs w:val="18"/>
              </w:rPr>
              <w:t>.196</w:t>
            </w:r>
          </w:p>
        </w:tc>
        <w:tc>
          <w:tcPr>
            <w:tcW w:w="3060" w:type="dxa"/>
            <w:tcBorders>
              <w:top w:val="nil"/>
              <w:left w:val="nil"/>
              <w:bottom w:val="single" w:sz="4" w:space="0" w:color="auto"/>
              <w:right w:val="nil"/>
            </w:tcBorders>
            <w:shd w:val="clear" w:color="auto" w:fill="FFFFFF"/>
          </w:tcPr>
          <w:p w:rsidR="00115FCE" w:rsidRPr="00B17223" w:rsidRDefault="00115FCE" w:rsidP="00115FCE">
            <w:pPr>
              <w:autoSpaceDE w:val="0"/>
              <w:autoSpaceDN w:val="0"/>
              <w:adjustRightInd w:val="0"/>
              <w:ind w:left="60" w:right="900"/>
              <w:jc w:val="right"/>
              <w:rPr>
                <w:rFonts w:ascii="Times New Roman" w:hAnsi="Times New Roman"/>
                <w:color w:val="010205"/>
                <w:sz w:val="24"/>
                <w:szCs w:val="18"/>
              </w:rPr>
            </w:pPr>
            <w:r w:rsidRPr="00B17223">
              <w:rPr>
                <w:rFonts w:ascii="Times New Roman" w:hAnsi="Times New Roman"/>
                <w:color w:val="010205"/>
                <w:sz w:val="24"/>
                <w:szCs w:val="18"/>
              </w:rPr>
              <w:t>.123</w:t>
            </w:r>
          </w:p>
        </w:tc>
      </w:tr>
    </w:tbl>
    <w:p w:rsidR="00AB7030" w:rsidRDefault="00AB7030" w:rsidP="00BE311F">
      <w:pPr>
        <w:spacing w:after="120"/>
        <w:jc w:val="center"/>
        <w:rPr>
          <w:rFonts w:ascii="Times New Roman" w:hAnsi="Times New Roman"/>
          <w:sz w:val="24"/>
          <w:szCs w:val="24"/>
        </w:rPr>
      </w:pPr>
      <w:r w:rsidRPr="00D97E56">
        <w:rPr>
          <w:rFonts w:ascii="Times New Roman" w:hAnsi="Times New Roman"/>
          <w:sz w:val="24"/>
          <w:szCs w:val="24"/>
        </w:rPr>
        <w:t>Tabel 2. Statistik Deskriptive</w:t>
      </w:r>
    </w:p>
    <w:p w:rsidR="00BE311F" w:rsidRDefault="00BE311F" w:rsidP="00964031">
      <w:pPr>
        <w:spacing w:before="120" w:after="120"/>
        <w:jc w:val="both"/>
        <w:rPr>
          <w:rFonts w:ascii="Times New Roman" w:hAnsi="Times New Roman"/>
          <w:sz w:val="24"/>
        </w:rPr>
        <w:sectPr w:rsidR="00BE311F" w:rsidSect="00FD44D7">
          <w:type w:val="continuous"/>
          <w:pgSz w:w="11906" w:h="16838"/>
          <w:pgMar w:top="1411" w:right="1282" w:bottom="1411" w:left="1282" w:header="706" w:footer="706" w:gutter="0"/>
          <w:cols w:space="720"/>
        </w:sectPr>
      </w:pPr>
    </w:p>
    <w:p w:rsidR="00AB7030" w:rsidRDefault="00AB7030" w:rsidP="00964031">
      <w:pPr>
        <w:spacing w:before="120" w:after="120"/>
        <w:jc w:val="both"/>
        <w:rPr>
          <w:rFonts w:ascii="Times New Roman" w:hAnsi="Times New Roman"/>
          <w:sz w:val="24"/>
        </w:rPr>
      </w:pPr>
    </w:p>
    <w:p w:rsidR="00BE311F" w:rsidRDefault="00BE311F" w:rsidP="00BE311F">
      <w:pPr>
        <w:spacing w:before="120" w:after="120"/>
        <w:jc w:val="both"/>
        <w:rPr>
          <w:rFonts w:ascii="Times New Roman" w:hAnsi="Times New Roman"/>
          <w:sz w:val="24"/>
        </w:rPr>
      </w:pPr>
      <w:r w:rsidRPr="00343F33">
        <w:rPr>
          <w:rFonts w:ascii="Times New Roman" w:hAnsi="Times New Roman"/>
          <w:sz w:val="24"/>
        </w:rPr>
        <w:t xml:space="preserve">Nilai rata-rata CAR adalah 0.14% dengan standar deviasi (std deviation) sebesar 0.017% yang artinya variabel CAR mempunyai sebaran kecil karena standar deviasi lebih kecil daripada nilai rata-rata (mean), sehingga simpangan data pada variabel CAR ini dapat dikatakan baik. Nilai rata-rata CAR 0,144% menunjukkan bahwa bank syariah di Indonesia belum memenuhi ketentuan penyediaan modal minimum sesuai dengan ketentuan Peraturan Bank Indonesia Nomor 15/ 12 /PBI/2013 yaitu 8% dari ATMR, dengan rata-rata CAR 0.144% Bank syariah di Indonesia memiliki kemampuan minim dalam menanggung resiko kredit yang disalurkan, oleh karena </w:t>
      </w:r>
      <w:r w:rsidR="00115FCE">
        <w:rPr>
          <w:rFonts w:ascii="Times New Roman" w:hAnsi="Times New Roman"/>
          <w:sz w:val="24"/>
          <w:lang w:val="en-US"/>
        </w:rPr>
        <w:t xml:space="preserve"> </w:t>
      </w:r>
      <w:r w:rsidRPr="00343F33">
        <w:rPr>
          <w:rFonts w:ascii="Times New Roman" w:hAnsi="Times New Roman"/>
          <w:sz w:val="24"/>
        </w:rPr>
        <w:t xml:space="preserve">itu Bank Syariah perlu meningkatkan CAR minimum sesuai dengan PBI yaitu 8%, agar mampu mencover resiko kredit yang disalurkan kepada nasabah.Rata-rata nilai resiko kredit yang ditampilkan pada hasil analisis statistisk deskriptif yaitu 48.248%, artinya bank syariah di Indonesia memiliki resiko tinggi, akan tetapi dengan resiko tinggi berbanding lurus dengan tingkat kinerja perbankan, </w:t>
      </w:r>
      <w:r w:rsidRPr="00343F33">
        <w:rPr>
          <w:rFonts w:ascii="Times New Roman" w:hAnsi="Times New Roman"/>
          <w:i/>
          <w:sz w:val="24"/>
        </w:rPr>
        <w:t>hight risk-hight profitability</w:t>
      </w:r>
      <w:r w:rsidRPr="00343F33">
        <w:rPr>
          <w:rFonts w:ascii="Times New Roman" w:hAnsi="Times New Roman"/>
          <w:sz w:val="24"/>
        </w:rPr>
        <w:t>.</w:t>
      </w:r>
    </w:p>
    <w:p w:rsidR="00BE311F" w:rsidRDefault="00BE311F" w:rsidP="00BE311F">
      <w:pPr>
        <w:spacing w:before="120"/>
        <w:jc w:val="both"/>
        <w:rPr>
          <w:rFonts w:ascii="Times New Roman" w:hAnsi="Times New Roman"/>
          <w:sz w:val="24"/>
          <w:szCs w:val="24"/>
        </w:rPr>
      </w:pPr>
      <w:r w:rsidRPr="0045555A">
        <w:rPr>
          <w:rFonts w:ascii="Times New Roman" w:hAnsi="Times New Roman"/>
          <w:sz w:val="24"/>
          <w:szCs w:val="24"/>
        </w:rPr>
        <w:t xml:space="preserve">Table 3 menampilkan hasil analisis korelasi antara variable penelitian, dari hasil analisis hanya 2 variabel menunjukan hubungan positive signifikan yaitu Credit Risk dan Liquidity, artinya setiap 1% kenaikan resiko kredit dan resiko liquiditas akan meningkatkan Return on Equity sebesar 0.093 (0.1 %) dan 0.608 (6.1%), dengan demikian semakin tinggi tingkas resiko yaitu credit risk dan liquidity risk akan meningkatkan profitabilitas bank syariah di Indonesia. </w:t>
      </w:r>
    </w:p>
    <w:p w:rsidR="00BE311F" w:rsidRPr="0045555A" w:rsidRDefault="00BE311F" w:rsidP="00115FCE">
      <w:pPr>
        <w:spacing w:before="120" w:after="120"/>
        <w:jc w:val="both"/>
        <w:rPr>
          <w:rFonts w:ascii="Times New Roman" w:hAnsi="Times New Roman"/>
          <w:sz w:val="24"/>
        </w:rPr>
      </w:pPr>
      <w:r w:rsidRPr="0045555A">
        <w:rPr>
          <w:rFonts w:ascii="Times New Roman" w:hAnsi="Times New Roman"/>
          <w:sz w:val="24"/>
        </w:rPr>
        <w:t xml:space="preserve">Variable-variabel Capital Adequacy, Ukuran Perusahaan dan Inflasi menunjukan hubungan signifikan negative, hasil penelitian menunjukan bahwa dengan meningkatnya 1% kenaikan Capital akan mengungari profitabilitas sebesar 6.9%, demikian juga dengan Ukuran perusahaan setiap kali perusahaan melakukan ekpansi akan mengurangi tingkat profitabilitas karena dengan ekpansi,perusahaan memerlukan biaya yang besar, untuk variable iflasi sebagai varibel macro ekonomi juga menunjukan hubungan negative sehingga setiap kenaikan inflasi 1% mengurangi tingkat profitabilitas bank syariah sebesar 4.2%, kenaikan harga barang pokok secara umum mengurangi daya beli masyarakat yang secara langsung mengurangi profitabilitas Bank Syariah karena masyrakat lebih selective dalam </w:t>
      </w:r>
      <w:r w:rsidRPr="0045555A">
        <w:rPr>
          <w:rFonts w:ascii="Times New Roman" w:hAnsi="Times New Roman"/>
          <w:sz w:val="24"/>
        </w:rPr>
        <w:lastRenderedPageBreak/>
        <w:t>memenuhi kebutuhannya hanya untuk kebutuhan yang paling penting.</w:t>
      </w:r>
    </w:p>
    <w:p w:rsidR="00FD44D7" w:rsidRDefault="00BE311F" w:rsidP="00FD44D7">
      <w:pPr>
        <w:spacing w:before="120" w:after="120"/>
        <w:jc w:val="both"/>
        <w:rPr>
          <w:rFonts w:ascii="Times New Roman" w:hAnsi="Times New Roman"/>
          <w:sz w:val="24"/>
          <w:szCs w:val="24"/>
        </w:rPr>
        <w:sectPr w:rsidR="00FD44D7" w:rsidSect="00FD44D7">
          <w:type w:val="continuous"/>
          <w:pgSz w:w="11906" w:h="16838"/>
          <w:pgMar w:top="1411" w:right="1282" w:bottom="1411" w:left="1282" w:header="706" w:footer="706" w:gutter="0"/>
          <w:cols w:num="2" w:space="386"/>
        </w:sectPr>
      </w:pPr>
      <w:r w:rsidRPr="0045555A">
        <w:rPr>
          <w:rFonts w:ascii="Times New Roman" w:hAnsi="Times New Roman"/>
          <w:sz w:val="24"/>
          <w:szCs w:val="24"/>
        </w:rPr>
        <w:t xml:space="preserve">Hasil studi pada 12 bank syariah di Indonesia dalam rentang waktu penelitian dari tahun 2007 sampai 2016 menemukan bahwa resiko kredit sangat signifikan berpengaruh positif terhadap profitabilitas, hasil studi ini mendukung studi sebelumnya oleh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"Credit risk management in banks has become more important not only because of the financial crisis that the industry is experiencing currently, but also a crucial concept which determine banks\u2019 survival, growth and profitability. The aim of this study is to investigate the impact of credit risk management on the performance of commercial banks in Nigeria. Financial reports of seven commercial banking firms were used to analyze for seven years (2005 \u2013 2011). The panel regression model was employed for the estimation of the model. In the model, Return on Equity (ROE) and Return on Asset (ROA) were used as the performance indicators while Non-Performing Loans (NPL) and Capital Adequacy Ratio (CAR) as credit risk management indicators. The findings revealed that credit risk management has a significant impact on the profitability of commercial banks\u2019 in Nigeria.", "author" : [ { "dropping-particle" : "", "family" : "Abiola", "given" : "Idowu", "non-dropping-particle" : "", "parse-names" : false, "suffix" : "" }, { "dropping-particle" : "", "family" : "Olausi", "given" : "Awoyemi Samuel", "non-dropping-particle" : "", "parse-names" : false, "suffix" : "" } ], "container-title" : "International Journal of Management and Sustainability", "id" : "ITEM-1", "issue" : "5", "issued" : { "date-parts" : [ [ "2014" ] ] }, "page" : "295-306", "title" : "The Impact of Credit Risk Management on The Commercial Banks Performance in Nigeria", "type" : "article-journal", "volume" : "3" }, "uris" : [ "http://www.mendeley.com/documents/?uuid=6980c47a-79c9-4e94-919c-5c7b8c686086" ] } ], "mendeley" : { "formattedCitation" : "(Abiola and Olausi, 2014)", "plainTextFormattedCitation" : "(Abiola and Olausi, 2014)", "previouslyFormattedCitation" : "(Abiola and Olausi, 2014)"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(Abiola and Olausi, 2014)</w:t>
      </w:r>
      <w:r w:rsidR="00C86557" w:rsidRPr="0045555A">
        <w:rPr>
          <w:rFonts w:ascii="Times New Roman" w:hAnsi="Times New Roman"/>
          <w:sz w:val="24"/>
          <w:szCs w:val="24"/>
        </w:rPr>
        <w:fldChar w:fldCharType="end"/>
      </w:r>
      <w:r w:rsidRPr="0045555A">
        <w:rPr>
          <w:rFonts w:ascii="Times New Roman" w:hAnsi="Times New Roman"/>
          <w:sz w:val="24"/>
          <w:szCs w:val="24"/>
        </w:rPr>
        <w:t>,</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"The main purpose of the research is to investigate if there is a relationship between credit risk management and profitability of commercial banks in Europe. We also aim to investigate if the relationship is stable or fluctuating. In the research model, ROE and ROA are defined as proxies of profitability while NPLR and CAR are defined as proxies of credit risk management. The research collects data from the largest 47 commercial banks in Europe from 2007 to 2012 and formulates four hypotheses which are related to the research question. A series of statistical tests are performed in order to test if the relationship exists. Other statistical tests are performed to investigate if the relationship is stable or not.", "author" : [ { "dropping-particle" : "", "family" : "Li", "given" : "Fan", "non-dropping-particle" : "", "parse-names" : false, "suffix" : "" }, { "dropping-particle" : "", "family" : "Zou", "given" : "Yijun", "non-dropping-particle" : "", "parse-names" : false, "suffix" : "" } ], "id" : "ITEM-1", "issued" : { "date-parts" : [ [ "2014" ] ] }, "title" : "The Impact of Credit Risk Management on Profitability of Commercial Banks: A Study of Europe", "type" : "report" }, "uris" : [ "http://www.mendeley.com/documents/?uuid=b34f56ab-ca2f-4152-883d-97b70f98946a" ] } ], "mendeley" : { "formattedCitation" : "(Li and Zou, 2014)", "plainTextFormattedCitation" : "(Li and Zou, 2014)", "previouslyFormattedCitation" : "(Li and Zou, 2014)"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(Li and Zou, 2014)</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"10.5539/ijef.v7n11p163", "ISSN" : "1916-9728", "abstract" : "Credit risk management is one of the vital aspects of the financial institutions regardless of their nature. For a more comprehensive analysis of Palestine banking sector, investment and commercial banks both were chosen for assessing the relationship between credit risk management and profitability. Explanatory design of study helped in assessing the casual effect relationship between the research variables. The regression model was used for gathering quantitative findings while structured interview from bank managers was selected for gathering qualitative data. The findings of the regression model in the current study confirmed that there is no consequence of credit risk on profitability of commercial and investment banks of Palestine. Additionally, it was also found that there is no difference between the Palestinian commercial and investment banks concerning the relationship.&lt;/p&gt;", "author" : [ { "dropping-particle" : "", "family" : "Bayyoud", "given" : "Mohammed", "non-dropping-particle" : "", "parse-names" : false, "suffix" : "" }, { "dropping-particle" : "", "family" : "Sayyad", "given" : "Nermeen", "non-dropping-particle" : "", "parse-names" : false, "suffix" : "" } ], "container-title" : "International Journal of Economics and Finance", "id" : "ITEM-1", "issue" : "11", "issued" : { "date-parts" : [ [ "2015" ] ] }, "page" : "163", "title" : "The Relationship between Credit Risk Management and Profitability between Investment and Commercial Banks in Palestine", "type" : "article-journal", "volume" : "7" }, "uris" : [ "http://www.mendeley.com/documents/?uuid=5379f370-9aea-4500-b01f-749e1c414fbb" ] } ], "mendeley" : { "formattedCitation" : "(Bayyoud and Sayyad, 2015)", "plainTextFormattedCitation" : "(Bayyoud and Sayyad, 2015)", "previouslyFormattedCitation" : "(Bayyoud and Sayyad, 2015)"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(Bayyoud and Sayyad, 2015)</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"10.4172/2167-0234.1000192", "ISBN" : "4414133130", "ISSN" : "21670234", "abstract" : "This paper aimed to analyse the impact of credit risk on profitability of five big UK commercial banks. For measuring profitability, two dependent variables ROA and ROE were considered whereas two variables for credit risks were: net charge off (or impairments), and nonperforming loans. Multiple statistical analyses were conducted on bank data from 2007 to 2015 to cover the period of financial crisis. It was found that credit risk indicators had a positive association with profitability of the banks. This means that even after the deep effects of credit crisis in 2008, the banks in the UK are taking credit risks, and getting benefits from interest rates, fee, and commissions etc. The results also reveal that the bank size, leverage, and growth were also positively interlinked with each other, and the banks achieved profitability after the financial crisis and learned how to tackle the credit risk over the years.", "author" : [ { "dropping-particle" : "", "family" : "MS", "given" : "Saeed", "non-dropping-particle" : "", "parse-names" : false, "suffix" : "" }, { "dropping-particle" : "", "family" : "N", "given" : "Zahid", "non-dropping-particle" : "", "parse-names" : false, "suffix" : "" } ], "container-title" : "Journal of Business &amp; Financial Affairs", "id" : "ITEM-1", "issue" : "2", "issued" : { "date-parts" : [ [ "2016" ] ] }, "page" : "1-7", "title" : "The Impact of Credit Risk on Profitability of the Commercial Banks", "type" : "article-journal", "volume" : "5" }, "uris" : [ "http://www.mendeley.com/documents/?uuid=2c6dc6be-945d-4e6e-ad28-4643e5517ceb" ] } ], "mendeley" : { "formattedCitation" : "(MS and N, 2016)", "plainTextFormattedCitation" : "(MS and N, 2016)", "previouslyFormattedCitation" : "(MS and N, 2016)"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(MS and N, 2016)</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hasil studinya menemukan bahwa credit risk adalah factor terpenting untuk menjaga survival, pertumbuhan dan kinerja bank. Namun studi ini bertolak belakangan dengan hasil penelitian yang dilakukan oleh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"10.9790/5933-06222128", "abstract" : "This study investigates the impact of credit risk on banks\u2019 performance in Nigeria. A panel estimation of six banks from 2000 to 2013 was done using the random effect model framework. Our findings show that credit risk is negatively and significantly related to bank performance, measured by return on assets (ROA). This suggests that an increased exposure to credit risk reduces bank profitability. We also found that total loan has a positive and significant impact on bank performance. Therefore, to stem the cyclical nature of non-performing loans and increase their profits, the banks should adopt an aggressive deposit mobilization to increase credit availability and develop a reliable credit risk management strategy with adequate punishment for loan payment defaults.", "author" : [ { "dropping-particle" : "", "family" : "Kayode", "given" : "Olawale Femi", "non-dropping-particle" : "", "parse-names" : false, "suffix" : "" }, { "dropping-particle" : "", "family" : "Obamuyi", "given" : "Tomola Marshal", "non-dropping-particle" : "", "parse-names" : false, "suffix" : "" }, { "dropping-particle" : "", "family" : "Ayodeleowoputi", "given" : "James", "non-dropping-particle" : "", "parse-names" : false, "suffix" : "" }, { "dropping-particle" : "", "family" : "Ademolaadeyefa", "given" : "Felix", "non-dropping-particle" : "", "parse-names" : false, "suffix" : "" } ], "container-title" : "IOSR Journal of Economics and Finance", "id" : "ITEM-1", "issue" : "2", "issued" : { "date-parts" : [ [ "2015" ] ] }, "page" : "21-28", "title" : "Credit Risk and Bank Performance in Nigeria", "type" : "article-journal", "volume" : "6" }, "uris" : [ "http://www.mendeley.com/documents/?uuid=54a15217-a1ee-42a1-acf8-1be063419f86" ] } ], "mendeley" : { "formattedCitation" : "(Kayode et al., 2015)", "plainTextFormattedCitation" : "(Kayode et al., 2015)", "previouslyFormattedCitation" : "(Kayode et al., 2015)" }, "properties" : { "noteIndex" : 2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(Kayode et al., 2015)</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"10.5539/ijef.v7n11p163", "ISSN" : "1916-9728", "abstract" : "Credit risk management is one of the vital aspects of the financial institutions regardless of their nature. For a more comprehensive analysis of Palestine banking sector, investment and commercial banks both were chosen for assessing the relationship between credit risk management and profitability. Explanatory design of study helped in assessing the casual effect relationship between the research variables. The regression model was used for gathering quantitative findings while structured interview from bank managers was selected for gathering qualitative data. The findings of the regression model in the current study confirmed that there is no consequence of credit risk on profitability of commercial and investment banks of Palestine. Additionally, it was also found that there is no difference between the Palestinian commercial and investment banks concerning the relationship.&lt;/p&gt;", "author" : [ { "dropping-particle" : "", "family" : "Bayyoud", "given" : "Mohammed", "non-dropping-particle" : "", "parse-names" : false, "suffix" : "" }, { "dropping-particle" : "", "family" : "Sayyad", "given" : "Nermeen", "non-dropping-particle" : "", "parse-names" : false, "suffix" : "" } ], "container-title" : "International Journal of Economics and Finance", "id" : "ITEM-1", "issue" : "11", "issued" : { "date-parts" : [ [ "2015" ] ] }, "page" : "163", "title" : "The Relationship between Credit Risk Management and Profitability between Investment and Commercial Banks in Palestine", "type" : "article-journal", "volume" : "7" }, "uris" : [ "http://www.mendeley.com/documents/?uuid=5379f370-9aea-4500-b01f-749e1c414fbb" ] } ], "mendeley" : { "formattedCitation" : "(Bayyoud and Sayyad, 2015)", "plainTextFormattedCitation" : "(Bayyoud and Sayyad, 2015)", "previouslyFormattedCitation" : "(Bayyoud and Sayyad, 2015)" }, "properties" : { "noteIndex" : 2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(Bayyoud and Sayyad, 2015)</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sidRPr="0045555A">
        <w:rPr>
          <w:rFonts w:ascii="Times New Roman" w:hAnsi="Times New Roman"/>
          <w:sz w:val="24"/>
          <w:szCs w:val="24"/>
        </w:rPr>
        <w:instrText>ADDIN CSL_CITATION { "citationItems" : [ { "id" : "ITEM-1", "itemData" : { "abstract" : "The adoption of credit risk management is becoming a crucial factor for every commercial bank around the world. The objective of this study is to identify the impact of credit risk management on the performance of the commercial banks in Sri Lanka. This study is primarily based on both primary and secondary data. Primary data were collected from eight (08) commercial banks from 24 commercial banks in Sri Lanka. The sample was selected from the population based on the superior financial performance for the period under review and the availability of the consistent data over the set period. The primary data was collected mainly through an interview. The relevant authorities were interviewed personally in order to have their views on the problems and solutions. The secondary data were obtained from various sources such as Annual Reports of the selected commercial banks, relevant articles, books and magazines etc. The panel data of a five year period from 2009 to 2013 from the selected banks were used to examine the relationship between credit risk and performances. The Return on Assets (ROA) is used as performance indicator and Loan provision to Total (LP/TL), Loan Provision to Non-Performing Loans (LP/NPL), Loan Provision to Total Assets (LP/TA) and Non-Performing Loans/ Total Loans (NPL/TL) were used as indicators of credit risk. Further, a regression model was used to establish the relationship between amounts of loan as well as non-performing loans and profitability during the period of study by using E-views software. The result shows that non-performing loans and provisions have an adverse impact on the profitability. Therefore, the study recommended the banks to implement an effective tools and techniques to reduce the credit risk management.", "author" : [ { "dropping-particle" : "", "family" : "Kodithuwakku", "given" : "MS. Sujeewa", "non-dropping-particle" : "", "parse-names" : false, "suffix" : "" } ], "container-title" : "International Journal of Scientific Research and Innovative Technology", "id" : "ITEM-1", "issue" : "7", "issued" : { "date-parts" : [ [ "2015" ] ] }, "page" : "24-29", "title" : "Impact of Credit Risk Management on the Performance of Commercial Banks in Sri Lanka", "type" : "article-journal", "volume" : "2" }, "uris" : [ "http://www.mendeley.com/documents/?uuid=3d44bd80-1da4-4a8c-a2a8-9076f49ffe4d" ] } ], "mendeley" : { "formattedCitation" : "(Kodithuwakku, 2015)", "plainTextFormattedCitation" : "(Kodithuwakku, 2015)", "previouslyFormattedCitation" : "(Kodithuwakku, 2015)" }, "properties" : { "noteIndex" : 2 }, "schema" : "https://github.com/citation-style-language/schema/raw/master/csl-citation.json" }</w:instrText>
      </w:r>
      <w:r w:rsidR="00C86557" w:rsidRPr="0045555A">
        <w:rPr>
          <w:rFonts w:ascii="Times New Roman" w:hAnsi="Times New Roman"/>
          <w:sz w:val="24"/>
          <w:szCs w:val="24"/>
        </w:rPr>
        <w:fldChar w:fldCharType="separate"/>
      </w:r>
      <w:r w:rsidRPr="0045555A">
        <w:rPr>
          <w:rFonts w:ascii="Times New Roman" w:hAnsi="Times New Roman"/>
          <w:noProof/>
          <w:sz w:val="24"/>
          <w:szCs w:val="24"/>
        </w:rPr>
        <w:t>(Kodithuwakku, 2015)</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EE5204">
        <w:rPr>
          <w:rFonts w:ascii="Times New Roman" w:hAnsi="Times New Roman"/>
          <w:sz w:val="24"/>
          <w:szCs w:val="24"/>
        </w:rPr>
        <w:fldChar w:fldCharType="begin" w:fldLock="1"/>
      </w:r>
      <w:r w:rsidRPr="00EE5204">
        <w:rPr>
          <w:rFonts w:ascii="Times New Roman" w:hAnsi="Times New Roman"/>
          <w:sz w:val="24"/>
          <w:szCs w:val="24"/>
        </w:rPr>
        <w:instrText>ADDIN CSL_CITATION { "citationItems" : [ { "id" : "ITEM-1", "itemData" : { "DOI" : "10.21511/imfi.13(1).2016.08", "ISSN" : "18129358", "author" : [ { "dropping-particle" : "", "family" : "Alshatti", "given" : "Ali Sulieman", "non-dropping-particle" : "", "parse-names" : false, "suffix" : "" } ], "container-title" : "Investment Management and Financial Innovations", "id" : "ITEM-1", "issue" : "1", "issued" : { "date-parts" : [ [ "2016" ] ] }, "page" : "84-91", "title" : "Determinants of banks' profitability - The case of Jordan", "type" : "article-journal", "volume" : "13" }, "uris" : [ "http://www.mendeley.com/documents/?uuid=f99d41fc-7f0b-4670-94e7-bc2fd946b843" ] } ], "mendeley" : { "formattedCitation" : "(Alshatti, 2016)", "plainTextFormattedCitation" : "(Alshatti, 2016)", "previouslyFormattedCitation" : "(Alshatti, 2016)" }, "properties" : { "noteIndex" : 3 }, "schema" : "https://github.com/citation-style-language/schema/raw/master/csl-citation.json" }</w:instrText>
      </w:r>
      <w:r w:rsidR="00C86557" w:rsidRPr="00EE5204">
        <w:rPr>
          <w:rFonts w:ascii="Times New Roman" w:hAnsi="Times New Roman"/>
          <w:sz w:val="24"/>
          <w:szCs w:val="24"/>
        </w:rPr>
        <w:fldChar w:fldCharType="separate"/>
      </w:r>
      <w:r w:rsidRPr="00EE5204">
        <w:rPr>
          <w:rFonts w:ascii="Times New Roman" w:hAnsi="Times New Roman"/>
          <w:noProof/>
          <w:sz w:val="24"/>
          <w:szCs w:val="24"/>
        </w:rPr>
        <w:t>(Alshatti, 2016)</w:t>
      </w:r>
      <w:r w:rsidR="00C86557" w:rsidRPr="00EE5204">
        <w:rPr>
          <w:rFonts w:ascii="Times New Roman" w:hAnsi="Times New Roman"/>
          <w:sz w:val="24"/>
          <w:szCs w:val="24"/>
        </w:rPr>
        <w:fldChar w:fldCharType="end"/>
      </w:r>
      <w:r>
        <w:rPr>
          <w:rFonts w:ascii="Times New Roman" w:hAnsi="Times New Roman"/>
          <w:sz w:val="24"/>
          <w:szCs w:val="24"/>
        </w:rPr>
        <w:t xml:space="preserve">. </w:t>
      </w:r>
      <w:r w:rsidRPr="0045555A">
        <w:rPr>
          <w:rFonts w:ascii="Times New Roman" w:hAnsi="Times New Roman"/>
          <w:sz w:val="24"/>
          <w:szCs w:val="24"/>
        </w:rPr>
        <w:t xml:space="preserve">Hasil studi ini menunjukan bahwa perbankan syariah di Indonesia </w:t>
      </w:r>
      <w:r w:rsidRPr="007544C9">
        <w:rPr>
          <w:rFonts w:ascii="Times New Roman" w:hAnsi="Times New Roman"/>
          <w:sz w:val="24"/>
          <w:szCs w:val="24"/>
        </w:rPr>
        <w:t>mempunyai tingkat resiko kredit yang tinggi</w:t>
      </w:r>
      <w:r w:rsidRPr="0045555A">
        <w:rPr>
          <w:rFonts w:ascii="Times New Roman" w:hAnsi="Times New Roman"/>
          <w:sz w:val="24"/>
          <w:szCs w:val="24"/>
        </w:rPr>
        <w:t xml:space="preserve">, oleh karena itu perbankan syariah perlu meningkatkan kehati-hatian dalam memberikan kredit pada kreditur, dengan lima cara yaitu: Pricing the loan, Credit Limits, Collateral or Security, Diversification, Credit Derivatives and Asset Securitisation, then experts agree to assess credit risk by using approach 5C are: Character, Capacity, Capital, Condition, Collateral.  </w:t>
      </w:r>
      <w:r w:rsidR="00C86557" w:rsidRPr="0045555A">
        <w:rPr>
          <w:rFonts w:ascii="Times New Roman" w:hAnsi="Times New Roman"/>
          <w:sz w:val="24"/>
          <w:szCs w:val="24"/>
        </w:rPr>
        <w:fldChar w:fldCharType="begin" w:fldLock="1"/>
      </w:r>
      <w:r w:rsidRPr="0045555A">
        <w:rPr>
          <w:rFonts w:ascii="Times New Roman" w:hAnsi="Times New Roman"/>
          <w:sz w:val="24"/>
          <w:szCs w:val="24"/>
        </w:rPr>
        <w:instrText>ADDIN CSL_CITATION { "citationItems" : [ { "id" : "ITEM-1", "itemData" : { "DOI" : "10.3406/reco.1992.409350", "ISBN" : "0470095008", "ISSN" : "0035-2764", "abstract" : "The article reviews the book \"Modern Banking,\" by R.S. Sayers.", "author" : [ { "dropping-particle" : "", "family" : "Heffernan", "given" : "Shelagh", "non-dropping-particle" : "", "parse-names" : false, "suffix" : "" } ], "id" : "ITEM-1", "issue" : "1", "issued" : { "date-parts" : [ [ "2005" ] ] }, "number-of-pages" : "122-123", "publisher" : "John Wiley &amp; Sons Ltd", "publisher-place" : "The Atrium, Southern Gate, Chichester, West Sussex PO19 8SQ, England", "title" : "Modern Banking", "type" : "book", "volume" : "14" }, "uris" : [ "http://www.mendeley.com/documents/?uuid=e7580505-878a-4170-9b7c-24776b69d7d9" ] } ], "mendeley" : { "formattedCitation" : "(Heffernan, 2005)", "plainTextFormattedCitation" : "(Heffernan, 2005)", "previouslyFormattedCitation" : "(Heffernan, 2005)"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45555A">
        <w:rPr>
          <w:rFonts w:ascii="Times New Roman" w:hAnsi="Times New Roman"/>
          <w:noProof/>
          <w:sz w:val="24"/>
          <w:szCs w:val="24"/>
        </w:rPr>
        <w:t>(Heffernan, 2005)</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Besarnya resiko kredit ini sebanding dengan besarnya profitabilitas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"10.4172/2167-0234.1000192", "ISBN" : "4414133130", "ISSN" : "21670234", "abstract" : "This paper aimed to analyse the impact of credit risk on profitability of five big UK commercial banks. For measuring profitability, two dependent variables ROA and ROE were considered whereas two variables for credit risks were: net charge off (or impairments), and nonperforming loans. Multiple statistical analyses were conducted on bank data from 2007 to 2015 to cover the period of financial crisis. It was found that credit risk indicators had a positive association with profitability of the banks. This means that even after the deep effects of credit crisis in 2008, the banks in the UK are taking credit risks, and getting benefits from interest rates, fee, and commissions etc. The results also reveal that the bank size, leverage, and growth were also positively interlinked with each other, and the banks achieved profitability after the financial crisis and learned how to tackle the credit risk over the years.", "author" : [ { "dropping-particle" : "", "family" : "MS", "given" : "Saeed", "non-dropping-particle" : "", "parse-names" : false, "suffix" : "" }, { "dropping-particle" : "", "family" : "N", "given" : "Zahid", "non-dropping-particle" : "", "parse-names" : false, "suffix" : "" } ], "container-title" : "Journal of Business &amp; Financial Affairs", "id" : "ITEM-1", "issue" : "2", "issued" : { "date-parts" : [ [ "2016" ] ] }, "page" : "1-7", "title" : "The Impact of Credit Risk on Profitability of the Commercial Banks", "type" : "article-journal", "volume" : "5" }, "uris" : [ "http://www.mendeley.com/documents/?uuid=2c6dc6be-945d-4e6e-ad28-4643e5517ceb" ] } ], "mendeley" : { "formattedCitation" : "(MS and N, 2016)", "plainTextFormattedCitation" : "(MS and N, 2016)", "previouslyFormattedCitation" : "(MS and N, 2016)"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(MS and N, 2016)</w:t>
      </w:r>
      <w:r w:rsidR="00C86557" w:rsidRPr="0045555A">
        <w:rPr>
          <w:rFonts w:ascii="Times New Roman" w:hAnsi="Times New Roman"/>
          <w:sz w:val="24"/>
          <w:szCs w:val="24"/>
        </w:rPr>
        <w:fldChar w:fldCharType="end"/>
      </w:r>
    </w:p>
    <w:p w:rsidR="00FD44D7" w:rsidRDefault="00FD44D7" w:rsidP="00E61690">
      <w:pPr>
        <w:spacing w:before="120" w:after="120"/>
        <w:jc w:val="center"/>
        <w:rPr>
          <w:rFonts w:ascii="Times New Roman" w:hAnsi="Times New Roman"/>
          <w:sz w:val="24"/>
        </w:rPr>
      </w:pPr>
      <w:r>
        <w:rPr>
          <w:rFonts w:ascii="Times New Roman" w:hAnsi="Times New Roman"/>
          <w:sz w:val="24"/>
        </w:rPr>
        <w:t xml:space="preserve">Tabel </w:t>
      </w:r>
      <w:r w:rsidRPr="0045555A">
        <w:rPr>
          <w:rFonts w:ascii="Times New Roman" w:hAnsi="Times New Roman"/>
          <w:sz w:val="24"/>
        </w:rPr>
        <w:t>3. Analisis Korelasi</w:t>
      </w:r>
    </w:p>
    <w:p w:rsidR="00B87D11" w:rsidRDefault="00B87D11" w:rsidP="00FD44D7">
      <w:pPr>
        <w:spacing w:before="120"/>
        <w:rPr>
          <w:rFonts w:ascii="Times New Roman" w:hAnsi="Times New Roman"/>
          <w:sz w:val="24"/>
          <w:szCs w:val="24"/>
        </w:rPr>
        <w:sectPr w:rsidR="00B87D11" w:rsidSect="00FD44D7">
          <w:type w:val="continuous"/>
          <w:pgSz w:w="11906" w:h="16838"/>
          <w:pgMar w:top="1411" w:right="1282" w:bottom="1411" w:left="1282" w:header="706" w:footer="706" w:gutter="0"/>
          <w:cols w:num="2" w:space="26"/>
        </w:sectPr>
      </w:pPr>
    </w:p>
    <w:tbl>
      <w:tblPr>
        <w:tblpPr w:leftFromText="180" w:rightFromText="180" w:vertAnchor="text" w:horzAnchor="margin" w:tblpY="112"/>
        <w:tblW w:w="9270" w:type="dxa"/>
        <w:tblLayout w:type="fixed"/>
        <w:tblCellMar>
          <w:left w:w="0" w:type="dxa"/>
          <w:right w:w="0" w:type="dxa"/>
        </w:tblCellMar>
        <w:tblLook w:val="0000" w:firstRow="0" w:lastRow="0" w:firstColumn="0" w:lastColumn="0" w:noHBand="0" w:noVBand="0"/>
      </w:tblPr>
      <w:tblGrid>
        <w:gridCol w:w="1260"/>
        <w:gridCol w:w="1080"/>
        <w:gridCol w:w="1260"/>
        <w:gridCol w:w="1350"/>
        <w:gridCol w:w="1080"/>
        <w:gridCol w:w="1350"/>
        <w:gridCol w:w="1890"/>
      </w:tblGrid>
      <w:tr w:rsidR="00FD44D7" w:rsidRPr="0045555A" w:rsidTr="00FD44D7">
        <w:trPr>
          <w:cantSplit/>
        </w:trPr>
        <w:tc>
          <w:tcPr>
            <w:tcW w:w="126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p>
        </w:tc>
        <w:tc>
          <w:tcPr>
            <w:tcW w:w="108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CRISK</w:t>
            </w:r>
          </w:p>
        </w:tc>
        <w:tc>
          <w:tcPr>
            <w:tcW w:w="126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CAR</w:t>
            </w:r>
          </w:p>
        </w:tc>
        <w:tc>
          <w:tcPr>
            <w:tcW w:w="135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 xml:space="preserve">SIZE </w:t>
            </w:r>
          </w:p>
        </w:tc>
        <w:tc>
          <w:tcPr>
            <w:tcW w:w="108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INF</w:t>
            </w:r>
          </w:p>
        </w:tc>
        <w:tc>
          <w:tcPr>
            <w:tcW w:w="135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LQRISK</w:t>
            </w:r>
          </w:p>
        </w:tc>
        <w:tc>
          <w:tcPr>
            <w:tcW w:w="1890" w:type="dxa"/>
            <w:tcBorders>
              <w:top w:val="single" w:sz="4" w:space="0" w:color="auto"/>
              <w:bottom w:val="single" w:sz="4" w:space="0" w:color="auto"/>
            </w:tcBorders>
            <w:shd w:val="clear" w:color="auto" w:fill="FFFFFF"/>
          </w:tcPr>
          <w:p w:rsidR="00FD44D7" w:rsidRPr="0045555A" w:rsidRDefault="00FD44D7" w:rsidP="00FD44D7">
            <w:pPr>
              <w:widowControl w:val="0"/>
              <w:autoSpaceDE w:val="0"/>
              <w:autoSpaceDN w:val="0"/>
              <w:adjustRightInd w:val="0"/>
              <w:ind w:left="60" w:right="60"/>
              <w:rPr>
                <w:rFonts w:ascii="Times New Roman" w:hAnsi="Times New Roman"/>
                <w:b/>
                <w:color w:val="000000" w:themeColor="text1"/>
                <w:sz w:val="24"/>
                <w:szCs w:val="24"/>
              </w:rPr>
            </w:pPr>
            <w:r w:rsidRPr="0045555A">
              <w:rPr>
                <w:rFonts w:ascii="Times New Roman" w:hAnsi="Times New Roman"/>
                <w:b/>
                <w:color w:val="000000" w:themeColor="text1"/>
                <w:sz w:val="24"/>
                <w:szCs w:val="24"/>
              </w:rPr>
              <w:t>ROE</w:t>
            </w:r>
          </w:p>
        </w:tc>
      </w:tr>
      <w:tr w:rsidR="00FD44D7" w:rsidRPr="0045555A" w:rsidTr="00FD44D7">
        <w:trPr>
          <w:cantSplit/>
        </w:trPr>
        <w:tc>
          <w:tcPr>
            <w:tcW w:w="1260" w:type="dxa"/>
            <w:tcBorders>
              <w:top w:val="single" w:sz="4" w:space="0" w:color="auto"/>
            </w:tcBorders>
          </w:tcPr>
          <w:p w:rsidR="00FD44D7" w:rsidRPr="0045555A" w:rsidRDefault="00FD44D7" w:rsidP="00FD44D7">
            <w:pPr>
              <w:widowControl w:val="0"/>
              <w:autoSpaceDE w:val="0"/>
              <w:autoSpaceDN w:val="0"/>
              <w:adjustRightInd w:val="0"/>
              <w:ind w:right="60"/>
              <w:rPr>
                <w:rFonts w:ascii="Times New Roman" w:hAnsi="Times New Roman"/>
                <w:color w:val="000000" w:themeColor="text1"/>
                <w:sz w:val="24"/>
                <w:szCs w:val="24"/>
              </w:rPr>
            </w:pPr>
            <w:r w:rsidRPr="0045555A">
              <w:rPr>
                <w:rFonts w:ascii="Times New Roman" w:hAnsi="Times New Roman"/>
                <w:color w:val="000000" w:themeColor="text1"/>
                <w:sz w:val="24"/>
                <w:szCs w:val="24"/>
              </w:rPr>
              <w:t>CRISK</w:t>
            </w:r>
          </w:p>
        </w:tc>
        <w:tc>
          <w:tcPr>
            <w:tcW w:w="1080" w:type="dxa"/>
            <w:tcBorders>
              <w:top w:val="single" w:sz="4" w:space="0" w:color="auto"/>
            </w:tcBorders>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w:t>
            </w:r>
          </w:p>
        </w:tc>
        <w:tc>
          <w:tcPr>
            <w:tcW w:w="1260" w:type="dxa"/>
            <w:tcBorders>
              <w:top w:val="single" w:sz="4" w:space="0" w:color="auto"/>
            </w:tcBorders>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.135</w:t>
            </w:r>
          </w:p>
        </w:tc>
        <w:tc>
          <w:tcPr>
            <w:tcW w:w="1350" w:type="dxa"/>
            <w:tcBorders>
              <w:top w:val="single" w:sz="4" w:space="0" w:color="auto"/>
            </w:tcBorders>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.126</w:t>
            </w:r>
          </w:p>
        </w:tc>
        <w:tc>
          <w:tcPr>
            <w:tcW w:w="1080" w:type="dxa"/>
            <w:tcBorders>
              <w:top w:val="single" w:sz="4" w:space="0" w:color="auto"/>
            </w:tcBorders>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-.224</w:t>
            </w:r>
          </w:p>
        </w:tc>
        <w:tc>
          <w:tcPr>
            <w:tcW w:w="1350" w:type="dxa"/>
            <w:tcBorders>
              <w:top w:val="single" w:sz="4" w:space="0" w:color="auto"/>
            </w:tcBorders>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.192</w:t>
            </w:r>
          </w:p>
        </w:tc>
        <w:tc>
          <w:tcPr>
            <w:tcW w:w="1890" w:type="dxa"/>
            <w:tcBorders>
              <w:top w:val="single" w:sz="4" w:space="0" w:color="auto"/>
            </w:tcBorders>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.093</w:t>
            </w:r>
          </w:p>
        </w:tc>
      </w:tr>
      <w:tr w:rsidR="00FD44D7" w:rsidRPr="0045555A" w:rsidTr="00FD44D7">
        <w:trPr>
          <w:cantSplit/>
        </w:trPr>
        <w:tc>
          <w:tcPr>
            <w:tcW w:w="1260" w:type="dxa"/>
          </w:tcPr>
          <w:p w:rsidR="00FD44D7" w:rsidRPr="0045555A" w:rsidRDefault="00FD44D7" w:rsidP="00FD44D7">
            <w:pPr>
              <w:ind w:firstLine="6"/>
              <w:rPr>
                <w:rFonts w:ascii="Times New Roman" w:hAnsi="Times New Roman"/>
                <w:sz w:val="24"/>
                <w:szCs w:val="24"/>
              </w:rPr>
            </w:pPr>
            <w:r w:rsidRPr="0045555A">
              <w:rPr>
                <w:rFonts w:ascii="Times New Roman" w:hAnsi="Times New Roman"/>
                <w:color w:val="000000" w:themeColor="text1"/>
                <w:sz w:val="24"/>
                <w:szCs w:val="24"/>
              </w:rPr>
              <w:t>CAR</w:t>
            </w:r>
          </w:p>
        </w:tc>
        <w:tc>
          <w:tcPr>
            <w:tcW w:w="108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.135</w:t>
            </w:r>
          </w:p>
        </w:tc>
        <w:tc>
          <w:tcPr>
            <w:tcW w:w="126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.706</w:t>
            </w:r>
            <w:r w:rsidRPr="0045555A">
              <w:rPr>
                <w:rFonts w:ascii="Times New Roman" w:hAnsi="Times New Roman"/>
                <w:color w:val="000000" w:themeColor="text1"/>
                <w:sz w:val="24"/>
                <w:szCs w:val="24"/>
                <w:vertAlign w:val="superscript"/>
              </w:rPr>
              <w:t>**</w:t>
            </w:r>
          </w:p>
        </w:tc>
        <w:tc>
          <w:tcPr>
            <w:tcW w:w="108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.289</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-.153</w:t>
            </w:r>
          </w:p>
        </w:tc>
        <w:tc>
          <w:tcPr>
            <w:tcW w:w="189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-.686</w:t>
            </w:r>
            <w:r w:rsidRPr="0045555A">
              <w:rPr>
                <w:rFonts w:ascii="Times New Roman" w:hAnsi="Times New Roman"/>
                <w:color w:val="000000" w:themeColor="text1"/>
                <w:sz w:val="24"/>
                <w:szCs w:val="24"/>
                <w:vertAlign w:val="superscript"/>
              </w:rPr>
              <w:t>**</w:t>
            </w:r>
          </w:p>
        </w:tc>
      </w:tr>
      <w:tr w:rsidR="00FD44D7" w:rsidRPr="0045555A" w:rsidTr="00FD44D7">
        <w:trPr>
          <w:cantSplit/>
        </w:trPr>
        <w:tc>
          <w:tcPr>
            <w:tcW w:w="1260" w:type="dxa"/>
          </w:tcPr>
          <w:p w:rsidR="00FD44D7" w:rsidRPr="0045555A" w:rsidRDefault="00FD44D7" w:rsidP="00FD44D7">
            <w:pPr>
              <w:ind w:firstLine="6"/>
              <w:rPr>
                <w:rFonts w:ascii="Times New Roman" w:hAnsi="Times New Roman"/>
                <w:sz w:val="24"/>
                <w:szCs w:val="24"/>
              </w:rPr>
            </w:pPr>
            <w:r w:rsidRPr="0045555A">
              <w:rPr>
                <w:rFonts w:ascii="Times New Roman" w:hAnsi="Times New Roman"/>
                <w:color w:val="000000" w:themeColor="text1"/>
                <w:sz w:val="24"/>
                <w:szCs w:val="24"/>
              </w:rPr>
              <w:t xml:space="preserve">SIZE </w:t>
            </w:r>
          </w:p>
        </w:tc>
        <w:tc>
          <w:tcPr>
            <w:tcW w:w="108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.126</w:t>
            </w:r>
          </w:p>
        </w:tc>
        <w:tc>
          <w:tcPr>
            <w:tcW w:w="126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.706</w:t>
            </w:r>
            <w:r w:rsidRPr="0045555A">
              <w:rPr>
                <w:rFonts w:ascii="Times New Roman" w:hAnsi="Times New Roman"/>
                <w:color w:val="000000" w:themeColor="text1"/>
                <w:sz w:val="24"/>
                <w:szCs w:val="24"/>
                <w:vertAlign w:val="superscript"/>
              </w:rPr>
              <w:t>**</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w:t>
            </w:r>
          </w:p>
        </w:tc>
        <w:tc>
          <w:tcPr>
            <w:tcW w:w="108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.421</w:t>
            </w:r>
            <w:r w:rsidRPr="0045555A">
              <w:rPr>
                <w:rFonts w:ascii="Times New Roman" w:hAnsi="Times New Roman"/>
                <w:color w:val="000000" w:themeColor="text1"/>
                <w:sz w:val="24"/>
                <w:szCs w:val="24"/>
                <w:vertAlign w:val="superscript"/>
              </w:rPr>
              <w:t>**</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-.493</w:t>
            </w:r>
            <w:r w:rsidRPr="0045555A">
              <w:rPr>
                <w:rFonts w:ascii="Times New Roman" w:hAnsi="Times New Roman"/>
                <w:color w:val="000000" w:themeColor="text1"/>
                <w:sz w:val="24"/>
                <w:szCs w:val="24"/>
                <w:vertAlign w:val="superscript"/>
              </w:rPr>
              <w:t>**</w:t>
            </w:r>
          </w:p>
        </w:tc>
        <w:tc>
          <w:tcPr>
            <w:tcW w:w="189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-.921</w:t>
            </w:r>
            <w:r w:rsidRPr="0045555A">
              <w:rPr>
                <w:rFonts w:ascii="Times New Roman" w:hAnsi="Times New Roman"/>
                <w:color w:val="000000" w:themeColor="text1"/>
                <w:sz w:val="24"/>
                <w:szCs w:val="24"/>
                <w:vertAlign w:val="superscript"/>
              </w:rPr>
              <w:t>**</w:t>
            </w:r>
          </w:p>
        </w:tc>
      </w:tr>
      <w:tr w:rsidR="00FD44D7" w:rsidRPr="0045555A" w:rsidTr="00FD44D7">
        <w:trPr>
          <w:cantSplit/>
        </w:trPr>
        <w:tc>
          <w:tcPr>
            <w:tcW w:w="1260" w:type="dxa"/>
          </w:tcPr>
          <w:p w:rsidR="00FD44D7" w:rsidRPr="0045555A" w:rsidRDefault="00FD44D7" w:rsidP="00FD44D7">
            <w:pPr>
              <w:ind w:firstLine="6"/>
              <w:rPr>
                <w:rFonts w:ascii="Times New Roman" w:hAnsi="Times New Roman"/>
                <w:color w:val="000000" w:themeColor="text1"/>
                <w:sz w:val="24"/>
                <w:szCs w:val="24"/>
              </w:rPr>
            </w:pPr>
            <w:r w:rsidRPr="0045555A">
              <w:rPr>
                <w:rFonts w:ascii="Times New Roman" w:hAnsi="Times New Roman"/>
                <w:color w:val="000000" w:themeColor="text1"/>
                <w:sz w:val="24"/>
                <w:szCs w:val="24"/>
              </w:rPr>
              <w:t>INF</w:t>
            </w:r>
          </w:p>
        </w:tc>
        <w:tc>
          <w:tcPr>
            <w:tcW w:w="108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-.224</w:t>
            </w:r>
          </w:p>
        </w:tc>
        <w:tc>
          <w:tcPr>
            <w:tcW w:w="126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.289</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.421</w:t>
            </w:r>
            <w:r w:rsidRPr="0045555A">
              <w:rPr>
                <w:rFonts w:ascii="Times New Roman" w:hAnsi="Times New Roman"/>
                <w:color w:val="000000" w:themeColor="text1"/>
                <w:sz w:val="24"/>
                <w:szCs w:val="24"/>
                <w:vertAlign w:val="superscript"/>
              </w:rPr>
              <w:t>**</w:t>
            </w:r>
          </w:p>
        </w:tc>
        <w:tc>
          <w:tcPr>
            <w:tcW w:w="108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-.224</w:t>
            </w:r>
          </w:p>
        </w:tc>
        <w:tc>
          <w:tcPr>
            <w:tcW w:w="189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-.422</w:t>
            </w:r>
            <w:r w:rsidRPr="0045555A">
              <w:rPr>
                <w:rFonts w:ascii="Times New Roman" w:hAnsi="Times New Roman"/>
                <w:color w:val="000000" w:themeColor="text1"/>
                <w:sz w:val="24"/>
                <w:szCs w:val="24"/>
                <w:vertAlign w:val="superscript"/>
              </w:rPr>
              <w:t>**</w:t>
            </w:r>
          </w:p>
        </w:tc>
      </w:tr>
      <w:tr w:rsidR="00FD44D7" w:rsidRPr="0045555A" w:rsidTr="00FD44D7">
        <w:trPr>
          <w:cantSplit/>
        </w:trPr>
        <w:tc>
          <w:tcPr>
            <w:tcW w:w="1260" w:type="dxa"/>
          </w:tcPr>
          <w:p w:rsidR="00FD44D7" w:rsidRPr="0045555A" w:rsidRDefault="00FD44D7" w:rsidP="00FD44D7">
            <w:pPr>
              <w:ind w:firstLine="6"/>
              <w:rPr>
                <w:rFonts w:ascii="Times New Roman" w:hAnsi="Times New Roman"/>
                <w:color w:val="000000" w:themeColor="text1"/>
                <w:sz w:val="24"/>
                <w:szCs w:val="24"/>
              </w:rPr>
            </w:pPr>
            <w:r w:rsidRPr="0045555A">
              <w:rPr>
                <w:rFonts w:ascii="Times New Roman" w:hAnsi="Times New Roman"/>
                <w:color w:val="000000" w:themeColor="text1"/>
                <w:sz w:val="24"/>
                <w:szCs w:val="24"/>
              </w:rPr>
              <w:t>LQRISK</w:t>
            </w:r>
          </w:p>
        </w:tc>
        <w:tc>
          <w:tcPr>
            <w:tcW w:w="108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.192</w:t>
            </w:r>
          </w:p>
        </w:tc>
        <w:tc>
          <w:tcPr>
            <w:tcW w:w="1260" w:type="dxa"/>
            <w:shd w:val="clear" w:color="auto" w:fill="auto"/>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-.153</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-.493</w:t>
            </w:r>
            <w:r w:rsidRPr="0045555A">
              <w:rPr>
                <w:rFonts w:ascii="Times New Roman" w:hAnsi="Times New Roman"/>
                <w:color w:val="000000" w:themeColor="text1"/>
                <w:sz w:val="24"/>
                <w:szCs w:val="24"/>
                <w:vertAlign w:val="superscript"/>
              </w:rPr>
              <w:t>**</w:t>
            </w:r>
          </w:p>
        </w:tc>
        <w:tc>
          <w:tcPr>
            <w:tcW w:w="108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-.224</w:t>
            </w:r>
          </w:p>
        </w:tc>
        <w:tc>
          <w:tcPr>
            <w:tcW w:w="135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1</w:t>
            </w:r>
          </w:p>
        </w:tc>
        <w:tc>
          <w:tcPr>
            <w:tcW w:w="1890" w:type="dxa"/>
            <w:shd w:val="clear" w:color="auto" w:fill="FFFFFF"/>
          </w:tcPr>
          <w:p w:rsidR="00FD44D7" w:rsidRPr="0045555A"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45555A">
              <w:rPr>
                <w:rFonts w:ascii="Times New Roman" w:hAnsi="Times New Roman"/>
                <w:color w:val="000000" w:themeColor="text1"/>
                <w:sz w:val="24"/>
                <w:szCs w:val="24"/>
              </w:rPr>
              <w:t>.608</w:t>
            </w:r>
            <w:r w:rsidRPr="0045555A">
              <w:rPr>
                <w:rFonts w:ascii="Times New Roman" w:hAnsi="Times New Roman"/>
                <w:color w:val="000000" w:themeColor="text1"/>
                <w:sz w:val="24"/>
                <w:szCs w:val="24"/>
                <w:vertAlign w:val="superscript"/>
              </w:rPr>
              <w:t>**</w:t>
            </w:r>
          </w:p>
        </w:tc>
      </w:tr>
      <w:tr w:rsidR="00FD44D7" w:rsidRPr="0045555A" w:rsidTr="00FD44D7">
        <w:trPr>
          <w:cantSplit/>
        </w:trPr>
        <w:tc>
          <w:tcPr>
            <w:tcW w:w="1260" w:type="dxa"/>
          </w:tcPr>
          <w:p w:rsidR="00FD44D7" w:rsidRPr="0045555A" w:rsidRDefault="00FD44D7" w:rsidP="00FD44D7">
            <w:pPr>
              <w:ind w:firstLine="6"/>
              <w:rPr>
                <w:rFonts w:ascii="Times New Roman" w:hAnsi="Times New Roman"/>
                <w:sz w:val="24"/>
                <w:szCs w:val="24"/>
              </w:rPr>
            </w:pPr>
            <w:r w:rsidRPr="0045555A">
              <w:rPr>
                <w:rFonts w:ascii="Times New Roman" w:hAnsi="Times New Roman"/>
                <w:color w:val="000000" w:themeColor="text1"/>
                <w:sz w:val="24"/>
                <w:szCs w:val="24"/>
              </w:rPr>
              <w:t>ROE</w:t>
            </w:r>
          </w:p>
        </w:tc>
        <w:tc>
          <w:tcPr>
            <w:tcW w:w="1080" w:type="dxa"/>
            <w:shd w:val="clear" w:color="auto" w:fill="auto"/>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.093</w:t>
            </w:r>
          </w:p>
        </w:tc>
        <w:tc>
          <w:tcPr>
            <w:tcW w:w="1260" w:type="dxa"/>
            <w:shd w:val="clear" w:color="auto" w:fill="auto"/>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-.686</w:t>
            </w:r>
            <w:r w:rsidRPr="0026577B">
              <w:rPr>
                <w:rFonts w:ascii="Times New Roman" w:hAnsi="Times New Roman"/>
                <w:color w:val="000000" w:themeColor="text1"/>
                <w:sz w:val="24"/>
                <w:szCs w:val="24"/>
                <w:vertAlign w:val="superscript"/>
              </w:rPr>
              <w:t>**</w:t>
            </w:r>
          </w:p>
        </w:tc>
        <w:tc>
          <w:tcPr>
            <w:tcW w:w="1350" w:type="dxa"/>
            <w:shd w:val="clear" w:color="auto" w:fill="FFFFFF"/>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-.921</w:t>
            </w:r>
            <w:r w:rsidRPr="0026577B">
              <w:rPr>
                <w:rFonts w:ascii="Times New Roman" w:hAnsi="Times New Roman"/>
                <w:color w:val="000000" w:themeColor="text1"/>
                <w:sz w:val="24"/>
                <w:szCs w:val="24"/>
                <w:vertAlign w:val="superscript"/>
              </w:rPr>
              <w:t>**</w:t>
            </w:r>
          </w:p>
        </w:tc>
        <w:tc>
          <w:tcPr>
            <w:tcW w:w="1080" w:type="dxa"/>
            <w:shd w:val="clear" w:color="auto" w:fill="FFFFFF"/>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-.422</w:t>
            </w:r>
            <w:r w:rsidRPr="0026577B">
              <w:rPr>
                <w:rFonts w:ascii="Times New Roman" w:hAnsi="Times New Roman"/>
                <w:color w:val="000000" w:themeColor="text1"/>
                <w:sz w:val="24"/>
                <w:szCs w:val="24"/>
                <w:vertAlign w:val="superscript"/>
              </w:rPr>
              <w:t>**</w:t>
            </w:r>
          </w:p>
        </w:tc>
        <w:tc>
          <w:tcPr>
            <w:tcW w:w="1350" w:type="dxa"/>
            <w:shd w:val="clear" w:color="auto" w:fill="FFFFFF"/>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.608</w:t>
            </w:r>
            <w:r w:rsidRPr="0026577B">
              <w:rPr>
                <w:rFonts w:ascii="Times New Roman" w:hAnsi="Times New Roman"/>
                <w:color w:val="000000" w:themeColor="text1"/>
                <w:sz w:val="24"/>
                <w:szCs w:val="24"/>
                <w:vertAlign w:val="superscript"/>
              </w:rPr>
              <w:t>**</w:t>
            </w:r>
          </w:p>
        </w:tc>
        <w:tc>
          <w:tcPr>
            <w:tcW w:w="1890" w:type="dxa"/>
            <w:shd w:val="clear" w:color="auto" w:fill="FFFFFF"/>
          </w:tcPr>
          <w:p w:rsidR="00FD44D7" w:rsidRPr="0026577B" w:rsidRDefault="00FD44D7" w:rsidP="00FD44D7">
            <w:pPr>
              <w:autoSpaceDE w:val="0"/>
              <w:autoSpaceDN w:val="0"/>
              <w:adjustRightInd w:val="0"/>
              <w:ind w:left="58" w:right="58" w:hanging="43"/>
              <w:jc w:val="right"/>
              <w:rPr>
                <w:rFonts w:ascii="Times New Roman" w:hAnsi="Times New Roman"/>
                <w:color w:val="000000" w:themeColor="text1"/>
                <w:sz w:val="24"/>
                <w:szCs w:val="24"/>
              </w:rPr>
            </w:pPr>
            <w:r w:rsidRPr="0026577B">
              <w:rPr>
                <w:rFonts w:ascii="Times New Roman" w:hAnsi="Times New Roman"/>
                <w:color w:val="000000" w:themeColor="text1"/>
                <w:sz w:val="24"/>
                <w:szCs w:val="24"/>
              </w:rPr>
              <w:t>1</w:t>
            </w:r>
          </w:p>
        </w:tc>
      </w:tr>
      <w:tr w:rsidR="00FD44D7" w:rsidRPr="0045555A" w:rsidTr="00FD44D7">
        <w:trPr>
          <w:cantSplit/>
        </w:trPr>
        <w:tc>
          <w:tcPr>
            <w:tcW w:w="9270" w:type="dxa"/>
            <w:gridSpan w:val="7"/>
            <w:tcBorders>
              <w:top w:val="single" w:sz="4" w:space="0" w:color="auto"/>
            </w:tcBorders>
          </w:tcPr>
          <w:p w:rsidR="00FD44D7" w:rsidRPr="0045555A" w:rsidRDefault="00FD44D7" w:rsidP="00FD44D7">
            <w:pPr>
              <w:widowControl w:val="0"/>
              <w:autoSpaceDE w:val="0"/>
              <w:autoSpaceDN w:val="0"/>
              <w:adjustRightInd w:val="0"/>
              <w:rPr>
                <w:rFonts w:ascii="Times New Roman" w:hAnsi="Times New Roman"/>
                <w:color w:val="000000" w:themeColor="text1"/>
                <w:sz w:val="24"/>
                <w:szCs w:val="24"/>
              </w:rPr>
            </w:pPr>
            <w:r w:rsidRPr="0045555A">
              <w:rPr>
                <w:rFonts w:ascii="Times New Roman" w:hAnsi="Times New Roman"/>
                <w:color w:val="000000" w:themeColor="text1"/>
                <w:sz w:val="24"/>
                <w:szCs w:val="24"/>
              </w:rPr>
              <w:t>**. Correlation is significant at the 0.01 level (2-tailed).</w:t>
            </w:r>
          </w:p>
        </w:tc>
      </w:tr>
    </w:tbl>
    <w:p w:rsidR="00BE311F" w:rsidRDefault="00BE311F" w:rsidP="00BE311F">
      <w:pPr>
        <w:spacing w:before="120"/>
        <w:jc w:val="both"/>
        <w:rPr>
          <w:rFonts w:ascii="Times New Roman" w:hAnsi="Times New Roman"/>
          <w:sz w:val="24"/>
          <w:szCs w:val="24"/>
        </w:rPr>
        <w:sectPr w:rsidR="00BE311F" w:rsidSect="00FD44D7">
          <w:type w:val="continuous"/>
          <w:pgSz w:w="11906" w:h="16838"/>
          <w:pgMar w:top="1411" w:right="1282" w:bottom="1411" w:left="1282" w:header="706" w:footer="706" w:gutter="0"/>
          <w:cols w:num="2" w:space="386"/>
        </w:sectPr>
      </w:pPr>
    </w:p>
    <w:p w:rsidR="00FD44D7" w:rsidRDefault="00FD44D7" w:rsidP="00BE311F">
      <w:pPr>
        <w:spacing w:before="120" w:after="120"/>
        <w:jc w:val="both"/>
        <w:rPr>
          <w:rFonts w:ascii="Times New Roman" w:hAnsi="Times New Roman"/>
          <w:sz w:val="24"/>
          <w:highlight w:val="yellow"/>
        </w:rPr>
        <w:sectPr w:rsidR="00FD44D7" w:rsidSect="00FD44D7">
          <w:type w:val="continuous"/>
          <w:pgSz w:w="11906" w:h="16838"/>
          <w:pgMar w:top="1411" w:right="1282" w:bottom="1411" w:left="1282" w:header="706" w:footer="706" w:gutter="0"/>
          <w:cols w:num="2" w:space="386"/>
        </w:sectPr>
      </w:pPr>
    </w:p>
    <w:p w:rsidR="00FD44D7" w:rsidRPr="0045555A" w:rsidRDefault="00FD44D7" w:rsidP="00FD44D7">
      <w:pPr>
        <w:spacing w:before="120" w:after="120"/>
        <w:jc w:val="both"/>
        <w:rPr>
          <w:rFonts w:ascii="Times New Roman" w:hAnsi="Times New Roman"/>
          <w:sz w:val="24"/>
          <w:szCs w:val="24"/>
        </w:rPr>
      </w:pPr>
      <w:r w:rsidRPr="0045555A">
        <w:rPr>
          <w:rFonts w:ascii="Times New Roman" w:hAnsi="Times New Roman"/>
          <w:sz w:val="24"/>
          <w:szCs w:val="24"/>
        </w:rPr>
        <w:t>CAR adalah kemampuan modal dalam mengcover resiko kredit atau pembiayaan yang kucurkan kepada debitur. Pada table 4, menunjukan capital strength dan efesiensi bank syariah, hasil studi menemukan CAR sebagai factor internal yang mempengaruhi profitabilitas bank syariah di Indoneisa. Penelitian ini menemukan CAR berpengaruh negatif tergadap ROE. Rendahnya CAR mencerminkan bahwa sebagian besar aktivitas pembiayaan pada Bank Syariah tidak dicover oleh modal, sehingga aktivitas pembiayaan memiliki resiko yang tinggi.Oleh karenanya ban syariah di Indo</w:t>
      </w:r>
      <w:r>
        <w:rPr>
          <w:rFonts w:ascii="Times New Roman" w:hAnsi="Times New Roman"/>
          <w:sz w:val="24"/>
          <w:szCs w:val="24"/>
        </w:rPr>
        <w:t>ne</w:t>
      </w:r>
      <w:r w:rsidRPr="0045555A">
        <w:rPr>
          <w:rFonts w:ascii="Times New Roman" w:hAnsi="Times New Roman"/>
          <w:sz w:val="24"/>
          <w:szCs w:val="24"/>
        </w:rPr>
        <w:t>sia masih perlu meningkatkan CARnya. Temuan ini sejalan dengan beberapa studi sebelumnya, diantaranya oleh:</w:t>
      </w:r>
      <w:r w:rsidR="00C86557">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"https://doi.org/10.18510/ijmier.2017.314", "abstract" : "Purpose: This research analyzed about profitability banks performance based on the CAMEL (Capital Adequacy, Asset Quality, Management, Earnings and Liquidity) on the Bank's profitability. Capital adequacy measured by debt equity ratio (DER) and non-performing loans (NPL), asset quality measured by return on assets (ROA), management will be measured by cost per income, earnings measured by return on equity (ROE) and liquidity measured by interest expense and deposit. Methodology: The samples were 114 samples (from 10 bank in Malaysia and 9 bank in Indonesia) since 2010-2015. This analysis used descriptive method and multiple regression analysis, the result of this research indicated that banking profitability have a good performance based on CAMEL analysis. Findings: From the results of regression, the CAMEL analysis has a significant relationship to the bank profitability Practical Implications: The study demonstrated the use of CAMEL analysis to measure bank profitability. If bank performance declining through the CAMEL analysis so the Bank should make a decision to make a better performance changes of banking. Social Implications: This study was about the importance of camel analysis measuring the performance banking. CAMEL analysis detected the decrease in performance in any business sector. Originality/Value: This analysis adapted and adopted the study conducted by Sahut and Mili (2011), but this study focused only on the comparative performance between conventional and Islamic banking between Malaysia and Indonesia. Research Limitations/Implications: Comparison of CAMEL analysis focused on two countries between Malaysia and Indonesia (it also involves the comparative analysis of conventional and Islamic bank) to gain the profitability of banking, ROI with short period since 2010 until 2015", "author" : [ { "dropping-particle" : "", "family" : "Munir", "given" : "Badrul", "non-dropping-particle" : "", "parse-names" : false, "suffix" : "" }, { "dropping-particle" : "", "family" : "Salwa", "given" : "Ummi", "non-dropping-particle" : "", "parse-names" : false, "suffix" : "" }, { "dropping-particle" : "", "family" : "Bustamam", "given" : "Ahmad", "non-dropping-particle" : "", "parse-names" : false, "suffix" : "" } ], "container-title" : "International Journal of Management, Innovation &amp; Entrepreneurial Research", "id" : "ITEM-1", "issue" : "1", "issued" : { "date-parts" : [ [ "2017" ] ] }, "page" : "30-39", "title" : "Camel Ratio on Profitability Banking Performance (Malaysia Versus Indonesia)", "type" : "article-journal", "volume" : "3" }, "uris" : [ "http://www.mendeley.com/documents/?uuid=6d3928a4-0fdb-4745-b59b-d49e6c9673af" ] } ], "mendeley" : { "formattedCitation" : "(Munir et al., 2017)", "plainTextFormattedCitation" : "(Munir et al., 2017)", "previouslyFormattedCitation" : "(Munir et al., 2017)" }, "properties" : { "noteIndex" : 7 }, "schema" : "https://github.com/citation-style-language/schema/raw/master/csl-citation.json" }</w:instrText>
      </w:r>
      <w:r w:rsidR="00C86557">
        <w:rPr>
          <w:rFonts w:ascii="Times New Roman" w:hAnsi="Times New Roman"/>
          <w:sz w:val="24"/>
          <w:szCs w:val="24"/>
        </w:rPr>
        <w:fldChar w:fldCharType="separate"/>
      </w:r>
      <w:r w:rsidRPr="007544C9">
        <w:rPr>
          <w:rFonts w:ascii="Times New Roman" w:hAnsi="Times New Roman"/>
          <w:noProof/>
          <w:sz w:val="24"/>
          <w:szCs w:val="24"/>
        </w:rPr>
        <w:t>(Munir et al., 2017)</w:t>
      </w:r>
      <w:r w:rsidR="00C86557">
        <w:rPr>
          <w:rFonts w:ascii="Times New Roman" w:hAnsi="Times New Roman"/>
          <w:sz w:val="24"/>
          <w:szCs w:val="24"/>
        </w:rPr>
        <w:fldChar w:fldCharType="end"/>
      </w:r>
      <w:r w:rsidRPr="005D79B1">
        <w:rPr>
          <w:rFonts w:ascii="Times New Roman" w:hAnsi="Times New Roman"/>
          <w:b/>
          <w:sz w:val="24"/>
          <w:szCs w:val="24"/>
        </w:rPr>
        <w:t>;</w:t>
      </w:r>
      <w:r w:rsidR="00C86557">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"10.1108/IMEFM-12-2014-0120", "ISBN" : "1220140120", "abstract" : "Abstract Purpose \u2013 The purpose of this paper is to ascertain whether Islamic bank profitability is driven by same forces as those driving conventional banking in the Middle East and North Africa(MENA)region. Distinguished by its principles in conformity with sharia, Islamic banking is different from conventional banking, which is likely to affect profitability. Design/methodology/approach \u2013 The paper builds on a dynamic panel data model to identify the banks\u2019 specific determinants and the macroeconomic factors influencing the profitability of a large sample of 51 Islamic banks operating in the MENA region from 1994 to 2012. The system-generalized method of moment estimators are applied. Findings \u2013 The findings reveal that profitability is positively affected by banks\u2019 cost-effectiveness, asset quality and level of capitalization. The results also indicate that non-financing activities allow Islamic banks to earn higher profits. Islamic banks perform better in environments where the gross domestic product and investment are high. There is evidence of several elements of similarities between determinants of the profitability for Islamic and conventional banks. The inflation rate, however, is negatively associated with Islamic bank profitability. Practical Implications \u2013 The authors conclude that profitability determinants did not differ significantly between Islamic and conventional banks.Manyfactors are deemed the same in explaining the profitability of conventional as well as Islamic banks. The findings reported in the current paper might be of interest for policy makers. It is recommended to better implement non-financing activities to improve Islamic bank profitability. Originality/value \u2013 Unlike the previous empirical research, this empirical investigation assesses the issue whether Islamic banks profitability is influenced by same factors as conventional model. It enriches the literature in this regard by considering the specificities of Islamic banking to identify the determinants of profitability. Moreover, this study considers a large sample (51 Islamic banks) through a different selection of countries/banks than previous studies. In addition, the period of study considers the subprime crisis insofar it ranges from 1994 to 2012. Hence, this broader study allows the authors to draw more consistent conclusions", "author" : [ { "dropping-particle" : "", "family" : "Zarrouk", "given" : "Hajer", "non-dropping-particle" : "", "parse-names" : false, "suffix" : "" }, { "dropping-particle" : "Ben", "family" : "Jedidia", "given" : "Khoutem", "non-dropping-particle" : "", "parse-names" : false, "suffix" : "" }, { "dropping-particle" : "", "family" : "Moualhi", "given" : "Mouna", "non-dropping-particle" : "", "parse-names" : false, "suffix" : "" } ], "container-title" : "International Journal of Islamic and Middle Eastern Finance and Management", "id" : "ITEM-1", "issue" : "1", "issued" : { "date-parts" : [ [ "2016" ] ] }, "page" : "46-65", "title" : "Is Islamic bank profitability driven by same forces as conventional banks ?", "type" : "article-journal", "volume" : "9" }, "uris" : [ "http://www.mendeley.com/documents/?uuid=154d1a19-041c-4a7c-afda-8c66e6f61494" ] } ], "mendeley" : { "formattedCitation" : "(Zarrouk et al., 2016)", "plainTextFormattedCitation" : "(Zarrouk et al., 2016)", "previouslyFormattedCitation" : "(Zarrouk et al., 2016)" }, "properties" : { "noteIndex" : 7 }, "schema" : "https://github.com/citation-style-language/schema/raw/master/csl-citation.json" }</w:instrText>
      </w:r>
      <w:r w:rsidR="00C86557">
        <w:rPr>
          <w:rFonts w:ascii="Times New Roman" w:hAnsi="Times New Roman"/>
          <w:sz w:val="24"/>
          <w:szCs w:val="24"/>
        </w:rPr>
        <w:fldChar w:fldCharType="separate"/>
      </w:r>
      <w:r w:rsidRPr="007544C9">
        <w:rPr>
          <w:rFonts w:ascii="Times New Roman" w:hAnsi="Times New Roman"/>
          <w:noProof/>
          <w:sz w:val="24"/>
          <w:szCs w:val="24"/>
        </w:rPr>
        <w:t>(Zarrouk et al., 2016)</w:t>
      </w:r>
      <w:r w:rsidR="00C86557">
        <w:rPr>
          <w:rFonts w:ascii="Times New Roman" w:hAnsi="Times New Roman"/>
          <w:sz w:val="24"/>
          <w:szCs w:val="24"/>
        </w:rPr>
        <w:fldChar w:fldCharType="end"/>
      </w:r>
      <w:r>
        <w:rPr>
          <w:rFonts w:ascii="Times New Roman" w:hAnsi="Times New Roman"/>
          <w:sz w:val="24"/>
          <w:szCs w:val="24"/>
        </w:rPr>
        <w:t xml:space="preserve"> dan </w:t>
      </w:r>
      <w:r w:rsidR="00C86557">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"ISSN" : "09727302", "abstract" : "This study attempts to analyze the role of internal bank factors towards Islamic banks' performance in Indonesia during 2006-2013. For this purpose, this study uses panel data approach to estimate the empirical model. In this research, the random effects model is selected to explain the Islamic banks' profitability behaviour. The results present that all independent variables are good predictor for profitability which is measured by return on asset (ROA). The model shows that net profit margin and financing deposit ratio are significant predictors for Islamic banks' financial performance. In contrast, non-performing financing and operating efficiency have negative impact to return on asset. In addition, this study indicates that capital adequacy ratio has negative correlation with profitability. It is evident from regression model that the Islamic banks' profitability strongly depends on the profit margin and funds mobilization. Moreover, increasing in non-performing financing and operating expenses will reduce their profit. These results indicate that Islamic banking industry in Indonesia has not well developed. This study also reveals that the Islamic banks in Indonesia are probably facing losses in recent years. Islamic banks need to invite more funds from depositors and to mobilize their financing into more various business sectors. Islamic banks need to strengthen their risk management frameworks and to ensure their financing stability within the market.", "author" : [ { "dropping-particle" : "", "family" : "Sriyana", "given" : "Jaka", "non-dropping-particle" : "", "parse-names" : false, "suffix" : "" } ], "container-title" : "International Journal of Applied Business and Economic Research", "id" : "ITEM-1", "issue" : "4", "issued" : { "date-parts" : [ [ "2015" ] ] }, "page" : "1695-1710", "title" : "Islamic banks' profitability amid the competitive financing in Indonesia", "type" : "article-journal", "volume" : "13" }, "uris" : [ "http://www.mendeley.com/documents/?uuid=7f45e908-39de-4bc8-9ed0-b095e989ad28" ] } ], "mendeley" : { "formattedCitation" : "(Sriyana, 2015)", "plainTextFormattedCitation" : "(Sriyana, 2015)", "previouslyFormattedCitation" : "(Sriyana, 2015)" }, "properties" : { "noteIndex" : 7 }, "schema" : "https://github.com/citation-style-language/schema/raw/master/csl-citation.json" }</w:instrText>
      </w:r>
      <w:r w:rsidR="00C86557">
        <w:rPr>
          <w:rFonts w:ascii="Times New Roman" w:hAnsi="Times New Roman"/>
          <w:sz w:val="24"/>
          <w:szCs w:val="24"/>
        </w:rPr>
        <w:fldChar w:fldCharType="separate"/>
      </w:r>
      <w:r w:rsidRPr="007544C9">
        <w:rPr>
          <w:rFonts w:ascii="Times New Roman" w:hAnsi="Times New Roman"/>
          <w:noProof/>
          <w:sz w:val="24"/>
          <w:szCs w:val="24"/>
        </w:rPr>
        <w:t>(Sriyana, 2015)</w:t>
      </w:r>
      <w:r w:rsidR="00C86557">
        <w:rPr>
          <w:rFonts w:ascii="Times New Roman" w:hAnsi="Times New Roman"/>
          <w:sz w:val="24"/>
          <w:szCs w:val="24"/>
        </w:rPr>
        <w:fldChar w:fldCharType="end"/>
      </w:r>
      <w:r>
        <w:rPr>
          <w:rFonts w:ascii="Times New Roman" w:hAnsi="Times New Roman"/>
          <w:sz w:val="24"/>
          <w:szCs w:val="24"/>
        </w:rPr>
        <w:t>.</w:t>
      </w:r>
    </w:p>
    <w:p w:rsidR="00FD44D7" w:rsidRDefault="00FD44D7" w:rsidP="00FD44D7">
      <w:pPr>
        <w:spacing w:before="120" w:after="120"/>
        <w:jc w:val="both"/>
        <w:rPr>
          <w:rFonts w:ascii="Times New Roman" w:hAnsi="Times New Roman"/>
          <w:sz w:val="24"/>
          <w:szCs w:val="24"/>
        </w:rPr>
        <w:sectPr w:rsidR="00FD44D7" w:rsidSect="00FD44D7">
          <w:type w:val="continuous"/>
          <w:pgSz w:w="11906" w:h="16838"/>
          <w:pgMar w:top="1411" w:right="1282" w:bottom="1411" w:left="1282" w:header="706" w:footer="706" w:gutter="0"/>
          <w:cols w:num="2" w:space="386"/>
        </w:sectPr>
      </w:pPr>
      <w:r w:rsidRPr="0045555A">
        <w:rPr>
          <w:rFonts w:ascii="Times New Roman" w:hAnsi="Times New Roman"/>
          <w:sz w:val="24"/>
          <w:szCs w:val="24"/>
        </w:rPr>
        <w:t xml:space="preserve">Ukuran perusahaan menggambarkan kekuatan perusahaan, dan ukuran perusahaan cenderung menghasilkan profitabilitas yang tinggi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"10.2307/1926642", "ISBN" : "0034-6535", "ISSN" : "0034-6535", "abstract" : "JSTOR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"author" : [ { "dropping-particle" : "", "family" : "Hall", "given" : "Marshall", "non-dropping-particle" : "", "parse-names" : false, "suffix" : "" }, { "dropping-particle" : "", "family" : "Weiss", "given" : "Leonard", "non-dropping-particle" : "", "parse-names" : false, "suffix" : "" } ], "container-title" : "Source: The Review of Economics and Statistics", "id" : "ITEM-1", "issue" : "3", "issued" : { "date-parts" : [ [ "1967" ] ] }, "page" : "319-331", "title" : "Firm Size and Profitability", "type" : "article-journal", "volume" : "49" }, "uris" : [ "http://www.mendeley.com/documents/?uuid=1231a773-8dcb-4ffa-9d91-9a034938237c" ] } ], "mendeley" : { "formattedCitation" : "(Hall and Weiss, 1967)", "plainTextFormattedCitation" : "(Hall and Weiss, 1967)", "previouslyFormattedCitation" : "(Hall and Weiss, 1967)"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 xml:space="preserve">(Hall </w:t>
      </w:r>
      <w:r w:rsidRPr="007544C9">
        <w:rPr>
          <w:rFonts w:ascii="Times New Roman" w:hAnsi="Times New Roman"/>
          <w:noProof/>
          <w:sz w:val="24"/>
          <w:szCs w:val="24"/>
        </w:rPr>
        <w:t>and Weiss, 1967)</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Hasil studi yang ditampilkan table 4, menunjukan ukuran perusahaan berpengaruh negatif terhadap profitabilitas. Studi ini bertolak belakang dengan studi yang dilakukan,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"10.3366/edinburgh/9780748621002.003.0008", "ISBN" : "9788578110796", "ISSN" : "1098-6596", "PMID" : "25246403", "abstract" : "The paper analyzes how bank characteristics and the overall financial environment affect the performance of Islamic banks. Utilizing bank level data, the study examines the performance indicators of Islamic banks\u2019 worldwide during 1994-2001. A variety of internal and external banking characteristics were used to predict profitability and efficiency. In general, our analysis of determinants of Islamic bank profitability confirms previous findings. Controlling for macroeconomic environment, financial market structure, and taxation, the results indicate that high capital and loan-to-asset ratios lead to higher profitability. Everything remaining equal, the regression results show that implicit and explicit taxes affect the bank performance measures negatively while favorable macroeconomic conditions impact performance measures positively. Surprisingly, the results indicate a strong positive correlation between profitability and overhead", "author" : [ { "dropping-particle" : "", "family" : "Hassan", "given" : "M. Kabir", "non-dropping-particle" : "", "parse-names" : false, "suffix" : "" }, { "dropping-particle" : "", "family" : "Bashir", "given" : "Abdel-Hameed M.", "non-dropping-particle" : "", "parse-names" : false, "suffix" : "" } ], "container-title" : "Islamic Perspectives on Wealth Creation", "id" : "ITEM-1", "issue" : "June", "issued" : { "date-parts" : [ [ "2005", "5", "27" ] ] }, "page" : "118-140", "publisher" : "Edinburgh University Press", "title" : "Determinants of Islamic Banking Profitability", "type" : "chapter", "volume" : "7" }, "uris" : [ "http://www.mendeley.com/documents/?uuid=f6c30ea5-9823-49b4-987e-4500a0fc6973" ] } ], "mendeley" : { "formattedCitation" : "(Hassan and Bashir, 2005)", "plainTextFormattedCitation" : "(Hassan and Bashir, 2005)", "previouslyFormattedCitation" : "(Hassan and Bashir, 2005)" }, "properties" : { "noteIndex" : 2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(Hassan and Bashir, 2005)</w:t>
      </w:r>
      <w:r w:rsidR="00C86557" w:rsidRPr="0045555A">
        <w:rPr>
          <w:rFonts w:ascii="Times New Roman" w:hAnsi="Times New Roman"/>
          <w:sz w:val="24"/>
          <w:szCs w:val="24"/>
        </w:rPr>
        <w:fldChar w:fldCharType="end"/>
      </w:r>
      <w:r>
        <w:rPr>
          <w:rFonts w:ascii="Times New Roman" w:hAnsi="Times New Roman"/>
          <w:sz w:val="24"/>
          <w:szCs w:val="24"/>
        </w:rPr>
        <w:t>,</w:t>
      </w:r>
      <w:r w:rsidR="00C86557" w:rsidRPr="0042642B">
        <w:rPr>
          <w:rFonts w:ascii="Book Antiqua" w:hAnsi="Book Antiqua"/>
          <w:sz w:val="24"/>
          <w:szCs w:val="24"/>
        </w:rPr>
        <w:fldChar w:fldCharType="begin" w:fldLock="1"/>
      </w:r>
      <w:r w:rsidRPr="0042642B">
        <w:rPr>
          <w:rFonts w:ascii="Book Antiqua" w:hAnsi="Book Antiqua"/>
          <w:sz w:val="24"/>
          <w:szCs w:val="24"/>
        </w:rPr>
        <w:instrText>ADDIN CSL_CITATION { "citationItems" : [ { "id" : "ITEM-1", "itemData" : { "DOI" : "https://doi.org/10.1108/IMEFM-12-2015-0161", "abstract" : "Purpose The purpose of this paper was to investigate the determinants of Islamic banks\u2019 profitability using longitudinal data from 1992 to 2008 of almost all Islamic banks in the world. Design/methodology/approach An unbalanced panel data fixed-effects regression model was used. Findings The results of the study indicate that equity, other operating income, GDP per capita, bank size, concentration, and oil prices affected Islamic banks positively. Insurance schemes, foreign ownership, and real GDP growth affected Islamic banks negatively. Research limitations/implications This study did not include data beyond 2008 (the financial crisis), which can be considered a limitation to this study. However, evidence suggests that including data beyond 2008 would not have changed the outcome of the study.1 Originality/value The paper adds to the literature on the determinants of Islamic banks\u2019 profitability for the reasons mentioned above. In addition, this study used a purified sample of Islamic banks (see the Data section for details). Furthermore, to my knowledge, this is the first time deposit insurance has been included in a study related to Islamic banks\u2019 profitability.", "author" : [ { "dropping-particle" : "", "family" : "Alharbi", "given" : "Ahmad Thabet", "non-dropping-particle" : "", "parse-names" : false, "suffix" : "" } ], "container-title" : "International Journal of Islamic and Middle Eastern Finance and Management", "id" : "ITEM-1", "issued" : { "date-parts" : [ [ "2015" ] ] }, "page" : "1-21", "title" : "Determinants of Islamic banks profitability : international evidence", "type" : "article-journal" }, "uris" : [ "http://www.mendeley.com/documents/?uuid=ce903010-410e-4e74-9faf-dfa11b6d2942" ] } ], "mendeley" : { "formattedCitation" : "(Alharbi, 2015)", "plainTextFormattedCitation" : "(Alharbi, 2015)", "previouslyFormattedCitation" : "(Alharbi, 2015)" }, "properties" : { "noteIndex" : 2 }, "schema" : "https://github.com/citation-style-language/schema/raw/master/csl-citation.json" }</w:instrText>
      </w:r>
      <w:r w:rsidR="00C86557" w:rsidRPr="0042642B">
        <w:rPr>
          <w:rFonts w:ascii="Book Antiqua" w:hAnsi="Book Antiqua"/>
          <w:sz w:val="24"/>
          <w:szCs w:val="24"/>
        </w:rPr>
        <w:fldChar w:fldCharType="separate"/>
      </w:r>
      <w:r w:rsidRPr="0042642B">
        <w:rPr>
          <w:rFonts w:ascii="Book Antiqua" w:hAnsi="Book Antiqua"/>
          <w:noProof/>
          <w:sz w:val="24"/>
          <w:szCs w:val="24"/>
        </w:rPr>
        <w:t>(Alharbi, 2015)</w:t>
      </w:r>
      <w:r w:rsidR="00C86557" w:rsidRPr="0042642B">
        <w:rPr>
          <w:rFonts w:ascii="Book Antiqua" w:hAnsi="Book Antiqua"/>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sidRPr="0045555A">
        <w:rPr>
          <w:rFonts w:ascii="Times New Roman" w:hAnsi="Times New Roman"/>
          <w:sz w:val="24"/>
          <w:szCs w:val="24"/>
        </w:rPr>
        <w:instrText>ADDIN CSL_CITATION { "citationItems" : [ { "id" : "ITEM-1", "itemData" : { "DOI" : "10.1017/CBO9781107415324.004", "ISBN" : "9788578110796", "ISSN" : "1098-6596", "PMID" : "25246403", "abstract" : "This study aims to investigate the determinants of efficiency, profitability and stability in the banking sector across the world over the period 2005-2012. In this study, efficiency is measured using data envelopment analysis (DEA), which is divided into technical efficiency (TE), pure technical efficiency (PTE), and scale efficiency (SE). The profitability is represented by return on assets (ROA), return on equity (ROE), and net interest margin (NIM). Furthermore, the z-score and capital ratios are the main indicators for stability. The data includes 323 banks (43 Islamic, 242 conventional, and 38 socially responsible banks [SRBs]) from around the world, covering 37 countries. The statistical methods to find the determinants are ordinary least square (OLS) and fixed effects model (FEM). The data for this study was extracted from the Bankscope and World Bank databases.", "author" : [ { "dropping-particle" : "", "family" : "Alharthi", "given" : "Majed", "non-dropping-particle" : "", "parse-names" : false, "suffix" : "" } ], "id" : "ITEM-1", "issued" : { "date-parts" : [ [ "2016" ] ] }, "number-of-pages" : "0-349", "publisher" : "Plymouth University, Plymouth", "title" : "The Determinants of Efficiency, Profitability and Stability in the Banking Sector: A Comparative Study of Islamic, Conventional and Socially Responsible Banks", "type" : "thesis" }, "uris" : [ "http://www.mendeley.com/documents/?uuid=88b1d50e-2236-4f36-ac70-8cda4eba7950" ] } ], "mendeley" : { "formattedCitation" : "(Alharthi, 2016)", "plainTextFormattedCitation" : "(Alharthi, 2016)", "previouslyFormattedCitation" : "(Alharthi, 2016)" }, "properties" : { "noteIndex" : 2 }, "schema" : "https://github.com/citation-style-language/schema/raw/master/csl-citation.json" }</w:instrText>
      </w:r>
      <w:r w:rsidR="00C86557" w:rsidRPr="0045555A">
        <w:rPr>
          <w:rFonts w:ascii="Times New Roman" w:hAnsi="Times New Roman"/>
          <w:sz w:val="24"/>
          <w:szCs w:val="24"/>
        </w:rPr>
        <w:fldChar w:fldCharType="separate"/>
      </w:r>
      <w:r w:rsidRPr="0045555A">
        <w:rPr>
          <w:rFonts w:ascii="Times New Roman" w:hAnsi="Times New Roman"/>
          <w:noProof/>
          <w:sz w:val="24"/>
          <w:szCs w:val="24"/>
        </w:rPr>
        <w:t>(Alharthi, 2016)</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"10.1016/j.ribaf.2017.07.113", "ISSN" : "0275-5319", "abstract" : "The aim of this paper is to investigate the determinants and the joint relationship between capital, risk and liquidity of conventional and Islamic banks. Particularly, we focus on the impact of financial and political instabilities on the risk-taking behavior of conventional and Islamic banks. Using the simultaneous equation model with partial adjustment, we find a positive bidirectional relationship between capital and risk of Islamic banks. Moreover, results highlight the risky aspect of this category of banks mainly caused by the type of contracts put in practice, obeying Sharia principles, such as Moudharaba and Moucharaka contracts. Also, changes in liquidity affect positively risk within Islamic and conventional banks, suggesting that both types of banks, by accumulating liquid assets; tend to have relatively riskier portfolios. Moreover, we find a significant impact of the Global financial crisis on the capital, risk and liquidity of conventional and Islamic banks.", "author" : [ { "dropping-particle" : "", "family" : "Ben", "given" : "Ines", "non-dropping-particle" : "", "parse-names" : false, "suffix" : "" }, { "dropping-particle" : "", "family" : "Mahdi", "given" : "Salah", "non-dropping-particle" : "", "parse-names" : false, "suffix" : "" }, { "dropping-particle" : "", "family" : "Abbes", "given" : "Mouna Boujelbene", "non-dropping-particle" : "", "parse-names" : false, "suffix" : "" } ], "container-title" : "Research in International Business and Finance", "id" : "ITEM-1", "issued" : { "date-parts" : [ [ "2017" ] ] }, "page" : "1-21", "publisher" : "Elsevier B.V.", "title" : "Relationship between Capital , Risk and Liquidity A comparative study between Islamic and conventional banks in MENA region", "type" : "article-journal" }, "uris" : [ "http://www.mendeley.com/documents/?uuid=391058f0-12ce-45f7-84c4-85f403defb58" ] } ], "mendeley" : { "formattedCitation" : "(Ben et al., 2017)", "plainTextFormattedCitation" : "(Ben et al., 2017)", "previouslyFormattedCitation" : "(Ben et al., 2017)"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(Ben et al., 2017)</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dimana bank size berpengaruh positive terhadap profitabilitas. Pengaruh negative ini menunjukan bahwa bank besar (kecil) cenderung untuk mendapatkan profit besar (kecil), studi ini menemukan bahwa bank syariah di Indonesia adalah bank dengan asset yang kecil, kecilnya asset ini linier dengan tingkat profitabilitas perusahaaan, temuan ini juga bisa disebabkan oleh factor birokrasi, kondisi ekonomi, politik dan regulasi di Indonesia yang kurang mendukung perkembangan bank syariah dan factor-faktor penyebab lainnya.  Hasil  studi mendukung hasil studi sebelumnya yang dilakukan oleh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"The present paper seeks to examine the determinants of Philippines banks profitability during the period 1990\u20132005. The empirical findings suggest that all the bank-specific determinant variables have a statistically significantly impact on bank profitability. The empirical findings suggest that size, credit risk, and expense preference behaviour are negatively related to banks' profitability, while non-interest income and capitalisation have a positive impact. During the period under study, the results suggest that inflation has a negative impact on bank profitability, while the impact of economic growth, money supply, and stock market capitalisation have not significantly explained the variations in the profitability of the Philippines banks", "author" : [ { "dropping-particle" : "", "family" : "Sufian", "given" : "Fadzlan", "non-dropping-particle" : "", "parse-names" : false, "suffix" : "" }, { "dropping-particle" : "", "family" : "Chong", "given" : "Royfaizal Razali", "non-dropping-particle" : "", "parse-names" : false, "suffix" : "" } ], "container-title" : "Asian Academy of Management Journal of Accounting And Finance", "id" : "ITEM-1", "issue" : "2", "issued" : { "date-parts" : [ [ "2008" ] ] }, "page" : "91-112", "title" : "Determinants of bank profitability in a developing economy: PHILIPPINES", "type" : "article-journal", "volume" : "4" }, "uris" : [ "http://www.mendeley.com/documents/?uuid=d67f8eaf-73cb-40cb-a4f7-2ae15f889fbe" ] } ], "mendeley" : { "formattedCitation" : "(Sufian and Chong, 2008)", "plainTextFormattedCitation" : "(Sufian and Chong, 2008)", "previouslyFormattedCitation" : "(Sufian and Chong, 2008)"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(Sufian and Chong, 2008)</w:t>
      </w:r>
      <w:r w:rsidR="00C86557" w:rsidRPr="0045555A">
        <w:rPr>
          <w:rFonts w:ascii="Times New Roman" w:hAnsi="Times New Roman"/>
          <w:sz w:val="24"/>
          <w:szCs w:val="24"/>
        </w:rPr>
        <w:fldChar w:fldCharType="end"/>
      </w:r>
      <w:r w:rsidRPr="0045555A">
        <w:rPr>
          <w:rFonts w:ascii="Times New Roman" w:hAnsi="Times New Roman"/>
          <w:sz w:val="24"/>
          <w:szCs w:val="24"/>
        </w:rPr>
        <w:t xml:space="preserve">, </w:t>
      </w:r>
      <w:r w:rsidR="00C86557" w:rsidRPr="0045555A">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"10.3846/1611-1699.2009.10.207-217", "ISSN" : "1611-1699", "abstract" : "This study seeks to examine the performance of 37 Bangladeshi commercial banks between 1997 and 2004. The empirical findings of this study suggest that bank specific characteristics, in particular loans intensity, credit risk, and cost have positive and significant impacts on bank performance, while non-interest income exhibits negative relationship with bank profitability. During the period under study the results suggest that the impact of size is not uniform across the various measures employed. The empirical findings suggest that size has a negative impact on return on average equity (ROAE), while the opposite is true for return on average assets (ROAA) and net interest margins (NIM). As for the impact of mac roeconomic indicators, we conclude that the variables have no significant impact on bank profitability, except for inflation which has a negative relationship with Bangladeshi banks profitability.", "author" : [ { "dropping-particle" : "", "family" : "Sufian", "given" : "Fadzlan", "non-dropping-particle" : "", "parse-names" : false, "suffix" : "" }, { "dropping-particle" : "", "family" : "Habibullah", "given" : "Muzafar Shah", "non-dropping-particle" : "", "parse-names" : false, "suffix" : "" } ], "container-title" : "Journal of Business Economics and Management", "id" : "ITEM-1", "issue" : "3", "issued" : { "date-parts" : [ [ "2009" ] ] }, "page" : "207-217", "title" : "Determinants of bank profitability in a developing economy: Empirical evidence from Bangladesh", "type" : "article-journal", "volume" : "10" }, "uris" : [ "http://www.mendeley.com/documents/?uuid=3fb2ff1b-3b13-48c3-96db-8d7ceeef5aa4" ] } ], "mendeley" : { "formattedCitation" : "(Sufian and Habibullah, 2009)", "plainTextFormattedCitation" : "(Sufian and Habibullah, 2009)", "previouslyFormattedCitation" : "(Sufian and Habibullah, 2009)" }, "properties" : { "noteIndex" : 0 }, "schema" : "https://github.com/citation-style-language/schema/raw/master/csl-citation.json" }</w:instrText>
      </w:r>
      <w:r w:rsidR="00C86557" w:rsidRPr="0045555A">
        <w:rPr>
          <w:rFonts w:ascii="Times New Roman" w:hAnsi="Times New Roman"/>
          <w:sz w:val="24"/>
          <w:szCs w:val="24"/>
        </w:rPr>
        <w:fldChar w:fldCharType="separate"/>
      </w:r>
      <w:r w:rsidRPr="007544C9">
        <w:rPr>
          <w:rFonts w:ascii="Times New Roman" w:hAnsi="Times New Roman"/>
          <w:noProof/>
          <w:sz w:val="24"/>
          <w:szCs w:val="24"/>
        </w:rPr>
        <w:t>(Sufian and Habibullah, 2009)</w:t>
      </w:r>
      <w:r w:rsidR="00C86557" w:rsidRPr="0045555A">
        <w:rPr>
          <w:rFonts w:ascii="Times New Roman" w:hAnsi="Times New Roman"/>
          <w:sz w:val="24"/>
          <w:szCs w:val="24"/>
        </w:rPr>
        <w:fldChar w:fldCharType="end"/>
      </w:r>
    </w:p>
    <w:p w:rsidR="00FD44D7" w:rsidRDefault="00FD44D7" w:rsidP="00FD44D7">
      <w:pPr>
        <w:spacing w:before="120" w:after="120"/>
        <w:jc w:val="both"/>
        <w:rPr>
          <w:rFonts w:ascii="Times New Roman" w:hAnsi="Times New Roman"/>
          <w:sz w:val="24"/>
          <w:szCs w:val="24"/>
        </w:rPr>
      </w:pPr>
    </w:p>
    <w:tbl>
      <w:tblPr>
        <w:tblStyle w:val="TableGrid2"/>
        <w:tblpPr w:leftFromText="180" w:rightFromText="180" w:vertAnchor="text" w:horzAnchor="margin" w:tblpY="817"/>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350"/>
        <w:gridCol w:w="1260"/>
        <w:gridCol w:w="2078"/>
        <w:gridCol w:w="1252"/>
        <w:gridCol w:w="1125"/>
      </w:tblGrid>
      <w:tr w:rsidR="00FD44D7" w:rsidRPr="000158C6" w:rsidTr="00FD44D7">
        <w:trPr>
          <w:trHeight w:val="167"/>
        </w:trPr>
        <w:tc>
          <w:tcPr>
            <w:tcW w:w="9315" w:type="dxa"/>
            <w:gridSpan w:val="6"/>
            <w:tcBorders>
              <w:bottom w:val="single" w:sz="4" w:space="0" w:color="auto"/>
            </w:tcBorders>
          </w:tcPr>
          <w:p w:rsidR="00FD44D7" w:rsidRPr="00FD44D7" w:rsidRDefault="00FD44D7" w:rsidP="00FD44D7">
            <w:pPr>
              <w:jc w:val="center"/>
              <w:rPr>
                <w:rFonts w:ascii="Times New Roman" w:hAnsi="Times New Roman"/>
                <w:bCs/>
                <w:sz w:val="24"/>
                <w:szCs w:val="24"/>
                <w:lang w:val="id-ID"/>
              </w:rPr>
            </w:pPr>
            <w:r w:rsidRPr="00FD44D7">
              <w:rPr>
                <w:rFonts w:ascii="Times New Roman" w:hAnsi="Times New Roman"/>
                <w:bCs/>
                <w:sz w:val="24"/>
                <w:szCs w:val="24"/>
                <w:lang w:val="id-ID"/>
              </w:rPr>
              <w:lastRenderedPageBreak/>
              <w:t>Tabel 4. Analisis Regresi</w:t>
            </w:r>
          </w:p>
          <w:p w:rsidR="00FD44D7" w:rsidRPr="000158C6" w:rsidRDefault="00FD44D7" w:rsidP="00FD44D7">
            <w:pPr>
              <w:jc w:val="center"/>
              <w:rPr>
                <w:rFonts w:ascii="Times New Roman" w:hAnsi="Times New Roman"/>
                <w:sz w:val="24"/>
                <w:szCs w:val="24"/>
              </w:rPr>
            </w:pPr>
            <w:proofErr w:type="spellStart"/>
            <w:r w:rsidRPr="000158C6">
              <w:rPr>
                <w:rFonts w:ascii="Times New Roman" w:hAnsi="Times New Roman"/>
                <w:b/>
                <w:bCs/>
                <w:sz w:val="24"/>
                <w:szCs w:val="24"/>
              </w:rPr>
              <w:t>Coefficients</w:t>
            </w:r>
            <w:r w:rsidRPr="000158C6">
              <w:rPr>
                <w:rFonts w:ascii="Times New Roman" w:hAnsi="Times New Roman"/>
                <w:b/>
                <w:bCs/>
                <w:sz w:val="24"/>
                <w:szCs w:val="24"/>
                <w:vertAlign w:val="superscript"/>
              </w:rPr>
              <w:t>a</w:t>
            </w:r>
            <w:proofErr w:type="spellEnd"/>
          </w:p>
        </w:tc>
      </w:tr>
      <w:tr w:rsidR="00FD44D7" w:rsidRPr="000158C6" w:rsidTr="00FD44D7">
        <w:trPr>
          <w:trHeight w:val="361"/>
        </w:trPr>
        <w:tc>
          <w:tcPr>
            <w:tcW w:w="2250" w:type="dxa"/>
          </w:tcPr>
          <w:p w:rsidR="00FD44D7" w:rsidRPr="000158C6" w:rsidRDefault="00FD44D7" w:rsidP="00FD44D7">
            <w:pPr>
              <w:rPr>
                <w:rFonts w:ascii="Times New Roman" w:hAnsi="Times New Roman"/>
                <w:b/>
                <w:sz w:val="24"/>
                <w:szCs w:val="24"/>
              </w:rPr>
            </w:pPr>
            <w:r w:rsidRPr="000158C6">
              <w:rPr>
                <w:rFonts w:ascii="Times New Roman" w:hAnsi="Times New Roman"/>
                <w:b/>
                <w:sz w:val="24"/>
                <w:szCs w:val="24"/>
              </w:rPr>
              <w:t>Model</w:t>
            </w:r>
          </w:p>
        </w:tc>
        <w:tc>
          <w:tcPr>
            <w:tcW w:w="2610" w:type="dxa"/>
            <w:gridSpan w:val="2"/>
            <w:tcBorders>
              <w:top w:val="single" w:sz="4" w:space="0" w:color="auto"/>
              <w:bottom w:val="single" w:sz="4" w:space="0" w:color="auto"/>
            </w:tcBorders>
          </w:tcPr>
          <w:p w:rsidR="00FD44D7" w:rsidRPr="000158C6" w:rsidRDefault="00FD44D7" w:rsidP="00FD44D7">
            <w:pPr>
              <w:rPr>
                <w:rFonts w:ascii="Times New Roman" w:hAnsi="Times New Roman"/>
                <w:b/>
                <w:sz w:val="24"/>
                <w:szCs w:val="24"/>
              </w:rPr>
            </w:pPr>
            <w:r w:rsidRPr="000158C6">
              <w:rPr>
                <w:rFonts w:ascii="Times New Roman" w:hAnsi="Times New Roman"/>
                <w:b/>
                <w:sz w:val="24"/>
                <w:szCs w:val="24"/>
              </w:rPr>
              <w:t>Unstandardized Coefficients</w:t>
            </w:r>
          </w:p>
        </w:tc>
        <w:tc>
          <w:tcPr>
            <w:tcW w:w="2078" w:type="dxa"/>
            <w:tcBorders>
              <w:top w:val="single" w:sz="4" w:space="0" w:color="auto"/>
              <w:bottom w:val="single" w:sz="4" w:space="0" w:color="auto"/>
            </w:tcBorders>
          </w:tcPr>
          <w:p w:rsidR="00FD44D7" w:rsidRPr="000158C6" w:rsidRDefault="00FD44D7" w:rsidP="00FD44D7">
            <w:pPr>
              <w:rPr>
                <w:rFonts w:ascii="Times New Roman" w:hAnsi="Times New Roman"/>
                <w:b/>
                <w:sz w:val="24"/>
                <w:szCs w:val="24"/>
              </w:rPr>
            </w:pPr>
            <w:r w:rsidRPr="000158C6">
              <w:rPr>
                <w:rFonts w:ascii="Times New Roman" w:hAnsi="Times New Roman"/>
                <w:b/>
                <w:sz w:val="24"/>
                <w:szCs w:val="24"/>
              </w:rPr>
              <w:t>Standardized</w:t>
            </w:r>
          </w:p>
          <w:p w:rsidR="00FD44D7" w:rsidRPr="000158C6" w:rsidRDefault="00FD44D7" w:rsidP="00FD44D7">
            <w:pPr>
              <w:rPr>
                <w:rFonts w:ascii="Times New Roman" w:hAnsi="Times New Roman"/>
                <w:b/>
                <w:sz w:val="24"/>
                <w:szCs w:val="24"/>
              </w:rPr>
            </w:pPr>
            <w:r w:rsidRPr="000158C6">
              <w:rPr>
                <w:rFonts w:ascii="Times New Roman" w:hAnsi="Times New Roman"/>
                <w:b/>
                <w:sz w:val="24"/>
                <w:szCs w:val="24"/>
              </w:rPr>
              <w:t>Coefficients</w:t>
            </w:r>
          </w:p>
        </w:tc>
        <w:tc>
          <w:tcPr>
            <w:tcW w:w="1252" w:type="dxa"/>
            <w:tcBorders>
              <w:top w:val="single" w:sz="4" w:space="0" w:color="auto"/>
              <w:bottom w:val="single" w:sz="4" w:space="0" w:color="auto"/>
            </w:tcBorders>
          </w:tcPr>
          <w:p w:rsidR="00FD44D7" w:rsidRPr="000158C6" w:rsidRDefault="00FD44D7" w:rsidP="00FD44D7">
            <w:pPr>
              <w:rPr>
                <w:rFonts w:ascii="Times New Roman" w:hAnsi="Times New Roman"/>
                <w:sz w:val="24"/>
                <w:szCs w:val="24"/>
              </w:rPr>
            </w:pPr>
          </w:p>
        </w:tc>
        <w:tc>
          <w:tcPr>
            <w:tcW w:w="1125" w:type="dxa"/>
            <w:tcBorders>
              <w:top w:val="single" w:sz="4" w:space="0" w:color="auto"/>
              <w:bottom w:val="single" w:sz="4" w:space="0" w:color="auto"/>
            </w:tcBorders>
          </w:tcPr>
          <w:p w:rsidR="00FD44D7" w:rsidRPr="000158C6" w:rsidRDefault="00FD44D7" w:rsidP="00FD44D7">
            <w:pPr>
              <w:rPr>
                <w:rFonts w:ascii="Times New Roman" w:hAnsi="Times New Roman"/>
                <w:sz w:val="24"/>
                <w:szCs w:val="24"/>
              </w:rPr>
            </w:pPr>
          </w:p>
        </w:tc>
      </w:tr>
      <w:tr w:rsidR="00FD44D7" w:rsidRPr="000158C6" w:rsidTr="00FD44D7">
        <w:trPr>
          <w:trHeight w:val="251"/>
        </w:trPr>
        <w:tc>
          <w:tcPr>
            <w:tcW w:w="2250" w:type="dxa"/>
            <w:tcBorders>
              <w:bottom w:val="single" w:sz="4" w:space="0" w:color="auto"/>
            </w:tcBorders>
          </w:tcPr>
          <w:p w:rsidR="00FD44D7" w:rsidRPr="000158C6" w:rsidRDefault="00FD44D7" w:rsidP="00FD44D7">
            <w:pPr>
              <w:rPr>
                <w:rFonts w:ascii="Times New Roman" w:hAnsi="Times New Roman"/>
                <w:sz w:val="24"/>
                <w:szCs w:val="24"/>
              </w:rPr>
            </w:pPr>
          </w:p>
        </w:tc>
        <w:tc>
          <w:tcPr>
            <w:tcW w:w="1350" w:type="dxa"/>
            <w:tcBorders>
              <w:top w:val="single" w:sz="4" w:space="0" w:color="auto"/>
              <w:bottom w:val="single" w:sz="4" w:space="0" w:color="auto"/>
            </w:tcBorders>
            <w:vAlign w:val="center"/>
          </w:tcPr>
          <w:p w:rsidR="00FD44D7" w:rsidRPr="000158C6" w:rsidRDefault="00FD44D7" w:rsidP="00FD44D7">
            <w:pPr>
              <w:rPr>
                <w:rFonts w:ascii="Times New Roman" w:hAnsi="Times New Roman"/>
                <w:sz w:val="24"/>
                <w:szCs w:val="24"/>
              </w:rPr>
            </w:pPr>
            <w:r w:rsidRPr="000158C6">
              <w:rPr>
                <w:rFonts w:ascii="Times New Roman" w:hAnsi="Times New Roman"/>
                <w:sz w:val="24"/>
                <w:szCs w:val="24"/>
              </w:rPr>
              <w:t>B</w:t>
            </w:r>
          </w:p>
        </w:tc>
        <w:tc>
          <w:tcPr>
            <w:tcW w:w="1260" w:type="dxa"/>
            <w:tcBorders>
              <w:top w:val="single" w:sz="4" w:space="0" w:color="auto"/>
              <w:bottom w:val="single" w:sz="4" w:space="0" w:color="auto"/>
            </w:tcBorders>
            <w:vAlign w:val="center"/>
          </w:tcPr>
          <w:p w:rsidR="00FD44D7" w:rsidRPr="000158C6" w:rsidRDefault="00FD44D7" w:rsidP="00FD44D7">
            <w:pPr>
              <w:rPr>
                <w:rFonts w:ascii="Times New Roman" w:hAnsi="Times New Roman"/>
                <w:sz w:val="24"/>
                <w:szCs w:val="24"/>
              </w:rPr>
            </w:pPr>
            <w:proofErr w:type="spellStart"/>
            <w:r w:rsidRPr="000158C6">
              <w:rPr>
                <w:rFonts w:ascii="Times New Roman" w:hAnsi="Times New Roman"/>
                <w:sz w:val="24"/>
                <w:szCs w:val="24"/>
              </w:rPr>
              <w:t>Std.Er</w:t>
            </w:r>
            <w:proofErr w:type="spellEnd"/>
          </w:p>
        </w:tc>
        <w:tc>
          <w:tcPr>
            <w:tcW w:w="2078" w:type="dxa"/>
            <w:tcBorders>
              <w:top w:val="single" w:sz="4" w:space="0" w:color="auto"/>
              <w:bottom w:val="single" w:sz="4" w:space="0" w:color="auto"/>
            </w:tcBorders>
            <w:vAlign w:val="center"/>
          </w:tcPr>
          <w:p w:rsidR="00FD44D7" w:rsidRPr="000158C6" w:rsidRDefault="00FD44D7" w:rsidP="00FD44D7">
            <w:pPr>
              <w:rPr>
                <w:rFonts w:ascii="Times New Roman" w:hAnsi="Times New Roman"/>
                <w:sz w:val="24"/>
                <w:szCs w:val="24"/>
              </w:rPr>
            </w:pPr>
            <w:r w:rsidRPr="000158C6">
              <w:rPr>
                <w:rFonts w:ascii="Times New Roman" w:hAnsi="Times New Roman"/>
                <w:sz w:val="24"/>
                <w:szCs w:val="24"/>
              </w:rPr>
              <w:t>Beta</w:t>
            </w:r>
          </w:p>
        </w:tc>
        <w:tc>
          <w:tcPr>
            <w:tcW w:w="1252" w:type="dxa"/>
            <w:tcBorders>
              <w:top w:val="single" w:sz="4" w:space="0" w:color="auto"/>
              <w:bottom w:val="single" w:sz="4" w:space="0" w:color="auto"/>
            </w:tcBorders>
            <w:vAlign w:val="center"/>
          </w:tcPr>
          <w:p w:rsidR="00FD44D7" w:rsidRPr="000158C6" w:rsidRDefault="00FD44D7" w:rsidP="00FD44D7">
            <w:pPr>
              <w:rPr>
                <w:rFonts w:ascii="Times New Roman" w:hAnsi="Times New Roman"/>
                <w:sz w:val="24"/>
                <w:szCs w:val="24"/>
              </w:rPr>
            </w:pPr>
            <w:r w:rsidRPr="000158C6">
              <w:rPr>
                <w:rFonts w:ascii="Times New Roman" w:hAnsi="Times New Roman"/>
                <w:sz w:val="24"/>
                <w:szCs w:val="24"/>
              </w:rPr>
              <w:t>t</w:t>
            </w:r>
          </w:p>
        </w:tc>
        <w:tc>
          <w:tcPr>
            <w:tcW w:w="1125" w:type="dxa"/>
            <w:tcBorders>
              <w:top w:val="single" w:sz="4" w:space="0" w:color="auto"/>
              <w:bottom w:val="single" w:sz="4" w:space="0" w:color="auto"/>
            </w:tcBorders>
            <w:vAlign w:val="center"/>
          </w:tcPr>
          <w:p w:rsidR="00FD44D7" w:rsidRPr="000158C6" w:rsidRDefault="00FD44D7" w:rsidP="00FD44D7">
            <w:pPr>
              <w:rPr>
                <w:rFonts w:ascii="Times New Roman" w:hAnsi="Times New Roman"/>
                <w:sz w:val="24"/>
                <w:szCs w:val="24"/>
              </w:rPr>
            </w:pPr>
            <w:r w:rsidRPr="000158C6">
              <w:rPr>
                <w:rFonts w:ascii="Times New Roman" w:hAnsi="Times New Roman"/>
                <w:sz w:val="24"/>
                <w:szCs w:val="24"/>
              </w:rPr>
              <w:t>sig</w:t>
            </w:r>
          </w:p>
        </w:tc>
      </w:tr>
      <w:tr w:rsidR="00FD44D7" w:rsidRPr="000158C6" w:rsidTr="00FD44D7">
        <w:trPr>
          <w:trHeight w:val="167"/>
        </w:trPr>
        <w:tc>
          <w:tcPr>
            <w:tcW w:w="2250" w:type="dxa"/>
            <w:tcBorders>
              <w:top w:val="single" w:sz="4" w:space="0" w:color="auto"/>
            </w:tcBorders>
          </w:tcPr>
          <w:p w:rsidR="00FD44D7" w:rsidRPr="000158C6" w:rsidRDefault="00FD44D7" w:rsidP="00FD44D7">
            <w:pPr>
              <w:rPr>
                <w:rFonts w:ascii="Times New Roman" w:hAnsi="Times New Roman"/>
                <w:sz w:val="24"/>
                <w:szCs w:val="24"/>
              </w:rPr>
            </w:pPr>
            <w:r w:rsidRPr="000158C6">
              <w:rPr>
                <w:rFonts w:ascii="Times New Roman" w:hAnsi="Times New Roman"/>
                <w:sz w:val="24"/>
                <w:szCs w:val="24"/>
              </w:rPr>
              <w:t>(Constant)</w:t>
            </w:r>
          </w:p>
        </w:tc>
        <w:tc>
          <w:tcPr>
            <w:tcW w:w="1350" w:type="dxa"/>
            <w:tcBorders>
              <w:top w:val="single" w:sz="4" w:space="0" w:color="auto"/>
            </w:tcBorders>
          </w:tcPr>
          <w:p w:rsidR="00FD44D7" w:rsidRPr="000158C6" w:rsidRDefault="00FD44D7" w:rsidP="00FD44D7">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1.331</w:t>
            </w:r>
          </w:p>
        </w:tc>
        <w:tc>
          <w:tcPr>
            <w:tcW w:w="1260" w:type="dxa"/>
            <w:tcBorders>
              <w:top w:val="single" w:sz="4" w:space="0" w:color="auto"/>
            </w:tcBorders>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.092</w:t>
            </w:r>
          </w:p>
        </w:tc>
        <w:tc>
          <w:tcPr>
            <w:tcW w:w="2078" w:type="dxa"/>
            <w:tcBorders>
              <w:top w:val="single" w:sz="4" w:space="0" w:color="auto"/>
            </w:tcBorders>
            <w:vAlign w:val="center"/>
          </w:tcPr>
          <w:p w:rsidR="00FD44D7" w:rsidRPr="000158C6" w:rsidRDefault="00FD44D7" w:rsidP="00FD44D7">
            <w:pPr>
              <w:autoSpaceDE w:val="0"/>
              <w:autoSpaceDN w:val="0"/>
              <w:adjustRightInd w:val="0"/>
              <w:ind w:firstLine="15"/>
              <w:rPr>
                <w:rFonts w:ascii="Times New Roman" w:hAnsi="Times New Roman"/>
                <w:sz w:val="24"/>
                <w:szCs w:val="24"/>
              </w:rPr>
            </w:pPr>
          </w:p>
        </w:tc>
        <w:tc>
          <w:tcPr>
            <w:tcW w:w="1252" w:type="dxa"/>
            <w:tcBorders>
              <w:top w:val="single" w:sz="4" w:space="0" w:color="auto"/>
            </w:tcBorders>
          </w:tcPr>
          <w:p w:rsidR="00FD44D7" w:rsidRPr="000158C6" w:rsidRDefault="00FD44D7" w:rsidP="00FD44D7">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14.513</w:t>
            </w:r>
          </w:p>
        </w:tc>
        <w:tc>
          <w:tcPr>
            <w:tcW w:w="1125" w:type="dxa"/>
            <w:tcBorders>
              <w:top w:val="single" w:sz="4" w:space="0" w:color="auto"/>
            </w:tcBorders>
          </w:tcPr>
          <w:p w:rsidR="00FD44D7" w:rsidRPr="000158C6" w:rsidRDefault="00FD44D7" w:rsidP="00FD44D7">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.000</w:t>
            </w:r>
          </w:p>
        </w:tc>
      </w:tr>
      <w:tr w:rsidR="00FD44D7" w:rsidRPr="000158C6" w:rsidTr="00FD44D7">
        <w:trPr>
          <w:trHeight w:val="180"/>
        </w:trPr>
        <w:tc>
          <w:tcPr>
            <w:tcW w:w="2250" w:type="dxa"/>
          </w:tcPr>
          <w:p w:rsidR="00FD44D7" w:rsidRPr="000158C6" w:rsidRDefault="00FD44D7" w:rsidP="00FD44D7">
            <w:pPr>
              <w:widowControl w:val="0"/>
              <w:autoSpaceDE w:val="0"/>
              <w:autoSpaceDN w:val="0"/>
              <w:adjustRightInd w:val="0"/>
              <w:ind w:right="60"/>
              <w:rPr>
                <w:rFonts w:ascii="Times New Roman" w:hAnsi="Times New Roman"/>
                <w:sz w:val="24"/>
                <w:szCs w:val="24"/>
              </w:rPr>
            </w:pPr>
            <w:r w:rsidRPr="000158C6">
              <w:rPr>
                <w:rFonts w:ascii="Times New Roman" w:hAnsi="Times New Roman"/>
                <w:sz w:val="24"/>
                <w:szCs w:val="24"/>
              </w:rPr>
              <w:t>CRISK</w:t>
            </w:r>
          </w:p>
        </w:tc>
        <w:tc>
          <w:tcPr>
            <w:tcW w:w="135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.000</w:t>
            </w:r>
          </w:p>
        </w:tc>
        <w:tc>
          <w:tcPr>
            <w:tcW w:w="126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.000</w:t>
            </w:r>
          </w:p>
        </w:tc>
        <w:tc>
          <w:tcPr>
            <w:tcW w:w="2078"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.177</w:t>
            </w:r>
          </w:p>
        </w:tc>
        <w:tc>
          <w:tcPr>
            <w:tcW w:w="1252"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3.243</w:t>
            </w:r>
          </w:p>
        </w:tc>
        <w:tc>
          <w:tcPr>
            <w:tcW w:w="1125" w:type="dxa"/>
          </w:tcPr>
          <w:p w:rsidR="00FD44D7" w:rsidRPr="000158C6" w:rsidRDefault="00FD44D7" w:rsidP="00FD44D7">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.003</w:t>
            </w:r>
          </w:p>
        </w:tc>
      </w:tr>
      <w:tr w:rsidR="00FD44D7" w:rsidRPr="000158C6" w:rsidTr="00FD44D7">
        <w:trPr>
          <w:trHeight w:val="167"/>
        </w:trPr>
        <w:tc>
          <w:tcPr>
            <w:tcW w:w="2250" w:type="dxa"/>
          </w:tcPr>
          <w:p w:rsidR="00FD44D7" w:rsidRPr="000158C6" w:rsidRDefault="00FD44D7" w:rsidP="00FD44D7">
            <w:pPr>
              <w:ind w:firstLine="6"/>
              <w:rPr>
                <w:rFonts w:ascii="Times New Roman" w:hAnsi="Times New Roman"/>
                <w:sz w:val="24"/>
                <w:szCs w:val="24"/>
              </w:rPr>
            </w:pPr>
            <w:r w:rsidRPr="000158C6">
              <w:rPr>
                <w:rFonts w:ascii="Times New Roman" w:hAnsi="Times New Roman"/>
                <w:sz w:val="24"/>
                <w:szCs w:val="24"/>
              </w:rPr>
              <w:t>CAR</w:t>
            </w:r>
          </w:p>
        </w:tc>
        <w:tc>
          <w:tcPr>
            <w:tcW w:w="1350" w:type="dxa"/>
          </w:tcPr>
          <w:p w:rsidR="00FD44D7" w:rsidRPr="000158C6" w:rsidRDefault="00FD44D7" w:rsidP="00FD44D7">
            <w:pPr>
              <w:autoSpaceDE w:val="0"/>
              <w:autoSpaceDN w:val="0"/>
              <w:adjustRightInd w:val="0"/>
              <w:ind w:right="60"/>
              <w:jc w:val="right"/>
              <w:rPr>
                <w:rFonts w:ascii="Times New Roman" w:hAnsi="Times New Roman"/>
                <w:sz w:val="24"/>
                <w:szCs w:val="24"/>
              </w:rPr>
            </w:pPr>
            <w:r w:rsidRPr="000158C6">
              <w:rPr>
                <w:rFonts w:ascii="Times New Roman" w:hAnsi="Times New Roman"/>
                <w:sz w:val="24"/>
                <w:szCs w:val="24"/>
              </w:rPr>
              <w:t>-1.159</w:t>
            </w:r>
          </w:p>
        </w:tc>
        <w:tc>
          <w:tcPr>
            <w:tcW w:w="126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.533</w:t>
            </w:r>
          </w:p>
        </w:tc>
        <w:tc>
          <w:tcPr>
            <w:tcW w:w="2078"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-.159</w:t>
            </w:r>
          </w:p>
        </w:tc>
        <w:tc>
          <w:tcPr>
            <w:tcW w:w="1252"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-2.174</w:t>
            </w:r>
          </w:p>
        </w:tc>
        <w:tc>
          <w:tcPr>
            <w:tcW w:w="1125" w:type="dxa"/>
          </w:tcPr>
          <w:p w:rsidR="00FD44D7" w:rsidRPr="000158C6" w:rsidRDefault="00FD44D7" w:rsidP="00FD44D7">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.037</w:t>
            </w:r>
          </w:p>
        </w:tc>
      </w:tr>
      <w:tr w:rsidR="00FD44D7" w:rsidRPr="000158C6" w:rsidTr="00FD44D7">
        <w:trPr>
          <w:trHeight w:val="167"/>
        </w:trPr>
        <w:tc>
          <w:tcPr>
            <w:tcW w:w="2250" w:type="dxa"/>
          </w:tcPr>
          <w:p w:rsidR="00FD44D7" w:rsidRPr="000158C6" w:rsidRDefault="00FD44D7" w:rsidP="00FD44D7">
            <w:pPr>
              <w:ind w:firstLine="6"/>
              <w:rPr>
                <w:rFonts w:ascii="Times New Roman" w:hAnsi="Times New Roman"/>
                <w:sz w:val="24"/>
                <w:szCs w:val="24"/>
              </w:rPr>
            </w:pPr>
            <w:r w:rsidRPr="000158C6">
              <w:rPr>
                <w:rFonts w:ascii="Times New Roman" w:hAnsi="Times New Roman"/>
                <w:sz w:val="24"/>
                <w:szCs w:val="24"/>
              </w:rPr>
              <w:t xml:space="preserve">SIZE </w:t>
            </w:r>
          </w:p>
        </w:tc>
        <w:tc>
          <w:tcPr>
            <w:tcW w:w="135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-.007</w:t>
            </w:r>
          </w:p>
        </w:tc>
        <w:tc>
          <w:tcPr>
            <w:tcW w:w="126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.001</w:t>
            </w:r>
          </w:p>
        </w:tc>
        <w:tc>
          <w:tcPr>
            <w:tcW w:w="2078"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-.747</w:t>
            </w:r>
          </w:p>
        </w:tc>
        <w:tc>
          <w:tcPr>
            <w:tcW w:w="1252" w:type="dxa"/>
          </w:tcPr>
          <w:p w:rsidR="00FD44D7" w:rsidRPr="000158C6" w:rsidRDefault="00FD44D7" w:rsidP="00FD44D7">
            <w:pPr>
              <w:autoSpaceDE w:val="0"/>
              <w:autoSpaceDN w:val="0"/>
              <w:adjustRightInd w:val="0"/>
              <w:ind w:left="60" w:right="60" w:firstLine="15"/>
              <w:jc w:val="right"/>
              <w:rPr>
                <w:rFonts w:ascii="Times New Roman" w:hAnsi="Times New Roman"/>
                <w:b/>
                <w:sz w:val="24"/>
                <w:szCs w:val="24"/>
              </w:rPr>
            </w:pPr>
            <w:r w:rsidRPr="000158C6">
              <w:rPr>
                <w:rFonts w:ascii="Times New Roman" w:hAnsi="Times New Roman"/>
                <w:b/>
                <w:sz w:val="24"/>
                <w:szCs w:val="24"/>
              </w:rPr>
              <w:t>-8.330</w:t>
            </w:r>
          </w:p>
        </w:tc>
        <w:tc>
          <w:tcPr>
            <w:tcW w:w="1125" w:type="dxa"/>
          </w:tcPr>
          <w:p w:rsidR="00FD44D7" w:rsidRPr="000158C6" w:rsidRDefault="00FD44D7" w:rsidP="00FD44D7">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.000</w:t>
            </w:r>
          </w:p>
        </w:tc>
      </w:tr>
      <w:tr w:rsidR="00FD44D7" w:rsidRPr="000158C6" w:rsidTr="00FD44D7">
        <w:trPr>
          <w:trHeight w:val="167"/>
        </w:trPr>
        <w:tc>
          <w:tcPr>
            <w:tcW w:w="2250" w:type="dxa"/>
          </w:tcPr>
          <w:p w:rsidR="00FD44D7" w:rsidRPr="000158C6" w:rsidRDefault="00FD44D7" w:rsidP="00FD44D7">
            <w:pPr>
              <w:ind w:firstLine="6"/>
              <w:rPr>
                <w:rFonts w:ascii="Times New Roman" w:hAnsi="Times New Roman"/>
                <w:sz w:val="24"/>
                <w:szCs w:val="24"/>
              </w:rPr>
            </w:pPr>
            <w:r w:rsidRPr="000158C6">
              <w:rPr>
                <w:rFonts w:ascii="Times New Roman" w:hAnsi="Times New Roman"/>
                <w:sz w:val="24"/>
                <w:szCs w:val="24"/>
              </w:rPr>
              <w:t>INF</w:t>
            </w:r>
          </w:p>
        </w:tc>
        <w:tc>
          <w:tcPr>
            <w:tcW w:w="135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.107</w:t>
            </w:r>
          </w:p>
        </w:tc>
        <w:tc>
          <w:tcPr>
            <w:tcW w:w="1260"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.306</w:t>
            </w:r>
          </w:p>
        </w:tc>
        <w:tc>
          <w:tcPr>
            <w:tcW w:w="2078"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.020</w:t>
            </w:r>
          </w:p>
        </w:tc>
        <w:tc>
          <w:tcPr>
            <w:tcW w:w="1252" w:type="dxa"/>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.348</w:t>
            </w:r>
          </w:p>
        </w:tc>
        <w:tc>
          <w:tcPr>
            <w:tcW w:w="1125" w:type="dxa"/>
          </w:tcPr>
          <w:p w:rsidR="00FD44D7" w:rsidRPr="000158C6" w:rsidRDefault="00FD44D7" w:rsidP="00FD44D7">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.730</w:t>
            </w:r>
          </w:p>
        </w:tc>
      </w:tr>
      <w:tr w:rsidR="00FD44D7" w:rsidRPr="000158C6" w:rsidTr="00FD44D7">
        <w:trPr>
          <w:trHeight w:val="180"/>
        </w:trPr>
        <w:tc>
          <w:tcPr>
            <w:tcW w:w="2250" w:type="dxa"/>
            <w:tcBorders>
              <w:bottom w:val="single" w:sz="4" w:space="0" w:color="auto"/>
            </w:tcBorders>
          </w:tcPr>
          <w:p w:rsidR="00FD44D7" w:rsidRPr="000158C6" w:rsidRDefault="00FD44D7" w:rsidP="00FD44D7">
            <w:pPr>
              <w:ind w:firstLine="6"/>
              <w:rPr>
                <w:rFonts w:ascii="Times New Roman" w:hAnsi="Times New Roman"/>
                <w:sz w:val="24"/>
                <w:szCs w:val="24"/>
              </w:rPr>
            </w:pPr>
            <w:r w:rsidRPr="000158C6">
              <w:rPr>
                <w:rFonts w:ascii="Times New Roman" w:hAnsi="Times New Roman"/>
                <w:sz w:val="24"/>
                <w:szCs w:val="24"/>
              </w:rPr>
              <w:t>LQRISK</w:t>
            </w:r>
          </w:p>
        </w:tc>
        <w:tc>
          <w:tcPr>
            <w:tcW w:w="1350" w:type="dxa"/>
            <w:tcBorders>
              <w:bottom w:val="single" w:sz="4" w:space="0" w:color="auto"/>
            </w:tcBorders>
          </w:tcPr>
          <w:p w:rsidR="00FD44D7" w:rsidRPr="000158C6" w:rsidRDefault="00FD44D7" w:rsidP="00FD44D7">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3.049</w:t>
            </w:r>
          </w:p>
        </w:tc>
        <w:tc>
          <w:tcPr>
            <w:tcW w:w="1260" w:type="dxa"/>
            <w:tcBorders>
              <w:bottom w:val="single" w:sz="4" w:space="0" w:color="auto"/>
            </w:tcBorders>
          </w:tcPr>
          <w:p w:rsidR="00FD44D7" w:rsidRPr="000158C6" w:rsidRDefault="00FD44D7" w:rsidP="00FD44D7">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1.024</w:t>
            </w:r>
          </w:p>
        </w:tc>
        <w:tc>
          <w:tcPr>
            <w:tcW w:w="2078" w:type="dxa"/>
            <w:tcBorders>
              <w:bottom w:val="single" w:sz="4" w:space="0" w:color="auto"/>
            </w:tcBorders>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.186</w:t>
            </w:r>
          </w:p>
        </w:tc>
        <w:tc>
          <w:tcPr>
            <w:tcW w:w="1252" w:type="dxa"/>
            <w:tcBorders>
              <w:bottom w:val="single" w:sz="4" w:space="0" w:color="auto"/>
            </w:tcBorders>
          </w:tcPr>
          <w:p w:rsidR="00FD44D7" w:rsidRPr="000158C6" w:rsidRDefault="00FD44D7" w:rsidP="00FD44D7">
            <w:pPr>
              <w:autoSpaceDE w:val="0"/>
              <w:autoSpaceDN w:val="0"/>
              <w:adjustRightInd w:val="0"/>
              <w:ind w:left="60" w:right="60" w:firstLine="15"/>
              <w:jc w:val="right"/>
              <w:rPr>
                <w:rFonts w:ascii="Times New Roman" w:hAnsi="Times New Roman"/>
                <w:sz w:val="24"/>
                <w:szCs w:val="24"/>
              </w:rPr>
            </w:pPr>
            <w:r w:rsidRPr="000158C6">
              <w:rPr>
                <w:rFonts w:ascii="Times New Roman" w:hAnsi="Times New Roman"/>
                <w:sz w:val="24"/>
                <w:szCs w:val="24"/>
              </w:rPr>
              <w:t>2.979</w:t>
            </w:r>
          </w:p>
        </w:tc>
        <w:tc>
          <w:tcPr>
            <w:tcW w:w="1125" w:type="dxa"/>
            <w:tcBorders>
              <w:bottom w:val="single" w:sz="4" w:space="0" w:color="auto"/>
            </w:tcBorders>
          </w:tcPr>
          <w:p w:rsidR="00FD44D7" w:rsidRPr="000158C6" w:rsidRDefault="00FD44D7" w:rsidP="00FD44D7">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.005</w:t>
            </w:r>
          </w:p>
        </w:tc>
      </w:tr>
      <w:tr w:rsidR="00FD44D7" w:rsidRPr="000158C6" w:rsidTr="00FD44D7">
        <w:trPr>
          <w:trHeight w:val="180"/>
        </w:trPr>
        <w:tc>
          <w:tcPr>
            <w:tcW w:w="9315" w:type="dxa"/>
            <w:gridSpan w:val="6"/>
          </w:tcPr>
          <w:p w:rsidR="007A7BEA" w:rsidRPr="008B2AC0" w:rsidRDefault="00FD44D7" w:rsidP="008B2AC0">
            <w:pPr>
              <w:pStyle w:val="ListParagraph"/>
              <w:numPr>
                <w:ilvl w:val="0"/>
                <w:numId w:val="3"/>
              </w:numPr>
              <w:ind w:left="360"/>
              <w:rPr>
                <w:rFonts w:ascii="Times New Roman" w:hAnsi="Times New Roman"/>
                <w:sz w:val="24"/>
                <w:szCs w:val="24"/>
                <w:lang w:val="id-ID"/>
              </w:rPr>
            </w:pPr>
            <w:r w:rsidRPr="007A7BEA">
              <w:rPr>
                <w:rFonts w:ascii="Times New Roman" w:hAnsi="Times New Roman"/>
                <w:sz w:val="24"/>
                <w:szCs w:val="24"/>
              </w:rPr>
              <w:t>Dependent Variable: ROE</w:t>
            </w:r>
          </w:p>
        </w:tc>
      </w:tr>
    </w:tbl>
    <w:p w:rsidR="00CE721C" w:rsidRDefault="00CE721C" w:rsidP="008B2AC0">
      <w:pPr>
        <w:jc w:val="both"/>
        <w:rPr>
          <w:rFonts w:ascii="Times New Roman" w:eastAsia="Times New Roman" w:hAnsi="Times New Roman" w:cs="Times New Roman"/>
          <w:sz w:val="24"/>
          <w:szCs w:val="24"/>
        </w:rPr>
        <w:sectPr w:rsidR="00CE721C" w:rsidSect="00FD44D7">
          <w:type w:val="continuous"/>
          <w:pgSz w:w="11906" w:h="16838"/>
          <w:pgMar w:top="1411" w:right="1282" w:bottom="1411" w:left="1282" w:header="706" w:footer="706" w:gutter="0"/>
          <w:cols w:space="720"/>
        </w:sectPr>
      </w:pPr>
    </w:p>
    <w:p w:rsidR="008B2AC0" w:rsidRDefault="008B2AC0" w:rsidP="008B2AC0">
      <w:pPr>
        <w:spacing w:before="120" w:after="120"/>
        <w:jc w:val="both"/>
        <w:rPr>
          <w:rFonts w:ascii="Times New Roman" w:hAnsi="Times New Roman"/>
          <w:sz w:val="24"/>
          <w:szCs w:val="24"/>
        </w:rPr>
      </w:pPr>
      <w:r w:rsidRPr="000158C6">
        <w:rPr>
          <w:rFonts w:ascii="Times New Roman" w:hAnsi="Times New Roman"/>
          <w:sz w:val="24"/>
          <w:szCs w:val="24"/>
        </w:rPr>
        <w:t>Profitabilitas sangat sensitive terhadap kondisi macroekonomi, pada umunya pertumbuhan ekonomi yang tinggi, cenderung meningkatkan kinerja bank</w:t>
      </w:r>
      <w:r>
        <w:rPr>
          <w:rFonts w:ascii="Times New Roman" w:hAnsi="Times New Roman"/>
          <w:sz w:val="24"/>
          <w:szCs w:val="24"/>
        </w:rPr>
        <w:t xml:space="preserve">. </w:t>
      </w:r>
      <w:r w:rsidRPr="000158C6">
        <w:rPr>
          <w:rFonts w:ascii="Times New Roman" w:hAnsi="Times New Roman"/>
          <w:sz w:val="24"/>
          <w:szCs w:val="24"/>
        </w:rPr>
        <w:t xml:space="preserve">Indikator kondisi macro ekonomi yang mempunyai kemungkinan meningkatkan profitabilitas adalah inflasi.  Inflasi yang tinggi dapat meningkatkan suku bunga, yang justru bisa menekan profitabilitas bank. Hasil studi ini menemukan bahwa inflasi tidak signifikan mempengaruhi profitabilitas bank syariah di Indonesia. Temuan ini sejalan dengan hasil penelitian dari: </w:t>
      </w:r>
      <w:r w:rsidR="00C86557" w:rsidRPr="000158C6">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"abstract" : "The present paper seeks to examine the determinants of Philippines banks profitability during the period 1990\u20132005. The empirical findings suggest that all the bank-specific determinant variables have a statistically significantly impact on bank profitability. The empirical findings suggest that size, credit risk, and expense preference behaviour are negatively related to banks' profitability, while non-interest income and capitalisation have a positive impact. During the period under study, the results suggest that inflation has a negative impact on bank profitability, while the impact of economic growth, money supply, and stock market capitalisation have not significantly explained the variations in the profitability of the Philippines banks", "author" : [ { "dropping-particle" : "", "family" : "Sufian", "given" : "Fadzlan", "non-dropping-particle" : "", "parse-names" : false, "suffix" : "" }, { "dropping-particle" : "", "family" : "Chong", "given" : "Royfaizal Razali", "non-dropping-particle" : "", "parse-names" : false, "suffix" : "" } ], "container-title" : "Asian Academy of Management Journal of Accounting And Finance", "id" : "ITEM-1", "issue" : "2", "issued" : { "date-parts" : [ [ "2008" ] ] }, "page" : "91-112", "title" : "Determinants of bank profitability in a developing economy: PHILIPPINES", "type" : "article-journal", "volume" : "4" }, "uris" : [ "http://www.mendeley.com/documents/?uuid=d67f8eaf-73cb-40cb-a4f7-2ae15f889fbe" ] } ], "mendeley" : { "formattedCitation" : "(Sufian and Chong, 2008)", "plainTextFormattedCitation" : "(Sufian and Chong, 2008)", "previouslyFormattedCitation" : "(Sufian and Chong, 2008)" }, "properties" : { "noteIndex" : 0 }, "schema" : "https://github.com/citation-style-language/schema/raw/master/csl-citation.json" }</w:instrText>
      </w:r>
      <w:r w:rsidR="00C86557" w:rsidRPr="000158C6">
        <w:rPr>
          <w:rFonts w:ascii="Times New Roman" w:hAnsi="Times New Roman"/>
          <w:sz w:val="24"/>
          <w:szCs w:val="24"/>
        </w:rPr>
        <w:fldChar w:fldCharType="separate"/>
      </w:r>
      <w:r w:rsidRPr="007544C9">
        <w:rPr>
          <w:rFonts w:ascii="Times New Roman" w:hAnsi="Times New Roman"/>
          <w:noProof/>
          <w:sz w:val="24"/>
          <w:szCs w:val="24"/>
        </w:rPr>
        <w:t>(Sufian and Chong, 2008)</w:t>
      </w:r>
      <w:r w:rsidR="00C86557" w:rsidRPr="000158C6">
        <w:rPr>
          <w:rFonts w:ascii="Times New Roman" w:hAnsi="Times New Roman"/>
          <w:sz w:val="24"/>
          <w:szCs w:val="24"/>
        </w:rPr>
        <w:fldChar w:fldCharType="end"/>
      </w:r>
      <w:r w:rsidRPr="000158C6">
        <w:rPr>
          <w:rFonts w:ascii="Times New Roman" w:hAnsi="Times New Roman"/>
          <w:sz w:val="24"/>
          <w:szCs w:val="24"/>
        </w:rPr>
        <w:t xml:space="preserve">; </w:t>
      </w:r>
      <w:r w:rsidR="00C86557" w:rsidRPr="000158C6">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"10.3846/1611-1699.2009.10.207-217", "ISSN" : "1611-1699", "abstract" : "This study seeks to examine the performance of 37 Bangladeshi commercial banks between 1997 and 2004. The empirical findings of this study suggest that bank specific characteristics, in particular loans intensity, credit risk, and cost have positive and significant impacts on bank performance, while non-interest income exhibits negative relationship with bank profitability. During the period under study the results suggest that the impact of size is not uniform across the various measures employed. The empirical findings suggest that size has a negative impact on return on average equity (ROAE), while the opposite is true for return on average assets (ROAA) and net interest margins (NIM). As for the impact of mac roeconomic indicators, we conclude that the variables have no significant impact on bank profitability, except for inflation which has a negative relationship with Bangladeshi banks profitability.", "author" : [ { "dropping-particle" : "", "family" : "Sufian", "given" : "Fadzlan", "non-dropping-particle" : "", "parse-names" : false, "suffix" : "" }, { "dropping-particle" : "", "family" : "Habibullah", "given" : "Muzafar Shah", "non-dropping-particle" : "", "parse-names" : false, "suffix" : "" } ], "container-title" : "Journal of Business Economics and Management", "id" : "ITEM-1", "issue" : "3", "issued" : { "date-parts" : [ [ "2009" ] ] }, "page" : "207-217", "title" : "Determinants of bank profitability in a developing economy: Empirical evidence from Bangladesh", "type" : "article-journal", "volume" : "10" }, "uris" : [ "http://www.mendeley.com/documents/?uuid=3fb2ff1b-3b13-48c3-96db-8d7ceeef5aa4" ] } ], "mendeley" : { "formattedCitation" : "(Sufian and Habibullah, 2009)", "plainTextFormattedCitation" : "(Sufian and Habibullah, 2009)", "previouslyFormattedCitation" : "(Sufian and Habibullah, 2009)" }, "properties" : { "noteIndex" : 0 }, "schema" : "https://github.com/citation-style-language/schema/raw/master/csl-citation.json" }</w:instrText>
      </w:r>
      <w:r w:rsidR="00C86557" w:rsidRPr="000158C6">
        <w:rPr>
          <w:rFonts w:ascii="Times New Roman" w:hAnsi="Times New Roman"/>
          <w:sz w:val="24"/>
          <w:szCs w:val="24"/>
        </w:rPr>
        <w:fldChar w:fldCharType="separate"/>
      </w:r>
      <w:r w:rsidRPr="007544C9">
        <w:rPr>
          <w:rFonts w:ascii="Times New Roman" w:hAnsi="Times New Roman"/>
          <w:noProof/>
          <w:sz w:val="24"/>
          <w:szCs w:val="24"/>
        </w:rPr>
        <w:t>(Sufian and Habibullah, 2009)</w:t>
      </w:r>
      <w:r w:rsidR="00C86557" w:rsidRPr="000158C6">
        <w:rPr>
          <w:rFonts w:ascii="Times New Roman" w:hAnsi="Times New Roman"/>
          <w:sz w:val="24"/>
          <w:szCs w:val="24"/>
        </w:rPr>
        <w:fldChar w:fldCharType="end"/>
      </w:r>
      <w:r w:rsidRPr="000158C6">
        <w:rPr>
          <w:rFonts w:ascii="Times New Roman" w:hAnsi="Times New Roman"/>
          <w:sz w:val="24"/>
          <w:szCs w:val="24"/>
        </w:rPr>
        <w:t xml:space="preserve">; </w:t>
      </w:r>
      <w:r w:rsidR="00C86557" w:rsidRPr="000158C6">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"10.1504/IJMEF.2009.029072", "ISSN" : "1752-0479", "abstract" : "This paper examines the determinants of Islamic bank profitability in the MENA region, during the years 1999\u20132006. We estimate several specifications to study the impact of bank-specific and country-specific variables, including macro-economic conditions, market structure and institutional development, on bank profitability. The results provide evidence suggesting that capitalisation and management efficiency enhance bank profitability. The results also indicate that bank profitability is positively associated with, economic growth, inflation and bank concentration. We also show that Islamic bank profitability is higher in countries with better socio-economic conditions and better legal systems. Keywords:", "author" : [ { "dropping-particle" : "Ben", "family" : "Khediri", "given" : "Karim", "non-dropping-particle" : "", "parse-names" : false, "suffix" : "" }, { "dropping-particle" : "Ben", "family" : "Khedhiri", "given" : "Hichem", "non-dropping-particle" : "", "parse-names" : false, "suffix" : "" } ], "container-title" : "International Journal of Monetary Economics and Finance", "id" : "ITEM-1", "issue" : "3/4", "issued" : { "date-parts" : [ [ "2009" ] ] }, "page" : "409-426", "title" : "Determinants of Islamic bank profitability in the MENA region", "type" : "article-journal", "volume" : "2" }, "uris" : [ "http://www.mendeley.com/documents/?uuid=ae827d8f-5ad1-41ed-9f80-fe23aa040f0e" ] } ], "mendeley" : { "formattedCitation" : "(Khediri and Khedhiri, 2009)", "plainTextFormattedCitation" : "(Khediri and Khedhiri, 2009)", "previouslyFormattedCitation" : "(Khediri and Khedhiri, 2009)" }, "properties" : { "noteIndex" : 0 }, "schema" : "https://github.com/citation-style-language/schema/raw/master/csl-citation.json" }</w:instrText>
      </w:r>
      <w:r w:rsidR="00C86557" w:rsidRPr="000158C6">
        <w:rPr>
          <w:rFonts w:ascii="Times New Roman" w:hAnsi="Times New Roman"/>
          <w:sz w:val="24"/>
          <w:szCs w:val="24"/>
        </w:rPr>
        <w:fldChar w:fldCharType="separate"/>
      </w:r>
      <w:r w:rsidRPr="007544C9">
        <w:rPr>
          <w:rFonts w:ascii="Times New Roman" w:hAnsi="Times New Roman"/>
          <w:noProof/>
          <w:sz w:val="24"/>
          <w:szCs w:val="24"/>
        </w:rPr>
        <w:t>(Khediri and Khedhiri, 2009)</w:t>
      </w:r>
      <w:r w:rsidR="00C86557" w:rsidRPr="000158C6">
        <w:rPr>
          <w:rFonts w:ascii="Times New Roman" w:hAnsi="Times New Roman"/>
          <w:sz w:val="24"/>
          <w:szCs w:val="24"/>
        </w:rPr>
        <w:fldChar w:fldCharType="end"/>
      </w:r>
      <w:r w:rsidRPr="000158C6">
        <w:rPr>
          <w:rFonts w:ascii="Times New Roman" w:hAnsi="Times New Roman"/>
          <w:sz w:val="24"/>
          <w:szCs w:val="24"/>
        </w:rPr>
        <w:t xml:space="preserve">; dan </w:t>
      </w:r>
      <w:r w:rsidR="00C86557" w:rsidRPr="000158C6">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"10.1108/IMEFM-12-2014-0120", "ISBN" : "1220140120", "abstract" : "Abstract Purpose \u2013 The purpose of this paper is to ascertain whether Islamic bank profitability is driven by same forces as those driving conventional banking in the Middle East and North Africa(MENA)region. Distinguished by its principles in conformity with sharia, Islamic banking is different from conventional banking, which is likely to affect profitability. Design/methodology/approach \u2013 The paper builds on a dynamic panel data model to identify the banks\u2019 specific determinants and the macroeconomic factors influencing the profitability of a large sample of 51 Islamic banks operating in the MENA region from 1994 to 2012. The system-generalized method of moment estimators are applied. Findings \u2013 The findings reveal that profitability is positively affected by banks\u2019 cost-effectiveness, asset quality and level of capitalization. The results also indicate that non-financing activities allow Islamic banks to earn higher profits. Islamic banks perform better in environments where the gross domestic product and investment are high. There is evidence of several elements of similarities between determinants of the profitability for Islamic and conventional banks. The inflation rate, however, is negatively associated with Islamic bank profitability. Practical Implications \u2013 The authors conclude that profitability determinants did not differ significantly between Islamic and conventional banks.Manyfactors are deemed the same in explaining the profitability of conventional as well as Islamic banks. The findings reported in the current paper might be of interest for policy makers. It is recommended to better implement non-financing activities to improve Islamic bank profitability. Originality/value \u2013 Unlike the previous empirical research, this empirical investigation assesses the issue whether Islamic banks profitability is influenced by same factors as conventional model. It enriches the literature in this regard by considering the specificities of Islamic banking to identify the determinants of profitability. Moreover, this study considers a large sample (51 Islamic banks) through a different selection of countries/banks than previous studies. In addition, the period of study considers the subprime crisis insofar it ranges from 1994 to 2012. Hence, this broader study allows the authors to draw more consistent conclusions", "author" : [ { "dropping-particle" : "", "family" : "Zarrouk", "given" : "Hajer", "non-dropping-particle" : "", "parse-names" : false, "suffix" : "" }, { "dropping-particle" : "Ben", "family" : "Jedidia", "given" : "Khoutem", "non-dropping-particle" : "", "parse-names" : false, "suffix" : "" }, { "dropping-particle" : "", "family" : "Moualhi", "given" : "Mouna", "non-dropping-particle" : "", "parse-names" : false, "suffix" : "" } ], "container-title" : "International Journal of Islamic and Middle Eastern Finance and Management", "id" : "ITEM-1", "issue" : "1", "issued" : { "date-parts" : [ [ "2016" ] ] }, "page" : "46-65", "title" : "Is Islamic bank profitability driven by same forces as conventional banks ?", "type" : "article-journal", "volume" : "9" }, "uris" : [ "http://www.mendeley.com/documents/?uuid=154d1a19-041c-4a7c-afda-8c66e6f61494" ] } ], "mendeley" : { "formattedCitation" : "(Zarrouk et al., 2016)", "plainTextFormattedCitation" : "(Zarrouk et al., 2016)", "previouslyFormattedCitation" : "(Zarrouk et al., 2016)" }, "properties" : { "noteIndex" : 0 }, "schema" : "https://github.com/citation-style-language/schema/raw/master/csl-citation.json" }</w:instrText>
      </w:r>
      <w:r w:rsidR="00C86557" w:rsidRPr="000158C6">
        <w:rPr>
          <w:rFonts w:ascii="Times New Roman" w:hAnsi="Times New Roman"/>
          <w:sz w:val="24"/>
          <w:szCs w:val="24"/>
        </w:rPr>
        <w:fldChar w:fldCharType="separate"/>
      </w:r>
      <w:r w:rsidRPr="0030581B">
        <w:rPr>
          <w:rFonts w:ascii="Times New Roman" w:hAnsi="Times New Roman"/>
          <w:noProof/>
          <w:sz w:val="24"/>
          <w:szCs w:val="24"/>
        </w:rPr>
        <w:t>(Zarrouk et al., 2016)</w:t>
      </w:r>
      <w:r w:rsidR="00C86557" w:rsidRPr="000158C6">
        <w:rPr>
          <w:rFonts w:ascii="Times New Roman" w:hAnsi="Times New Roman"/>
          <w:sz w:val="24"/>
          <w:szCs w:val="24"/>
        </w:rPr>
        <w:fldChar w:fldCharType="end"/>
      </w:r>
      <w:r w:rsidRPr="000158C6">
        <w:rPr>
          <w:rFonts w:ascii="Times New Roman" w:hAnsi="Times New Roman"/>
          <w:sz w:val="24"/>
          <w:szCs w:val="24"/>
        </w:rPr>
        <w:t xml:space="preserve">. </w:t>
      </w:r>
    </w:p>
    <w:p w:rsidR="00B87D11" w:rsidRPr="00115FCE" w:rsidRDefault="008B2AC0" w:rsidP="008B2AC0">
      <w:pPr>
        <w:jc w:val="both"/>
        <w:rPr>
          <w:rFonts w:ascii="Times New Roman" w:hAnsi="Times New Roman" w:cs="Times New Roman"/>
          <w:sz w:val="24"/>
          <w:lang w:val="en-US"/>
        </w:rPr>
        <w:sectPr w:rsidR="00B87D11" w:rsidRPr="00115FCE" w:rsidSect="00FD44D7">
          <w:type w:val="continuous"/>
          <w:pgSz w:w="11906" w:h="16838"/>
          <w:pgMar w:top="1411" w:right="1282" w:bottom="1411" w:left="1282" w:header="706" w:footer="706" w:gutter="0"/>
          <w:cols w:num="2" w:space="720" w:equalWidth="0">
            <w:col w:w="4455" w:space="432"/>
            <w:col w:w="4455" w:space="0"/>
          </w:cols>
        </w:sectPr>
      </w:pPr>
      <w:r w:rsidRPr="000158C6">
        <w:rPr>
          <w:rFonts w:ascii="Times New Roman" w:hAnsi="Times New Roman" w:cs="Times New Roman"/>
          <w:sz w:val="24"/>
        </w:rPr>
        <w:t xml:space="preserve">Risiko likuiditas terjadi jika bank tidak dapat menyediakan uang tunai untuk memenuhi kebutuhan transaksi nasabah dan memenuhi kewajiban untuk dilunasi dalam jangka waktu tertentu, nasabah menarik uang dalam jumlah besar dan ketika jumlah permintaan kredit meningkat </w:t>
      </w:r>
      <w:r w:rsidR="00C86557" w:rsidRPr="000158C6">
        <w:rPr>
          <w:rFonts w:ascii="Times New Roman" w:hAnsi="Times New Roman" w:cs="Times New Roman"/>
          <w:sz w:val="24"/>
        </w:rPr>
        <w:fldChar w:fldCharType="begin" w:fldLock="1"/>
      </w:r>
      <w:r w:rsidRPr="000158C6">
        <w:rPr>
          <w:rFonts w:ascii="Times New Roman" w:hAnsi="Times New Roman" w:cs="Times New Roman"/>
          <w:sz w:val="24"/>
        </w:rPr>
        <w:instrText>ADDIN CSL_CITATION { "citationItems" : [ { "id" : "ITEM-1", "itemData" : { "abstract" : "One of the most important functions of banks is the transformation of maturities, i.e. the ability to obtain funding from short term deposits so as to finance loans over a longer term. As a result of such behaviour, banks are exposed to liquidity risk. Liquidity risk occurs when a bank is unable to cover its financial obligation when it is due without bearing any costs. Hence, liquidity risk management can be defined as a regular process to guarantee that the expected and unexpected cash needs can be met at reasonable costs. While, on the liability side, liquidity risk arises when depositors withdraw their money at once or in large amounts, on the asset side, banks are vulnerable to liquidity risk if the demand in loans increases. Hence, this research provides an overview of the authentic principles of the Shari\u2019ah and the main guidelines of Islamic finance with relation to liquidity risk. In addition, attention is focused on the undertaking of specific techniques and policies as well as the initiation special types of supervision to provide high-quality services so as to satisfy the spiritual and objectives of Islamic finance and subsequently to develop a better understanding of liquidity risk management.", "author" : [ { "dropping-particle" : "", "family" : "Mohammad", "given" : "Sabri", "non-dropping-particle" : "", "parse-names" : false, "suffix" : "" } ], "container-title" : "Afro Eurasian Studies", "id" : "ITEM-1", "issue" : "1-2", "issued" : { "date-parts" : [ [ "2013" ] ] }, "page" : "215-230", "title" : "Liquidity Risk Management in Islamic Banks: A Survey", "type" : "article-journal", "volume" : "1" }, "uris" : [ "http://www.mendeley.com/documents/?uuid=8e2a928c-0db1-4f56-b8b5-abf7aba3012f" ] } ], "mendeley" : { "formattedCitation" : "(Mohammad, 2013)", "plainTextFormattedCitation" : "(Mohammad, 2013)", "previouslyFormattedCitation" : "(Mohammad, 2013)" }, "properties" : { "noteIndex" : 0 }, "schema" : "https://github.com/citation-style-language/schema/raw/master/csl-citation.json" }</w:instrText>
      </w:r>
      <w:r w:rsidR="00C86557" w:rsidRPr="000158C6">
        <w:rPr>
          <w:rFonts w:ascii="Times New Roman" w:hAnsi="Times New Roman" w:cs="Times New Roman"/>
          <w:sz w:val="24"/>
        </w:rPr>
        <w:fldChar w:fldCharType="separate"/>
      </w:r>
      <w:r w:rsidRPr="000158C6">
        <w:rPr>
          <w:rFonts w:ascii="Times New Roman" w:hAnsi="Times New Roman" w:cs="Times New Roman"/>
          <w:noProof/>
          <w:sz w:val="24"/>
        </w:rPr>
        <w:t>(Mohammad, 2013)</w:t>
      </w:r>
      <w:r w:rsidR="00C86557" w:rsidRPr="000158C6">
        <w:rPr>
          <w:rFonts w:ascii="Times New Roman" w:hAnsi="Times New Roman" w:cs="Times New Roman"/>
          <w:sz w:val="24"/>
        </w:rPr>
        <w:fldChar w:fldCharType="end"/>
      </w:r>
      <w:r w:rsidRPr="000158C6">
        <w:rPr>
          <w:rFonts w:ascii="Times New Roman" w:hAnsi="Times New Roman" w:cs="Times New Roman"/>
          <w:sz w:val="24"/>
        </w:rPr>
        <w:t xml:space="preserve">. Salah satu faktor yang bisa menyebabkan bank kesulitan likuiditas adalah ketidakmampuan bank untuk mengelola kredit yang disalurkannya dan menarik simpanan masyarakat. Hasil studi ini menunjukkan resiko liquiditas berpengaruh signifikan positif terhadap profitabilitas. Mengacu kepada hasil ini, dapat disimpulkan Perbankan Syariah di Indonesia memiliki kemampuan yang baik dalam mengelola kredit yang disalurkan, juga dalam menghimpun dana masyarakat, sehingga menghasilkan kas dan setara kas yang memadai untuk kemudian disalurkan kembali sebagai pembiayaan yang pada akhirnya akan meningkatkan profitabilitasnya. Temuan penelitian ini sejalan dengan hasil studi dari </w:t>
      </w:r>
      <w:r w:rsidR="00C86557" w:rsidRPr="000158C6">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"Bassey", "given" : "Godwin E", "non-dropping-particle" : "", "parse-names" : false, "suffix" : "" }, { "dropping-particle" : "", "family" : "Moses", "given" : "Comfort Effiong", "non-dropping-particle" : "", "parse-names" : false, "suffix" : "" } ], "container-title" : "Bank Profitability and Liquidity Management: a Case Study of Selected Nigerian Deposit Money Banks", "id" : "ITEM-1", "issue" : "4", "issued" : { "date-parts" : [ [ "2015" ] ] }, "page" : "1-24", "title" : "Bank Profitability and Liquidity Management : a Case Study of Selected Nigerian Deposit Money Banks", "type" : "article-journal", "volume" : "III" }, "uris" : [ "http://www.mendeley.com/documents/?uuid=a4aea9d5-5b96-448a-a92a-bf6e4fb60242" ] } ], "mendeley" : { "formattedCitation" : "(Bassey and Moses, 2015)", "plainTextFormattedCitation" : "(Bassey and Moses, 2015)", "previouslyFormattedCitation" : "(Bassey and Moses, 2015)" }, "properties" : { "noteIndex" : 0 }, "schema" : "https://github.com/citation-style-language/schema/raw/master/csl-citation.json" }</w:instrText>
      </w:r>
      <w:r w:rsidR="00C86557" w:rsidRPr="000158C6">
        <w:rPr>
          <w:rFonts w:ascii="Times New Roman" w:hAnsi="Times New Roman" w:cs="Times New Roman"/>
          <w:sz w:val="24"/>
        </w:rPr>
        <w:fldChar w:fldCharType="separate"/>
      </w:r>
      <w:r w:rsidRPr="007544C9">
        <w:rPr>
          <w:rFonts w:ascii="Times New Roman" w:hAnsi="Times New Roman" w:cs="Times New Roman"/>
          <w:noProof/>
          <w:sz w:val="24"/>
        </w:rPr>
        <w:t>(Bassey and Moses, 2015)</w:t>
      </w:r>
      <w:r w:rsidR="00C86557" w:rsidRPr="000158C6">
        <w:rPr>
          <w:rFonts w:ascii="Times New Roman" w:hAnsi="Times New Roman" w:cs="Times New Roman"/>
          <w:sz w:val="24"/>
        </w:rPr>
        <w:fldChar w:fldCharType="end"/>
      </w:r>
      <w:r w:rsidRPr="000158C6">
        <w:rPr>
          <w:rFonts w:ascii="Times New Roman" w:hAnsi="Times New Roman" w:cs="Times New Roman"/>
          <w:sz w:val="24"/>
        </w:rPr>
        <w:t xml:space="preserve"> dan </w:t>
      </w:r>
      <w:r w:rsidR="00C86557" w:rsidRPr="000158C6">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"10.5539/ijbm.v9n4p22", "ISBN" : "1086737121", "ISSN" : "1833-8119", "abstract" : "This paper investigated the internal factors that affecting profitability of banks. The main objective was to compare the profitability of the Saudi and Jordanian banks by using the internal factors for estimations. The necessary data was collected from secondary sources. A sample of twenty three Saudi and Jordanian banks was considered with 161 observations for the period 2005-2011. Financial ratios were calculated and statistical tools including Pearson\u2019s correlation, descriptive analysis of variance and regression analysis were utilized in testing the hypotheses and to measure the differences and similarities between the sample banks according to their different characteristics. The factors influencing the profitability were tested empirically. However, the results indicated that there is a significant positive correlation between ROA of Saudi banks with TEA, TIA and LQR variables, as well as a negative correlation with NCA, CDR, CIR and SZE variables. Meanwhile, there is a significant positive correlation between ROA of Jordanian banks with LQR, NCA, TEA and CDR variables, also there is a negative correlation of return on assets with CIR, TIA and SZE. It is recommended that empirical studies should be undertaken in the same field to find out what more internal factors could affect profitability of banks.", "author" : [ { "dropping-particle" : "", "family" : "Almazari", "given" : "Ahmad Aref", "non-dropping-particle" : "", "parse-names" : false, "suffix" : "" } ], "container-title" : "Journal of Applied Finance &amp; Banking", "id" : "ITEM-1", "issue" : "1", "issued" : { "date-parts" : [ [ "2014" ] ] }, "page" : "125-140", "title" : "Impact of Internal Factors on Bank Profitability : Comparative Study between Saudi Arabia and Jordan", "type" : "article-journal", "volume" : "4" }, "uris" : [ "http://www.mendeley.com/documents/?uuid=39cc8bb4-be32-4e61-8212-4ec3b7388e52" ] } ], "mendeley" : { "formattedCitation" : "(Almazari, 2014)", "plainTextFormattedCitation" : "(Almazari, 2014)", "previouslyFormattedCitation" : "(Almazari, 2014)" }, "properties" : { "noteIndex" : 0 }, "schema" : "https://github.com/citation-style-language/schema/raw/master/csl-citation.json" }</w:instrText>
      </w:r>
      <w:r w:rsidR="00C86557" w:rsidRPr="000158C6">
        <w:rPr>
          <w:rFonts w:ascii="Times New Roman" w:hAnsi="Times New Roman" w:cs="Times New Roman"/>
          <w:sz w:val="24"/>
        </w:rPr>
        <w:fldChar w:fldCharType="separate"/>
      </w:r>
      <w:r w:rsidR="00B87D11">
        <w:rPr>
          <w:rFonts w:ascii="Times New Roman" w:hAnsi="Times New Roman" w:cs="Times New Roman"/>
          <w:noProof/>
          <w:sz w:val="24"/>
        </w:rPr>
        <w:t>(Almazari,</w:t>
      </w:r>
      <w:r w:rsidRPr="0030581B">
        <w:rPr>
          <w:rFonts w:ascii="Times New Roman" w:hAnsi="Times New Roman" w:cs="Times New Roman"/>
          <w:noProof/>
          <w:sz w:val="24"/>
        </w:rPr>
        <w:t>2014)</w:t>
      </w:r>
      <w:r w:rsidR="00C86557" w:rsidRPr="000158C6">
        <w:rPr>
          <w:rFonts w:ascii="Times New Roman" w:hAnsi="Times New Roman" w:cs="Times New Roman"/>
          <w:sz w:val="24"/>
        </w:rPr>
        <w:fldChar w:fldCharType="end"/>
      </w:r>
      <w:r w:rsidR="00115FCE">
        <w:rPr>
          <w:rFonts w:ascii="Times New Roman" w:hAnsi="Times New Roman" w:cs="Times New Roman"/>
          <w:sz w:val="24"/>
          <w:lang w:val="en-US"/>
        </w:rPr>
        <w:t>.</w:t>
      </w:r>
    </w:p>
    <w:p w:rsidR="00B87D11" w:rsidRDefault="00B87D11" w:rsidP="00B87D11">
      <w:pPr>
        <w:rPr>
          <w:rFonts w:ascii="Times New Roman" w:hAnsi="Times New Roman"/>
          <w:sz w:val="24"/>
          <w:szCs w:val="24"/>
        </w:rPr>
        <w:sectPr w:rsidR="00B87D11" w:rsidSect="00B87D11">
          <w:type w:val="continuous"/>
          <w:pgSz w:w="11906" w:h="16838"/>
          <w:pgMar w:top="1411" w:right="1282" w:bottom="1411" w:left="1282" w:header="706" w:footer="706" w:gutter="0"/>
          <w:cols w:num="2" w:space="720" w:equalWidth="0">
            <w:col w:w="3092" w:space="432"/>
            <w:col w:w="5818" w:space="0"/>
          </w:cols>
        </w:sectPr>
      </w:pPr>
    </w:p>
    <w:p w:rsidR="00B87D11" w:rsidRDefault="00B87D11" w:rsidP="00115FCE">
      <w:pPr>
        <w:jc w:val="center"/>
        <w:rPr>
          <w:rFonts w:ascii="Times New Roman" w:hAnsi="Times New Roman"/>
          <w:sz w:val="24"/>
          <w:szCs w:val="24"/>
        </w:rPr>
      </w:pPr>
      <w:r w:rsidRPr="000158C6">
        <w:rPr>
          <w:rFonts w:ascii="Times New Roman" w:hAnsi="Times New Roman"/>
          <w:sz w:val="24"/>
          <w:szCs w:val="24"/>
        </w:rPr>
        <w:t>Table 5. ANOVA Test</w:t>
      </w:r>
    </w:p>
    <w:tbl>
      <w:tblPr>
        <w:tblpPr w:leftFromText="180" w:rightFromText="180" w:vertAnchor="page" w:horzAnchor="margin" w:tblpY="11935"/>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0"/>
        <w:gridCol w:w="2070"/>
        <w:gridCol w:w="1890"/>
        <w:gridCol w:w="1260"/>
        <w:gridCol w:w="1710"/>
        <w:gridCol w:w="1080"/>
        <w:gridCol w:w="990"/>
      </w:tblGrid>
      <w:tr w:rsidR="00E418BD" w:rsidRPr="000158C6" w:rsidTr="00E418BD">
        <w:trPr>
          <w:cantSplit/>
        </w:trPr>
        <w:tc>
          <w:tcPr>
            <w:tcW w:w="9270" w:type="dxa"/>
            <w:gridSpan w:val="7"/>
            <w:shd w:val="clear" w:color="auto" w:fill="FFFFFF"/>
            <w:vAlign w:val="center"/>
          </w:tcPr>
          <w:p w:rsidR="00E418BD" w:rsidRPr="000158C6" w:rsidRDefault="00E418BD" w:rsidP="00E418BD">
            <w:pPr>
              <w:autoSpaceDE w:val="0"/>
              <w:autoSpaceDN w:val="0"/>
              <w:adjustRightInd w:val="0"/>
              <w:spacing w:line="320" w:lineRule="atLeast"/>
              <w:ind w:left="60" w:right="60"/>
              <w:rPr>
                <w:rFonts w:ascii="Times New Roman" w:hAnsi="Times New Roman"/>
                <w:sz w:val="24"/>
                <w:szCs w:val="24"/>
              </w:rPr>
            </w:pPr>
            <w:bookmarkStart w:id="0" w:name="_GoBack"/>
            <w:bookmarkEnd w:id="0"/>
            <w:r w:rsidRPr="000158C6">
              <w:rPr>
                <w:rFonts w:ascii="Times New Roman" w:hAnsi="Times New Roman"/>
                <w:b/>
                <w:bCs/>
                <w:sz w:val="24"/>
                <w:szCs w:val="24"/>
              </w:rPr>
              <w:t>ANOVA</w:t>
            </w:r>
            <w:r w:rsidRPr="000158C6">
              <w:rPr>
                <w:rFonts w:ascii="Times New Roman" w:hAnsi="Times New Roman"/>
                <w:b/>
                <w:bCs/>
                <w:sz w:val="24"/>
                <w:szCs w:val="24"/>
                <w:vertAlign w:val="superscript"/>
              </w:rPr>
              <w:t>a</w:t>
            </w:r>
          </w:p>
        </w:tc>
      </w:tr>
      <w:tr w:rsidR="00E418BD" w:rsidRPr="000158C6" w:rsidTr="00E418BD">
        <w:trPr>
          <w:cantSplit/>
        </w:trPr>
        <w:tc>
          <w:tcPr>
            <w:tcW w:w="2340" w:type="dxa"/>
            <w:gridSpan w:val="2"/>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Model</w:t>
            </w:r>
          </w:p>
        </w:tc>
        <w:tc>
          <w:tcPr>
            <w:tcW w:w="1890" w:type="dxa"/>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Sum of Squares</w:t>
            </w:r>
          </w:p>
        </w:tc>
        <w:tc>
          <w:tcPr>
            <w:tcW w:w="1260" w:type="dxa"/>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df</w:t>
            </w:r>
          </w:p>
        </w:tc>
        <w:tc>
          <w:tcPr>
            <w:tcW w:w="1710" w:type="dxa"/>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Mean Square</w:t>
            </w:r>
          </w:p>
        </w:tc>
        <w:tc>
          <w:tcPr>
            <w:tcW w:w="1080" w:type="dxa"/>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F</w:t>
            </w:r>
          </w:p>
        </w:tc>
        <w:tc>
          <w:tcPr>
            <w:tcW w:w="990" w:type="dxa"/>
            <w:shd w:val="clear" w:color="auto" w:fill="FFFFFF"/>
            <w:vAlign w:val="bottom"/>
          </w:tcPr>
          <w:p w:rsidR="00E418BD" w:rsidRPr="000158C6" w:rsidRDefault="00E418BD" w:rsidP="00E418BD">
            <w:pPr>
              <w:autoSpaceDE w:val="0"/>
              <w:autoSpaceDN w:val="0"/>
              <w:adjustRightInd w:val="0"/>
              <w:ind w:left="60" w:right="60"/>
              <w:rPr>
                <w:rFonts w:ascii="Times New Roman" w:hAnsi="Times New Roman"/>
                <w:b/>
                <w:sz w:val="24"/>
                <w:szCs w:val="24"/>
              </w:rPr>
            </w:pPr>
            <w:r w:rsidRPr="000158C6">
              <w:rPr>
                <w:rFonts w:ascii="Times New Roman" w:hAnsi="Times New Roman"/>
                <w:b/>
                <w:sz w:val="24"/>
                <w:szCs w:val="24"/>
              </w:rPr>
              <w:t>Sig.</w:t>
            </w:r>
          </w:p>
        </w:tc>
      </w:tr>
      <w:tr w:rsidR="00E418BD" w:rsidRPr="000158C6" w:rsidTr="00E418BD">
        <w:trPr>
          <w:cantSplit/>
        </w:trPr>
        <w:tc>
          <w:tcPr>
            <w:tcW w:w="270" w:type="dxa"/>
            <w:vMerge w:val="restart"/>
            <w:shd w:val="clear" w:color="auto" w:fill="auto"/>
          </w:tcPr>
          <w:p w:rsidR="00E418BD" w:rsidRPr="000158C6" w:rsidRDefault="00E418BD" w:rsidP="00E418BD">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1</w:t>
            </w:r>
          </w:p>
        </w:tc>
        <w:tc>
          <w:tcPr>
            <w:tcW w:w="2070" w:type="dxa"/>
            <w:shd w:val="clear" w:color="auto" w:fill="auto"/>
          </w:tcPr>
          <w:p w:rsidR="00E418BD" w:rsidRPr="000158C6" w:rsidRDefault="00E418BD" w:rsidP="00E418BD">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Regression</w:t>
            </w:r>
          </w:p>
        </w:tc>
        <w:tc>
          <w:tcPr>
            <w:tcW w:w="189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.544</w:t>
            </w:r>
          </w:p>
        </w:tc>
        <w:tc>
          <w:tcPr>
            <w:tcW w:w="126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5</w:t>
            </w:r>
          </w:p>
        </w:tc>
        <w:tc>
          <w:tcPr>
            <w:tcW w:w="171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.109</w:t>
            </w:r>
          </w:p>
        </w:tc>
        <w:tc>
          <w:tcPr>
            <w:tcW w:w="108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76.246</w:t>
            </w:r>
          </w:p>
        </w:tc>
        <w:tc>
          <w:tcPr>
            <w:tcW w:w="99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.000</w:t>
            </w:r>
            <w:r w:rsidRPr="000158C6">
              <w:rPr>
                <w:rFonts w:ascii="Times New Roman" w:hAnsi="Times New Roman"/>
                <w:sz w:val="24"/>
                <w:szCs w:val="24"/>
                <w:vertAlign w:val="superscript"/>
              </w:rPr>
              <w:t>b</w:t>
            </w:r>
          </w:p>
        </w:tc>
      </w:tr>
      <w:tr w:rsidR="00E418BD" w:rsidRPr="000158C6" w:rsidTr="00E418BD">
        <w:trPr>
          <w:cantSplit/>
        </w:trPr>
        <w:tc>
          <w:tcPr>
            <w:tcW w:w="270" w:type="dxa"/>
            <w:vMerge/>
            <w:shd w:val="clear" w:color="auto" w:fill="auto"/>
          </w:tcPr>
          <w:p w:rsidR="00E418BD" w:rsidRPr="000158C6" w:rsidRDefault="00E418BD" w:rsidP="00E418BD">
            <w:pPr>
              <w:autoSpaceDE w:val="0"/>
              <w:autoSpaceDN w:val="0"/>
              <w:adjustRightInd w:val="0"/>
              <w:rPr>
                <w:rFonts w:ascii="Times New Roman" w:hAnsi="Times New Roman"/>
                <w:sz w:val="24"/>
                <w:szCs w:val="24"/>
              </w:rPr>
            </w:pPr>
          </w:p>
        </w:tc>
        <w:tc>
          <w:tcPr>
            <w:tcW w:w="2070" w:type="dxa"/>
            <w:shd w:val="clear" w:color="auto" w:fill="auto"/>
          </w:tcPr>
          <w:p w:rsidR="00E418BD" w:rsidRPr="000158C6" w:rsidRDefault="00E418BD" w:rsidP="00E418BD">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Residual</w:t>
            </w:r>
          </w:p>
        </w:tc>
        <w:tc>
          <w:tcPr>
            <w:tcW w:w="189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.049</w:t>
            </w:r>
          </w:p>
        </w:tc>
        <w:tc>
          <w:tcPr>
            <w:tcW w:w="126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34</w:t>
            </w:r>
          </w:p>
        </w:tc>
        <w:tc>
          <w:tcPr>
            <w:tcW w:w="171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.001</w:t>
            </w:r>
          </w:p>
        </w:tc>
        <w:tc>
          <w:tcPr>
            <w:tcW w:w="1080" w:type="dxa"/>
            <w:shd w:val="clear" w:color="auto" w:fill="FFFFFF"/>
            <w:vAlign w:val="center"/>
          </w:tcPr>
          <w:p w:rsidR="00E418BD" w:rsidRPr="000158C6" w:rsidRDefault="00E418BD" w:rsidP="00E418BD">
            <w:pPr>
              <w:autoSpaceDE w:val="0"/>
              <w:autoSpaceDN w:val="0"/>
              <w:adjustRightInd w:val="0"/>
              <w:rPr>
                <w:rFonts w:ascii="Times New Roman" w:hAnsi="Times New Roman"/>
                <w:sz w:val="24"/>
                <w:szCs w:val="24"/>
              </w:rPr>
            </w:pPr>
          </w:p>
        </w:tc>
        <w:tc>
          <w:tcPr>
            <w:tcW w:w="990" w:type="dxa"/>
            <w:shd w:val="clear" w:color="auto" w:fill="FFFFFF"/>
            <w:vAlign w:val="center"/>
          </w:tcPr>
          <w:p w:rsidR="00E418BD" w:rsidRPr="000158C6" w:rsidRDefault="00E418BD" w:rsidP="00E418BD">
            <w:pPr>
              <w:autoSpaceDE w:val="0"/>
              <w:autoSpaceDN w:val="0"/>
              <w:adjustRightInd w:val="0"/>
              <w:rPr>
                <w:rFonts w:ascii="Times New Roman" w:hAnsi="Times New Roman"/>
                <w:sz w:val="24"/>
                <w:szCs w:val="24"/>
              </w:rPr>
            </w:pPr>
          </w:p>
        </w:tc>
      </w:tr>
      <w:tr w:rsidR="00E418BD" w:rsidRPr="000158C6" w:rsidTr="00E418BD">
        <w:trPr>
          <w:cantSplit/>
        </w:trPr>
        <w:tc>
          <w:tcPr>
            <w:tcW w:w="270" w:type="dxa"/>
            <w:vMerge/>
            <w:shd w:val="clear" w:color="auto" w:fill="auto"/>
          </w:tcPr>
          <w:p w:rsidR="00E418BD" w:rsidRPr="000158C6" w:rsidRDefault="00E418BD" w:rsidP="00E418BD">
            <w:pPr>
              <w:autoSpaceDE w:val="0"/>
              <w:autoSpaceDN w:val="0"/>
              <w:adjustRightInd w:val="0"/>
              <w:rPr>
                <w:rFonts w:ascii="Times New Roman" w:hAnsi="Times New Roman"/>
                <w:sz w:val="24"/>
                <w:szCs w:val="24"/>
              </w:rPr>
            </w:pPr>
          </w:p>
        </w:tc>
        <w:tc>
          <w:tcPr>
            <w:tcW w:w="2070" w:type="dxa"/>
            <w:shd w:val="clear" w:color="auto" w:fill="auto"/>
          </w:tcPr>
          <w:p w:rsidR="00E418BD" w:rsidRPr="000158C6" w:rsidRDefault="00E418BD" w:rsidP="00E418BD">
            <w:pPr>
              <w:autoSpaceDE w:val="0"/>
              <w:autoSpaceDN w:val="0"/>
              <w:adjustRightInd w:val="0"/>
              <w:ind w:left="60" w:right="60"/>
              <w:rPr>
                <w:rFonts w:ascii="Times New Roman" w:hAnsi="Times New Roman"/>
                <w:sz w:val="24"/>
                <w:szCs w:val="24"/>
              </w:rPr>
            </w:pPr>
            <w:r w:rsidRPr="000158C6">
              <w:rPr>
                <w:rFonts w:ascii="Times New Roman" w:hAnsi="Times New Roman"/>
                <w:sz w:val="24"/>
                <w:szCs w:val="24"/>
              </w:rPr>
              <w:t>Total</w:t>
            </w:r>
          </w:p>
        </w:tc>
        <w:tc>
          <w:tcPr>
            <w:tcW w:w="189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.593</w:t>
            </w:r>
          </w:p>
        </w:tc>
        <w:tc>
          <w:tcPr>
            <w:tcW w:w="1260" w:type="dxa"/>
            <w:shd w:val="clear" w:color="auto" w:fill="FFFFFF"/>
          </w:tcPr>
          <w:p w:rsidR="00E418BD" w:rsidRPr="000158C6" w:rsidRDefault="00E418BD" w:rsidP="00E418BD">
            <w:pPr>
              <w:autoSpaceDE w:val="0"/>
              <w:autoSpaceDN w:val="0"/>
              <w:adjustRightInd w:val="0"/>
              <w:ind w:left="60" w:right="60"/>
              <w:jc w:val="right"/>
              <w:rPr>
                <w:rFonts w:ascii="Times New Roman" w:hAnsi="Times New Roman"/>
                <w:sz w:val="24"/>
                <w:szCs w:val="24"/>
              </w:rPr>
            </w:pPr>
            <w:r w:rsidRPr="000158C6">
              <w:rPr>
                <w:rFonts w:ascii="Times New Roman" w:hAnsi="Times New Roman"/>
                <w:sz w:val="24"/>
                <w:szCs w:val="24"/>
              </w:rPr>
              <w:t>39</w:t>
            </w:r>
          </w:p>
        </w:tc>
        <w:tc>
          <w:tcPr>
            <w:tcW w:w="1710" w:type="dxa"/>
            <w:shd w:val="clear" w:color="auto" w:fill="FFFFFF"/>
            <w:vAlign w:val="center"/>
          </w:tcPr>
          <w:p w:rsidR="00E418BD" w:rsidRPr="000158C6" w:rsidRDefault="00E418BD" w:rsidP="00E418BD">
            <w:pPr>
              <w:autoSpaceDE w:val="0"/>
              <w:autoSpaceDN w:val="0"/>
              <w:adjustRightInd w:val="0"/>
              <w:rPr>
                <w:rFonts w:ascii="Times New Roman" w:hAnsi="Times New Roman"/>
                <w:sz w:val="24"/>
                <w:szCs w:val="24"/>
              </w:rPr>
            </w:pPr>
          </w:p>
        </w:tc>
        <w:tc>
          <w:tcPr>
            <w:tcW w:w="1080" w:type="dxa"/>
            <w:shd w:val="clear" w:color="auto" w:fill="FFFFFF"/>
            <w:vAlign w:val="center"/>
          </w:tcPr>
          <w:p w:rsidR="00E418BD" w:rsidRPr="000158C6" w:rsidRDefault="00E418BD" w:rsidP="00E418BD">
            <w:pPr>
              <w:autoSpaceDE w:val="0"/>
              <w:autoSpaceDN w:val="0"/>
              <w:adjustRightInd w:val="0"/>
              <w:rPr>
                <w:rFonts w:ascii="Times New Roman" w:hAnsi="Times New Roman"/>
                <w:sz w:val="24"/>
                <w:szCs w:val="24"/>
              </w:rPr>
            </w:pPr>
          </w:p>
        </w:tc>
        <w:tc>
          <w:tcPr>
            <w:tcW w:w="990" w:type="dxa"/>
            <w:shd w:val="clear" w:color="auto" w:fill="FFFFFF"/>
            <w:vAlign w:val="center"/>
          </w:tcPr>
          <w:p w:rsidR="00E418BD" w:rsidRPr="000158C6" w:rsidRDefault="00E418BD" w:rsidP="00E418BD">
            <w:pPr>
              <w:autoSpaceDE w:val="0"/>
              <w:autoSpaceDN w:val="0"/>
              <w:adjustRightInd w:val="0"/>
              <w:rPr>
                <w:rFonts w:ascii="Times New Roman" w:hAnsi="Times New Roman"/>
                <w:sz w:val="24"/>
                <w:szCs w:val="24"/>
              </w:rPr>
            </w:pPr>
          </w:p>
        </w:tc>
      </w:tr>
      <w:tr w:rsidR="00E418BD" w:rsidRPr="000158C6" w:rsidTr="00E418BD">
        <w:trPr>
          <w:cantSplit/>
        </w:trPr>
        <w:tc>
          <w:tcPr>
            <w:tcW w:w="9270" w:type="dxa"/>
            <w:gridSpan w:val="7"/>
            <w:shd w:val="clear" w:color="auto" w:fill="FFFFFF"/>
          </w:tcPr>
          <w:p w:rsidR="00E418BD" w:rsidRPr="000158C6" w:rsidRDefault="00E418BD" w:rsidP="00E418BD">
            <w:pPr>
              <w:autoSpaceDE w:val="0"/>
              <w:autoSpaceDN w:val="0"/>
              <w:adjustRightInd w:val="0"/>
              <w:ind w:left="58" w:right="58"/>
              <w:rPr>
                <w:rFonts w:ascii="Times New Roman" w:hAnsi="Times New Roman"/>
                <w:sz w:val="24"/>
                <w:szCs w:val="24"/>
              </w:rPr>
            </w:pPr>
            <w:r w:rsidRPr="000158C6">
              <w:rPr>
                <w:rFonts w:ascii="Times New Roman" w:hAnsi="Times New Roman"/>
                <w:sz w:val="24"/>
                <w:szCs w:val="24"/>
              </w:rPr>
              <w:t>a. Dependent Variable: ROE</w:t>
            </w:r>
          </w:p>
        </w:tc>
      </w:tr>
      <w:tr w:rsidR="00E418BD" w:rsidRPr="000158C6" w:rsidTr="00E418BD">
        <w:trPr>
          <w:cantSplit/>
        </w:trPr>
        <w:tc>
          <w:tcPr>
            <w:tcW w:w="9270" w:type="dxa"/>
            <w:gridSpan w:val="7"/>
            <w:shd w:val="clear" w:color="auto" w:fill="FFFFFF"/>
          </w:tcPr>
          <w:p w:rsidR="00E418BD" w:rsidRPr="000158C6" w:rsidRDefault="00E418BD" w:rsidP="00E418BD">
            <w:pPr>
              <w:autoSpaceDE w:val="0"/>
              <w:autoSpaceDN w:val="0"/>
              <w:adjustRightInd w:val="0"/>
              <w:ind w:left="58" w:right="58"/>
              <w:rPr>
                <w:rFonts w:ascii="Times New Roman" w:hAnsi="Times New Roman"/>
                <w:sz w:val="24"/>
                <w:szCs w:val="24"/>
              </w:rPr>
            </w:pPr>
            <w:r w:rsidRPr="000158C6">
              <w:rPr>
                <w:rFonts w:ascii="Times New Roman" w:hAnsi="Times New Roman"/>
                <w:sz w:val="24"/>
                <w:szCs w:val="24"/>
              </w:rPr>
              <w:t>b. Predictors: (Constant), LIQRisk, CAR, CRISK, INF, SIZE</w:t>
            </w:r>
          </w:p>
        </w:tc>
      </w:tr>
    </w:tbl>
    <w:p w:rsidR="00E418BD" w:rsidRDefault="00E418BD" w:rsidP="00115FCE">
      <w:pPr>
        <w:jc w:val="center"/>
        <w:rPr>
          <w:rFonts w:ascii="Times New Roman" w:hAnsi="Times New Roman"/>
          <w:sz w:val="24"/>
          <w:szCs w:val="24"/>
        </w:rPr>
      </w:pPr>
    </w:p>
    <w:p w:rsidR="00B87D11" w:rsidRDefault="00B87D11" w:rsidP="00B87D11">
      <w:pPr>
        <w:rPr>
          <w:rFonts w:ascii="Times New Roman" w:hAnsi="Times New Roman"/>
          <w:sz w:val="24"/>
          <w:szCs w:val="24"/>
        </w:rPr>
        <w:sectPr w:rsidR="00B87D11" w:rsidSect="00115FCE">
          <w:type w:val="continuous"/>
          <w:pgSz w:w="11906" w:h="16838"/>
          <w:pgMar w:top="1411" w:right="1282" w:bottom="1411" w:left="1282" w:header="706" w:footer="706" w:gutter="0"/>
          <w:cols w:space="432"/>
        </w:sectPr>
      </w:pPr>
    </w:p>
    <w:p w:rsidR="00B87D11" w:rsidRDefault="00B87D11" w:rsidP="008B2AC0">
      <w:pPr>
        <w:jc w:val="both"/>
        <w:rPr>
          <w:rFonts w:ascii="Times New Roman" w:eastAsia="Times New Roman" w:hAnsi="Times New Roman" w:cs="Times New Roman"/>
          <w:b/>
          <w:sz w:val="24"/>
          <w:szCs w:val="24"/>
          <w:highlight w:val="yellow"/>
        </w:rPr>
        <w:sectPr w:rsidR="00B87D11" w:rsidSect="00FD44D7">
          <w:type w:val="continuous"/>
          <w:pgSz w:w="11906" w:h="16838"/>
          <w:pgMar w:top="1411" w:right="1282" w:bottom="1411" w:left="1282" w:header="706" w:footer="706" w:gutter="0"/>
          <w:cols w:num="2" w:space="720" w:equalWidth="0">
            <w:col w:w="4455" w:space="432"/>
            <w:col w:w="4455" w:space="0"/>
          </w:cols>
        </w:sectPr>
      </w:pPr>
    </w:p>
    <w:p w:rsidR="00B87D11" w:rsidRPr="00B87D11" w:rsidRDefault="00B87D11" w:rsidP="00B87D11">
      <w:pPr>
        <w:spacing w:before="120" w:after="120"/>
        <w:jc w:val="both"/>
        <w:rPr>
          <w:rFonts w:ascii="Times New Roman" w:hAnsi="Times New Roman"/>
          <w:sz w:val="24"/>
          <w:szCs w:val="24"/>
        </w:rPr>
        <w:sectPr w:rsidR="00B87D11" w:rsidRPr="00B87D11" w:rsidSect="00FD44D7">
          <w:type w:val="continuous"/>
          <w:pgSz w:w="11906" w:h="16838"/>
          <w:pgMar w:top="1411" w:right="1282" w:bottom="1411" w:left="1282" w:header="706" w:footer="706" w:gutter="0"/>
          <w:cols w:num="2" w:space="720" w:equalWidth="0">
            <w:col w:w="4455" w:space="432"/>
            <w:col w:w="4455" w:space="0"/>
          </w:cols>
        </w:sectPr>
      </w:pPr>
      <w:r w:rsidRPr="000158C6">
        <w:rPr>
          <w:rFonts w:ascii="Times New Roman" w:hAnsi="Times New Roman"/>
          <w:sz w:val="24"/>
          <w:szCs w:val="24"/>
        </w:rPr>
        <w:t xml:space="preserve">Anova test digunakan untuk menguji model pengaruh variable LIQRisk, CAR, CRISK, </w:t>
      </w:r>
      <w:r w:rsidRPr="000158C6">
        <w:rPr>
          <w:rFonts w:ascii="Times New Roman" w:hAnsi="Times New Roman"/>
          <w:sz w:val="24"/>
          <w:szCs w:val="24"/>
        </w:rPr>
        <w:t xml:space="preserve">INF, SIZE terhadap Return on Equity, table 5 menunjukan nilai F hitung sebesar 75.246 dengan tingkat signifikasi 0.05 diperoleh nilai </w:t>
      </w:r>
      <w:r w:rsidRPr="000158C6">
        <w:rPr>
          <w:rFonts w:ascii="Times New Roman" w:hAnsi="Times New Roman"/>
          <w:sz w:val="24"/>
          <w:szCs w:val="24"/>
        </w:rPr>
        <w:lastRenderedPageBreak/>
        <w:t xml:space="preserve">signifikan 0.000, maka dengan demikian </w:t>
      </w:r>
      <m:oMath>
        <m:sSub>
          <m:sSubPr>
            <m:ctrlPr>
              <w:rPr>
                <w:rFonts w:ascii="Cambria Math" w:hAnsi="Cambria Math"/>
                <w:i/>
                <w:sz w:val="24"/>
                <w:szCs w:val="24"/>
              </w:rPr>
            </m:ctrlPr>
          </m:sSubPr>
          <m:e>
            <m:r>
              <m:rPr>
                <m:sty m:val="p"/>
              </m:rPr>
              <w:rPr>
                <w:rFonts w:ascii="Cambria Math" w:hAnsi="Cambria Math"/>
                <w:sz w:val="24"/>
                <w:szCs w:val="24"/>
              </w:rPr>
              <m:t>H</m:t>
            </m:r>
          </m:e>
          <m:sub>
            <m:r>
              <w:rPr>
                <w:rFonts w:ascii="Cambria Math" w:hAnsi="Cambria Math"/>
                <w:sz w:val="24"/>
                <w:szCs w:val="24"/>
              </w:rPr>
              <m:t>0</m:t>
            </m:r>
          </m:sub>
        </m:sSub>
      </m:oMath>
      <w:r w:rsidRPr="000158C6">
        <w:rPr>
          <w:rFonts w:ascii="Times New Roman" w:hAnsi="Times New Roman"/>
          <w:sz w:val="24"/>
          <w:szCs w:val="24"/>
        </w:rPr>
        <w:t xml:space="preserve"> di tolak dan </w:t>
      </w:r>
      <m:oMath>
        <m:sSub>
          <m:sSubPr>
            <m:ctrlPr>
              <w:rPr>
                <w:rFonts w:ascii="Cambria Math" w:hAnsi="Cambria Math"/>
                <w:i/>
                <w:sz w:val="24"/>
                <w:szCs w:val="24"/>
              </w:rPr>
            </m:ctrlPr>
          </m:sSubPr>
          <m:e>
            <m:r>
              <m:rPr>
                <m:sty m:val="p"/>
              </m:rPr>
              <w:rPr>
                <w:rFonts w:ascii="Cambria Math" w:hAnsi="Cambria Math"/>
                <w:sz w:val="24"/>
                <w:szCs w:val="24"/>
              </w:rPr>
              <m:t>H</m:t>
            </m:r>
          </m:e>
          <m:sub>
            <m:r>
              <w:rPr>
                <w:rFonts w:ascii="Cambria Math" w:hAnsi="Cambria Math"/>
                <w:sz w:val="24"/>
                <w:szCs w:val="24"/>
              </w:rPr>
              <m:t>1</m:t>
            </m:r>
          </m:sub>
        </m:sSub>
      </m:oMath>
      <w:r w:rsidRPr="000158C6">
        <w:rPr>
          <w:rFonts w:ascii="Times New Roman" w:hAnsi="Times New Roman"/>
          <w:sz w:val="24"/>
          <w:szCs w:val="24"/>
        </w:rPr>
        <w:t xml:space="preserve"> diterima. Dengan demikian dapat disimpulkan bahwaProfitabilitas Bank Syariah di Indonesia dipengaruhi oleh Resiko </w:t>
      </w:r>
      <w:r w:rsidRPr="000158C6">
        <w:rPr>
          <w:rFonts w:ascii="Times New Roman" w:hAnsi="Times New Roman"/>
          <w:sz w:val="24"/>
          <w:szCs w:val="24"/>
        </w:rPr>
        <w:t>Kredit, Capital Adequacy Ratio, Ukuran perusahaan,</w:t>
      </w:r>
      <w:r w:rsidR="00AB2462">
        <w:rPr>
          <w:rFonts w:ascii="Times New Roman" w:hAnsi="Times New Roman"/>
          <w:sz w:val="24"/>
          <w:szCs w:val="24"/>
        </w:rPr>
        <w:t xml:space="preserve"> Liquiditas dan Tingkat inflasi</w:t>
      </w:r>
    </w:p>
    <w:p w:rsidR="00B87D11" w:rsidRDefault="00B87D11" w:rsidP="008B2AC0">
      <w:pPr>
        <w:jc w:val="both"/>
        <w:rPr>
          <w:rFonts w:ascii="Times New Roman" w:eastAsia="Times New Roman" w:hAnsi="Times New Roman" w:cs="Times New Roman"/>
          <w:b/>
          <w:sz w:val="24"/>
          <w:szCs w:val="24"/>
          <w:highlight w:val="yellow"/>
        </w:rPr>
        <w:sectPr w:rsidR="00B87D11" w:rsidSect="00FD44D7">
          <w:type w:val="continuous"/>
          <w:pgSz w:w="11906" w:h="16838"/>
          <w:pgMar w:top="1411" w:right="1282" w:bottom="1411" w:left="1282" w:header="706" w:footer="706" w:gutter="0"/>
          <w:cols w:num="2" w:space="720" w:equalWidth="0">
            <w:col w:w="4455" w:space="432"/>
            <w:col w:w="4455" w:space="0"/>
          </w:cols>
        </w:sectPr>
      </w:pPr>
    </w:p>
    <w:tbl>
      <w:tblPr>
        <w:tblpPr w:leftFromText="180" w:rightFromText="180" w:vertAnchor="text" w:horzAnchor="margin" w:tblpY="-1"/>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
        <w:gridCol w:w="990"/>
        <w:gridCol w:w="1530"/>
        <w:gridCol w:w="1800"/>
        <w:gridCol w:w="2283"/>
        <w:gridCol w:w="1587"/>
      </w:tblGrid>
      <w:tr w:rsidR="00AB2462" w:rsidRPr="000158C6" w:rsidTr="00AB2462">
        <w:trPr>
          <w:cantSplit/>
        </w:trPr>
        <w:tc>
          <w:tcPr>
            <w:tcW w:w="9090" w:type="dxa"/>
            <w:gridSpan w:val="6"/>
            <w:tcBorders>
              <w:top w:val="nil"/>
              <w:left w:val="nil"/>
              <w:bottom w:val="single" w:sz="4" w:space="0" w:color="auto"/>
              <w:right w:val="nil"/>
            </w:tcBorders>
            <w:shd w:val="clear" w:color="auto" w:fill="FFFFFF"/>
            <w:vAlign w:val="center"/>
          </w:tcPr>
          <w:p w:rsidR="00AB2462" w:rsidRDefault="00AB2462" w:rsidP="00AB2462">
            <w:pPr>
              <w:autoSpaceDE w:val="0"/>
              <w:autoSpaceDN w:val="0"/>
              <w:adjustRightInd w:val="0"/>
              <w:ind w:left="58" w:right="58"/>
              <w:jc w:val="center"/>
              <w:rPr>
                <w:rFonts w:ascii="Times New Roman" w:hAnsi="Times New Roman"/>
                <w:b/>
                <w:bCs/>
                <w:sz w:val="24"/>
                <w:szCs w:val="24"/>
                <w:vertAlign w:val="superscript"/>
              </w:rPr>
            </w:pPr>
            <w:r w:rsidRPr="00AB2462">
              <w:rPr>
                <w:rFonts w:ascii="Times New Roman" w:hAnsi="Times New Roman"/>
                <w:bCs/>
                <w:sz w:val="24"/>
                <w:szCs w:val="24"/>
              </w:rPr>
              <w:t xml:space="preserve">Tabel </w:t>
            </w:r>
            <w:r w:rsidRPr="00AB2462">
              <w:rPr>
                <w:rFonts w:ascii="Times New Roman" w:hAnsi="Times New Roman"/>
                <w:sz w:val="24"/>
                <w:szCs w:val="24"/>
              </w:rPr>
              <w:t>6</w:t>
            </w:r>
            <w:r>
              <w:rPr>
                <w:rFonts w:ascii="Times New Roman" w:hAnsi="Times New Roman"/>
                <w:sz w:val="24"/>
                <w:szCs w:val="24"/>
              </w:rPr>
              <w:t>. C</w:t>
            </w:r>
            <w:r w:rsidRPr="000158C6">
              <w:rPr>
                <w:rFonts w:ascii="Times New Roman" w:hAnsi="Times New Roman"/>
                <w:sz w:val="24"/>
                <w:szCs w:val="24"/>
              </w:rPr>
              <w:t>oefficient</w:t>
            </w:r>
            <w:r>
              <w:rPr>
                <w:rFonts w:ascii="Times New Roman" w:hAnsi="Times New Roman"/>
                <w:sz w:val="24"/>
                <w:szCs w:val="24"/>
              </w:rPr>
              <w:t xml:space="preserve"> Determinan</w:t>
            </w:r>
          </w:p>
          <w:p w:rsidR="00AB2462" w:rsidRPr="00AB2462" w:rsidRDefault="00AB2462" w:rsidP="00AB2462">
            <w:pPr>
              <w:autoSpaceDE w:val="0"/>
              <w:autoSpaceDN w:val="0"/>
              <w:adjustRightInd w:val="0"/>
              <w:ind w:left="58" w:right="58"/>
              <w:jc w:val="center"/>
              <w:rPr>
                <w:rFonts w:ascii="Times New Roman" w:hAnsi="Times New Roman"/>
                <w:b/>
                <w:bCs/>
                <w:sz w:val="24"/>
                <w:szCs w:val="24"/>
                <w:vertAlign w:val="superscript"/>
              </w:rPr>
            </w:pPr>
            <w:r w:rsidRPr="000158C6">
              <w:rPr>
                <w:rFonts w:ascii="Times New Roman" w:hAnsi="Times New Roman"/>
                <w:b/>
                <w:bCs/>
                <w:sz w:val="24"/>
                <w:szCs w:val="24"/>
              </w:rPr>
              <w:t>Model Summary</w:t>
            </w:r>
            <w:r w:rsidRPr="000158C6">
              <w:rPr>
                <w:rFonts w:ascii="Times New Roman" w:hAnsi="Times New Roman"/>
                <w:b/>
                <w:bCs/>
                <w:sz w:val="24"/>
                <w:szCs w:val="24"/>
                <w:vertAlign w:val="superscript"/>
              </w:rPr>
              <w:t>b</w:t>
            </w:r>
          </w:p>
        </w:tc>
      </w:tr>
      <w:tr w:rsidR="00AB2462" w:rsidRPr="000158C6" w:rsidTr="00AB2462">
        <w:trPr>
          <w:cantSplit/>
        </w:trPr>
        <w:tc>
          <w:tcPr>
            <w:tcW w:w="900"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Model</w:t>
            </w:r>
          </w:p>
        </w:tc>
        <w:tc>
          <w:tcPr>
            <w:tcW w:w="990"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R</w:t>
            </w:r>
          </w:p>
        </w:tc>
        <w:tc>
          <w:tcPr>
            <w:tcW w:w="1530"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R Square</w:t>
            </w:r>
          </w:p>
        </w:tc>
        <w:tc>
          <w:tcPr>
            <w:tcW w:w="1800"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Adjusted R Square</w:t>
            </w:r>
          </w:p>
        </w:tc>
        <w:tc>
          <w:tcPr>
            <w:tcW w:w="2283"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Std. Error of the Estimate</w:t>
            </w:r>
          </w:p>
        </w:tc>
        <w:tc>
          <w:tcPr>
            <w:tcW w:w="1587" w:type="dxa"/>
            <w:tcBorders>
              <w:top w:val="single" w:sz="4" w:space="0" w:color="auto"/>
              <w:left w:val="nil"/>
              <w:bottom w:val="single" w:sz="4" w:space="0" w:color="auto"/>
              <w:right w:val="nil"/>
            </w:tcBorders>
            <w:shd w:val="clear" w:color="auto" w:fill="FFFFFF"/>
            <w:vAlign w:val="bottom"/>
          </w:tcPr>
          <w:p w:rsidR="00AB2462" w:rsidRPr="000158C6" w:rsidRDefault="00AB2462" w:rsidP="00AB2462">
            <w:pPr>
              <w:autoSpaceDE w:val="0"/>
              <w:autoSpaceDN w:val="0"/>
              <w:adjustRightInd w:val="0"/>
              <w:ind w:left="58" w:right="58"/>
              <w:rPr>
                <w:rFonts w:ascii="Times New Roman" w:hAnsi="Times New Roman"/>
                <w:b/>
                <w:sz w:val="24"/>
                <w:szCs w:val="24"/>
              </w:rPr>
            </w:pPr>
            <w:r w:rsidRPr="000158C6">
              <w:rPr>
                <w:rFonts w:ascii="Times New Roman" w:hAnsi="Times New Roman"/>
                <w:b/>
                <w:sz w:val="24"/>
                <w:szCs w:val="24"/>
              </w:rPr>
              <w:t>D-W</w:t>
            </w:r>
          </w:p>
        </w:tc>
      </w:tr>
      <w:tr w:rsidR="00AB2462" w:rsidRPr="000158C6" w:rsidTr="00AB2462">
        <w:trPr>
          <w:cantSplit/>
        </w:trPr>
        <w:tc>
          <w:tcPr>
            <w:tcW w:w="900" w:type="dxa"/>
            <w:tcBorders>
              <w:top w:val="single" w:sz="4" w:space="0" w:color="auto"/>
              <w:left w:val="nil"/>
              <w:bottom w:val="single" w:sz="4" w:space="0" w:color="auto"/>
              <w:right w:val="nil"/>
            </w:tcBorders>
            <w:shd w:val="clear" w:color="auto" w:fill="auto"/>
          </w:tcPr>
          <w:p w:rsidR="00AB2462" w:rsidRPr="000158C6" w:rsidRDefault="00AB2462" w:rsidP="00AB2462">
            <w:pPr>
              <w:autoSpaceDE w:val="0"/>
              <w:autoSpaceDN w:val="0"/>
              <w:adjustRightInd w:val="0"/>
              <w:ind w:left="58" w:right="58"/>
              <w:rPr>
                <w:rFonts w:ascii="Times New Roman" w:hAnsi="Times New Roman"/>
                <w:sz w:val="24"/>
                <w:szCs w:val="24"/>
              </w:rPr>
            </w:pPr>
            <w:r w:rsidRPr="000158C6">
              <w:rPr>
                <w:rFonts w:ascii="Times New Roman" w:hAnsi="Times New Roman"/>
                <w:sz w:val="24"/>
                <w:szCs w:val="24"/>
              </w:rPr>
              <w:t>1</w:t>
            </w:r>
          </w:p>
        </w:tc>
        <w:tc>
          <w:tcPr>
            <w:tcW w:w="990" w:type="dxa"/>
            <w:tcBorders>
              <w:top w:val="single" w:sz="4" w:space="0" w:color="auto"/>
              <w:left w:val="nil"/>
              <w:bottom w:val="single" w:sz="4" w:space="0" w:color="auto"/>
              <w:right w:val="nil"/>
            </w:tcBorders>
            <w:shd w:val="clear" w:color="auto" w:fill="auto"/>
          </w:tcPr>
          <w:p w:rsidR="00AB2462" w:rsidRPr="000158C6" w:rsidRDefault="00AB2462" w:rsidP="00AB2462">
            <w:pPr>
              <w:autoSpaceDE w:val="0"/>
              <w:autoSpaceDN w:val="0"/>
              <w:adjustRightInd w:val="0"/>
              <w:ind w:left="58" w:right="58"/>
              <w:jc w:val="right"/>
              <w:rPr>
                <w:rFonts w:ascii="Times New Roman" w:hAnsi="Times New Roman"/>
                <w:sz w:val="24"/>
                <w:szCs w:val="24"/>
              </w:rPr>
            </w:pPr>
            <w:r w:rsidRPr="000158C6">
              <w:rPr>
                <w:rFonts w:ascii="Times New Roman" w:hAnsi="Times New Roman"/>
                <w:sz w:val="24"/>
                <w:szCs w:val="24"/>
              </w:rPr>
              <w:t>.958</w:t>
            </w:r>
            <w:r w:rsidRPr="000158C6">
              <w:rPr>
                <w:rFonts w:ascii="Times New Roman" w:hAnsi="Times New Roman"/>
                <w:sz w:val="24"/>
                <w:szCs w:val="24"/>
                <w:vertAlign w:val="superscript"/>
              </w:rPr>
              <w:t>a</w:t>
            </w:r>
          </w:p>
        </w:tc>
        <w:tc>
          <w:tcPr>
            <w:tcW w:w="1530" w:type="dxa"/>
            <w:tcBorders>
              <w:top w:val="single" w:sz="4" w:space="0" w:color="auto"/>
              <w:left w:val="nil"/>
              <w:bottom w:val="single" w:sz="4" w:space="0" w:color="auto"/>
              <w:right w:val="nil"/>
            </w:tcBorders>
            <w:shd w:val="clear" w:color="auto" w:fill="FFFFFF"/>
          </w:tcPr>
          <w:p w:rsidR="00AB2462" w:rsidRPr="000158C6" w:rsidRDefault="00AB2462" w:rsidP="00AB2462">
            <w:pPr>
              <w:autoSpaceDE w:val="0"/>
              <w:autoSpaceDN w:val="0"/>
              <w:adjustRightInd w:val="0"/>
              <w:ind w:left="58" w:right="58"/>
              <w:jc w:val="right"/>
              <w:rPr>
                <w:rFonts w:ascii="Times New Roman" w:hAnsi="Times New Roman"/>
                <w:sz w:val="24"/>
                <w:szCs w:val="24"/>
              </w:rPr>
            </w:pPr>
            <w:r w:rsidRPr="000158C6">
              <w:rPr>
                <w:rFonts w:ascii="Times New Roman" w:hAnsi="Times New Roman"/>
                <w:sz w:val="24"/>
                <w:szCs w:val="24"/>
              </w:rPr>
              <w:t>.918</w:t>
            </w:r>
          </w:p>
        </w:tc>
        <w:tc>
          <w:tcPr>
            <w:tcW w:w="1800" w:type="dxa"/>
            <w:tcBorders>
              <w:top w:val="single" w:sz="4" w:space="0" w:color="auto"/>
              <w:left w:val="nil"/>
              <w:bottom w:val="single" w:sz="4" w:space="0" w:color="auto"/>
              <w:right w:val="nil"/>
            </w:tcBorders>
            <w:shd w:val="clear" w:color="auto" w:fill="FFFFFF"/>
          </w:tcPr>
          <w:p w:rsidR="00AB2462" w:rsidRPr="000158C6" w:rsidRDefault="00AB2462" w:rsidP="00AB2462">
            <w:pPr>
              <w:autoSpaceDE w:val="0"/>
              <w:autoSpaceDN w:val="0"/>
              <w:adjustRightInd w:val="0"/>
              <w:ind w:left="58" w:right="58"/>
              <w:jc w:val="right"/>
              <w:rPr>
                <w:rFonts w:ascii="Times New Roman" w:hAnsi="Times New Roman"/>
                <w:sz w:val="24"/>
                <w:szCs w:val="24"/>
              </w:rPr>
            </w:pPr>
            <w:r w:rsidRPr="000158C6">
              <w:rPr>
                <w:rFonts w:ascii="Times New Roman" w:hAnsi="Times New Roman"/>
                <w:sz w:val="24"/>
                <w:szCs w:val="24"/>
              </w:rPr>
              <w:t>.906</w:t>
            </w:r>
          </w:p>
        </w:tc>
        <w:tc>
          <w:tcPr>
            <w:tcW w:w="2283" w:type="dxa"/>
            <w:tcBorders>
              <w:top w:val="single" w:sz="4" w:space="0" w:color="auto"/>
              <w:left w:val="nil"/>
              <w:bottom w:val="single" w:sz="4" w:space="0" w:color="auto"/>
              <w:right w:val="nil"/>
            </w:tcBorders>
            <w:shd w:val="clear" w:color="auto" w:fill="FFFFFF"/>
          </w:tcPr>
          <w:p w:rsidR="00AB2462" w:rsidRPr="000158C6" w:rsidRDefault="00AB2462" w:rsidP="00AB2462">
            <w:pPr>
              <w:autoSpaceDE w:val="0"/>
              <w:autoSpaceDN w:val="0"/>
              <w:adjustRightInd w:val="0"/>
              <w:ind w:left="58" w:right="58"/>
              <w:jc w:val="right"/>
              <w:rPr>
                <w:rFonts w:ascii="Times New Roman" w:hAnsi="Times New Roman"/>
                <w:sz w:val="24"/>
                <w:szCs w:val="24"/>
              </w:rPr>
            </w:pPr>
            <w:r w:rsidRPr="000158C6">
              <w:rPr>
                <w:rFonts w:ascii="Times New Roman" w:hAnsi="Times New Roman"/>
                <w:sz w:val="24"/>
                <w:szCs w:val="24"/>
              </w:rPr>
              <w:t>.03780</w:t>
            </w:r>
          </w:p>
        </w:tc>
        <w:tc>
          <w:tcPr>
            <w:tcW w:w="1587" w:type="dxa"/>
            <w:tcBorders>
              <w:top w:val="single" w:sz="4" w:space="0" w:color="auto"/>
              <w:left w:val="nil"/>
              <w:bottom w:val="single" w:sz="4" w:space="0" w:color="auto"/>
              <w:right w:val="nil"/>
            </w:tcBorders>
            <w:shd w:val="clear" w:color="auto" w:fill="FFFFFF"/>
          </w:tcPr>
          <w:p w:rsidR="00AB2462" w:rsidRPr="000158C6" w:rsidRDefault="00AB2462" w:rsidP="00AB2462">
            <w:pPr>
              <w:autoSpaceDE w:val="0"/>
              <w:autoSpaceDN w:val="0"/>
              <w:adjustRightInd w:val="0"/>
              <w:ind w:left="58" w:right="58"/>
              <w:jc w:val="right"/>
              <w:rPr>
                <w:rFonts w:ascii="Times New Roman" w:hAnsi="Times New Roman"/>
                <w:sz w:val="24"/>
                <w:szCs w:val="24"/>
              </w:rPr>
            </w:pPr>
            <w:r w:rsidRPr="000158C6">
              <w:rPr>
                <w:rFonts w:ascii="Times New Roman" w:hAnsi="Times New Roman"/>
                <w:sz w:val="24"/>
                <w:szCs w:val="24"/>
              </w:rPr>
              <w:t>1.209</w:t>
            </w:r>
          </w:p>
        </w:tc>
      </w:tr>
      <w:tr w:rsidR="00AB2462" w:rsidRPr="000158C6" w:rsidTr="00AB2462">
        <w:trPr>
          <w:cantSplit/>
        </w:trPr>
        <w:tc>
          <w:tcPr>
            <w:tcW w:w="9090" w:type="dxa"/>
            <w:gridSpan w:val="6"/>
            <w:tcBorders>
              <w:top w:val="single" w:sz="4" w:space="0" w:color="auto"/>
              <w:left w:val="nil"/>
              <w:bottom w:val="nil"/>
              <w:right w:val="nil"/>
            </w:tcBorders>
            <w:shd w:val="clear" w:color="auto" w:fill="FFFFFF"/>
          </w:tcPr>
          <w:p w:rsidR="00AB2462" w:rsidRPr="000158C6" w:rsidRDefault="00AB2462" w:rsidP="00AB2462">
            <w:pPr>
              <w:autoSpaceDE w:val="0"/>
              <w:autoSpaceDN w:val="0"/>
              <w:adjustRightInd w:val="0"/>
              <w:ind w:left="58" w:right="58"/>
              <w:rPr>
                <w:rFonts w:ascii="Times New Roman" w:hAnsi="Times New Roman"/>
                <w:sz w:val="24"/>
                <w:szCs w:val="24"/>
              </w:rPr>
            </w:pPr>
            <w:r w:rsidRPr="000158C6">
              <w:rPr>
                <w:rFonts w:ascii="Times New Roman" w:hAnsi="Times New Roman"/>
                <w:sz w:val="24"/>
                <w:szCs w:val="24"/>
              </w:rPr>
              <w:t>a. Predictors: (Constant), LIQRisk, CAR, CRISK, INF, SIZE</w:t>
            </w:r>
          </w:p>
        </w:tc>
      </w:tr>
      <w:tr w:rsidR="00AB2462" w:rsidRPr="000158C6" w:rsidTr="00AB2462">
        <w:trPr>
          <w:cantSplit/>
        </w:trPr>
        <w:tc>
          <w:tcPr>
            <w:tcW w:w="9090" w:type="dxa"/>
            <w:gridSpan w:val="6"/>
            <w:tcBorders>
              <w:top w:val="nil"/>
              <w:left w:val="nil"/>
              <w:bottom w:val="nil"/>
              <w:right w:val="nil"/>
            </w:tcBorders>
            <w:shd w:val="clear" w:color="auto" w:fill="FFFFFF"/>
          </w:tcPr>
          <w:p w:rsidR="00AB2462" w:rsidRPr="000158C6" w:rsidRDefault="00AB2462" w:rsidP="00AB2462">
            <w:pPr>
              <w:autoSpaceDE w:val="0"/>
              <w:autoSpaceDN w:val="0"/>
              <w:adjustRightInd w:val="0"/>
              <w:ind w:left="58" w:right="58"/>
              <w:rPr>
                <w:rFonts w:ascii="Times New Roman" w:hAnsi="Times New Roman"/>
                <w:sz w:val="24"/>
                <w:szCs w:val="24"/>
              </w:rPr>
            </w:pPr>
            <w:r w:rsidRPr="000158C6">
              <w:rPr>
                <w:rFonts w:ascii="Times New Roman" w:hAnsi="Times New Roman"/>
                <w:sz w:val="24"/>
                <w:szCs w:val="24"/>
              </w:rPr>
              <w:t>b. Dependent Variable: ROE</w:t>
            </w:r>
          </w:p>
        </w:tc>
      </w:tr>
    </w:tbl>
    <w:p w:rsidR="00AB2462" w:rsidRDefault="00AB2462" w:rsidP="00AB2462">
      <w:pPr>
        <w:tabs>
          <w:tab w:val="left" w:pos="630"/>
          <w:tab w:val="left" w:pos="1440"/>
          <w:tab w:val="left" w:pos="1620"/>
        </w:tabs>
        <w:jc w:val="both"/>
        <w:rPr>
          <w:rFonts w:ascii="Times New Roman" w:eastAsia="Times New Roman" w:hAnsi="Times New Roman" w:cs="Times New Roman"/>
          <w:sz w:val="24"/>
          <w:szCs w:val="24"/>
          <w:highlight w:val="yellow"/>
        </w:rPr>
        <w:sectPr w:rsidR="00AB2462" w:rsidSect="00FD44D7">
          <w:type w:val="continuous"/>
          <w:pgSz w:w="11906" w:h="16838"/>
          <w:pgMar w:top="1411" w:right="1282" w:bottom="1411" w:left="1282" w:header="706" w:footer="706" w:gutter="0"/>
          <w:cols w:num="2" w:space="720" w:equalWidth="0">
            <w:col w:w="4455" w:space="432"/>
            <w:col w:w="4455" w:space="0"/>
          </w:cols>
        </w:sectPr>
      </w:pPr>
    </w:p>
    <w:p w:rsidR="00CE721C" w:rsidRDefault="00CE721C" w:rsidP="00AB2462">
      <w:pPr>
        <w:jc w:val="both"/>
        <w:rPr>
          <w:rFonts w:ascii="Times New Roman" w:eastAsia="Times New Roman" w:hAnsi="Times New Roman" w:cs="Times New Roman"/>
          <w:sz w:val="24"/>
          <w:szCs w:val="24"/>
        </w:rPr>
      </w:pPr>
    </w:p>
    <w:p w:rsidR="00AB2462" w:rsidRPr="006A6803" w:rsidRDefault="00AB2462" w:rsidP="00AB2462">
      <w:pPr>
        <w:pStyle w:val="NoSpacing"/>
        <w:jc w:val="both"/>
        <w:rPr>
          <w:rFonts w:ascii="Times New Roman" w:hAnsi="Times New Roman" w:cs="Times New Roman"/>
          <w:color w:val="000000" w:themeColor="text1"/>
          <w:sz w:val="24"/>
          <w:szCs w:val="24"/>
        </w:rPr>
      </w:pPr>
      <w:proofErr w:type="spellStart"/>
      <w:r w:rsidRPr="006A6803">
        <w:rPr>
          <w:rFonts w:ascii="Times New Roman" w:hAnsi="Times New Roman" w:cs="Times New Roman"/>
          <w:sz w:val="24"/>
          <w:szCs w:val="24"/>
        </w:rPr>
        <w:t>Koefisien</w:t>
      </w:r>
      <w:proofErr w:type="spellEnd"/>
      <w:r w:rsidRPr="006A6803">
        <w:rPr>
          <w:rFonts w:ascii="Times New Roman" w:hAnsi="Times New Roman" w:cs="Times New Roman"/>
          <w:sz w:val="24"/>
          <w:szCs w:val="24"/>
        </w:rPr>
        <w:t xml:space="preserve"> determinant </w:t>
      </w:r>
      <w:proofErr w:type="spellStart"/>
      <w:r w:rsidRPr="006A6803">
        <w:rPr>
          <w:rFonts w:ascii="Times New Roman" w:hAnsi="Times New Roman" w:cs="Times New Roman"/>
          <w:sz w:val="24"/>
          <w:szCs w:val="24"/>
        </w:rPr>
        <w:t>digunakan</w:t>
      </w:r>
      <w:proofErr w:type="spellEnd"/>
      <w:r w:rsidRPr="006A6803">
        <w:rPr>
          <w:rFonts w:ascii="Times New Roman" w:hAnsi="Times New Roman" w:cs="Times New Roman"/>
          <w:sz w:val="24"/>
          <w:szCs w:val="24"/>
        </w:rPr>
        <w:t xml:space="preserve"> untuk </w:t>
      </w:r>
      <w:proofErr w:type="spellStart"/>
      <w:r w:rsidRPr="006A6803">
        <w:rPr>
          <w:rFonts w:ascii="Times New Roman" w:hAnsi="Times New Roman" w:cs="Times New Roman"/>
          <w:sz w:val="24"/>
          <w:szCs w:val="24"/>
        </w:rPr>
        <w:t>menjelaskan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kontrol</w:t>
      </w:r>
      <w:proofErr w:type="spellEnd"/>
      <w:r w:rsidRPr="006A6803">
        <w:rPr>
          <w:rFonts w:ascii="Times New Roman" w:hAnsi="Times New Roman" w:cs="Times New Roman"/>
          <w:sz w:val="24"/>
          <w:szCs w:val="24"/>
        </w:rPr>
        <w:t xml:space="preserve"> variable </w:t>
      </w:r>
      <w:proofErr w:type="spellStart"/>
      <w:r w:rsidRPr="006A6803">
        <w:rPr>
          <w:rFonts w:ascii="Times New Roman" w:hAnsi="Times New Roman" w:cs="Times New Roman"/>
          <w:sz w:val="24"/>
          <w:szCs w:val="24"/>
        </w:rPr>
        <w:t>terhadap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devendent</w:t>
      </w:r>
      <w:proofErr w:type="spellEnd"/>
      <w:r w:rsidRPr="006A6803">
        <w:rPr>
          <w:rFonts w:ascii="Times New Roman" w:hAnsi="Times New Roman" w:cs="Times New Roman"/>
          <w:sz w:val="24"/>
          <w:szCs w:val="24"/>
        </w:rPr>
        <w:t xml:space="preserve"> variable, </w:t>
      </w:r>
      <w:proofErr w:type="spellStart"/>
      <w:r w:rsidRPr="006A6803">
        <w:rPr>
          <w:rFonts w:ascii="Times New Roman" w:hAnsi="Times New Roman" w:cs="Times New Roman"/>
          <w:sz w:val="24"/>
          <w:szCs w:val="24"/>
        </w:rPr>
        <w:t>Semakin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besar</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koefisien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determinas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semakin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baik</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kemampuan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variabel</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indevendent</w:t>
      </w:r>
      <w:proofErr w:type="spellEnd"/>
      <w:r w:rsidRPr="006A6803">
        <w:rPr>
          <w:rFonts w:ascii="Times New Roman" w:hAnsi="Times New Roman" w:cs="Times New Roman"/>
          <w:sz w:val="24"/>
          <w:szCs w:val="24"/>
        </w:rPr>
        <w:t xml:space="preserve"> </w:t>
      </w:r>
      <w:proofErr w:type="spellStart"/>
      <w:r w:rsidRPr="006A6803">
        <w:rPr>
          <w:rStyle w:val="fontstyle01"/>
          <w:rFonts w:ascii="Times New Roman" w:hAnsi="Times New Roman" w:cs="Times New Roman"/>
          <w:sz w:val="24"/>
          <w:szCs w:val="24"/>
        </w:rPr>
        <w:t>menerangkan</w:t>
      </w:r>
      <w:proofErr w:type="spellEnd"/>
      <w:r w:rsidRPr="006A6803">
        <w:rPr>
          <w:rStyle w:val="fontstyle01"/>
          <w:rFonts w:ascii="Times New Roman" w:hAnsi="Times New Roman" w:cs="Times New Roman"/>
          <w:sz w:val="24"/>
          <w:szCs w:val="24"/>
        </w:rPr>
        <w:t xml:space="preserve"> dan </w:t>
      </w:r>
      <w:proofErr w:type="spellStart"/>
      <w:r w:rsidRPr="006A6803">
        <w:rPr>
          <w:rStyle w:val="fontstyle01"/>
          <w:rFonts w:ascii="Times New Roman" w:hAnsi="Times New Roman" w:cs="Times New Roman"/>
          <w:sz w:val="24"/>
          <w:szCs w:val="24"/>
        </w:rPr>
        <w:t>menjelaskan</w:t>
      </w:r>
      <w:proofErr w:type="spellEnd"/>
      <w:r w:rsidRPr="006A6803">
        <w:rPr>
          <w:rStyle w:val="fontstyle01"/>
          <w:rFonts w:ascii="Times New Roman" w:hAnsi="Times New Roman" w:cs="Times New Roman"/>
          <w:sz w:val="24"/>
          <w:szCs w:val="24"/>
        </w:rPr>
        <w:t xml:space="preserve"> </w:t>
      </w:r>
      <w:proofErr w:type="spellStart"/>
      <w:r w:rsidRPr="006A6803">
        <w:rPr>
          <w:rStyle w:val="fontstyle01"/>
          <w:rFonts w:ascii="Times New Roman" w:hAnsi="Times New Roman" w:cs="Times New Roman"/>
          <w:sz w:val="24"/>
          <w:szCs w:val="24"/>
        </w:rPr>
        <w:t>variabel</w:t>
      </w:r>
      <w:proofErr w:type="spellEnd"/>
      <w:r w:rsidRPr="006A6803">
        <w:rPr>
          <w:rStyle w:val="fontstyle01"/>
          <w:rFonts w:ascii="Times New Roman" w:hAnsi="Times New Roman" w:cs="Times New Roman"/>
          <w:sz w:val="24"/>
          <w:szCs w:val="24"/>
        </w:rPr>
        <w:t xml:space="preserve"> </w:t>
      </w:r>
      <w:r w:rsidRPr="006A6803">
        <w:rPr>
          <w:rStyle w:val="fontstyle21"/>
          <w:rFonts w:ascii="Times New Roman" w:hAnsi="Times New Roman" w:cs="Times New Roman"/>
          <w:sz w:val="24"/>
          <w:szCs w:val="24"/>
        </w:rPr>
        <w:t>Return on Equity</w:t>
      </w:r>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nilai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koefisien</w:t>
      </w:r>
      <w:proofErr w:type="spellEnd"/>
      <w:r w:rsidRPr="006A6803">
        <w:rPr>
          <w:rFonts w:ascii="Times New Roman" w:hAnsi="Times New Roman" w:cs="Times New Roman"/>
          <w:sz w:val="24"/>
          <w:szCs w:val="24"/>
        </w:rPr>
        <w:t xml:space="preserve"> determinant (R Square) yang </w:t>
      </w:r>
      <w:proofErr w:type="spellStart"/>
      <w:r w:rsidRPr="006A6803">
        <w:rPr>
          <w:rFonts w:ascii="Times New Roman" w:hAnsi="Times New Roman" w:cs="Times New Roman"/>
          <w:sz w:val="24"/>
          <w:szCs w:val="24"/>
        </w:rPr>
        <w:t>ditam</w:t>
      </w:r>
      <w:r>
        <w:rPr>
          <w:rFonts w:ascii="Times New Roman" w:hAnsi="Times New Roman" w:cs="Times New Roman"/>
          <w:sz w:val="24"/>
          <w:szCs w:val="24"/>
        </w:rPr>
        <w:t>pilkan</w:t>
      </w:r>
      <w:proofErr w:type="spellEnd"/>
      <w:r>
        <w:rPr>
          <w:rFonts w:ascii="Times New Roman" w:hAnsi="Times New Roman" w:cs="Times New Roman"/>
          <w:sz w:val="24"/>
          <w:szCs w:val="24"/>
        </w:rPr>
        <w:t xml:space="preserve"> pada table 6,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0.906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90.60%</w:t>
      </w:r>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hasil</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analisis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menunjukan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bahwa</w:t>
      </w:r>
      <w:proofErr w:type="spellEnd"/>
      <w:r w:rsidRPr="006A6803">
        <w:rPr>
          <w:rFonts w:ascii="Times New Roman" w:hAnsi="Times New Roman" w:cs="Times New Roman"/>
          <w:sz w:val="24"/>
          <w:szCs w:val="24"/>
        </w:rPr>
        <w:t xml:space="preserve"> control variable </w:t>
      </w:r>
      <w:proofErr w:type="spellStart"/>
      <w:r w:rsidRPr="006A6803">
        <w:rPr>
          <w:rFonts w:ascii="Times New Roman" w:hAnsi="Times New Roman" w:cs="Times New Roman"/>
          <w:sz w:val="24"/>
          <w:szCs w:val="24"/>
        </w:rPr>
        <w:t>Resiko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Kredit</w:t>
      </w:r>
      <w:proofErr w:type="spellEnd"/>
      <w:r w:rsidRPr="006A6803">
        <w:rPr>
          <w:rFonts w:ascii="Times New Roman" w:hAnsi="Times New Roman" w:cs="Times New Roman"/>
          <w:sz w:val="24"/>
          <w:szCs w:val="24"/>
        </w:rPr>
        <w:t xml:space="preserve">, CAR, </w:t>
      </w:r>
      <w:proofErr w:type="spellStart"/>
      <w:r w:rsidRPr="006A6803">
        <w:rPr>
          <w:rFonts w:ascii="Times New Roman" w:hAnsi="Times New Roman" w:cs="Times New Roman"/>
          <w:sz w:val="24"/>
          <w:szCs w:val="24"/>
        </w:rPr>
        <w:t>Ukuran</w:t>
      </w:r>
      <w:proofErr w:type="spellEnd"/>
      <w:r w:rsidRPr="006A6803">
        <w:rPr>
          <w:rFonts w:ascii="Times New Roman" w:hAnsi="Times New Roman" w:cs="Times New Roman"/>
          <w:sz w:val="24"/>
          <w:szCs w:val="24"/>
        </w:rPr>
        <w:t xml:space="preserve"> Perusahaan, </w:t>
      </w:r>
      <w:proofErr w:type="spellStart"/>
      <w:r w:rsidRPr="006A6803">
        <w:rPr>
          <w:rFonts w:ascii="Times New Roman" w:hAnsi="Times New Roman" w:cs="Times New Roman"/>
          <w:sz w:val="24"/>
          <w:szCs w:val="24"/>
        </w:rPr>
        <w:t>Resiko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Liquiditas</w:t>
      </w:r>
      <w:proofErr w:type="spellEnd"/>
      <w:r w:rsidRPr="006A6803">
        <w:rPr>
          <w:rFonts w:ascii="Times New Roman" w:hAnsi="Times New Roman" w:cs="Times New Roman"/>
          <w:sz w:val="24"/>
          <w:szCs w:val="24"/>
        </w:rPr>
        <w:t xml:space="preserve"> dan Tingkat </w:t>
      </w:r>
      <w:proofErr w:type="spellStart"/>
      <w:r w:rsidRPr="006A6803">
        <w:rPr>
          <w:rFonts w:ascii="Times New Roman" w:hAnsi="Times New Roman" w:cs="Times New Roman"/>
          <w:sz w:val="24"/>
          <w:szCs w:val="24"/>
        </w:rPr>
        <w:t>inflasi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dapat</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menjelaskan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sebagai</w:t>
      </w:r>
      <w:proofErr w:type="spellEnd"/>
      <w:r w:rsidRPr="006A6803">
        <w:rPr>
          <w:rFonts w:ascii="Times New Roman" w:hAnsi="Times New Roman" w:cs="Times New Roman"/>
          <w:sz w:val="24"/>
          <w:szCs w:val="24"/>
        </w:rPr>
        <w:t xml:space="preserve"> factor</w:t>
      </w:r>
      <w:r>
        <w:rPr>
          <w:rFonts w:ascii="Times New Roman" w:hAnsi="Times New Roman" w:cs="Times New Roman"/>
          <w:sz w:val="24"/>
          <w:szCs w:val="24"/>
        </w:rPr>
        <w:t>-</w:t>
      </w:r>
      <w:proofErr w:type="spellStart"/>
      <w:r>
        <w:rPr>
          <w:rFonts w:ascii="Times New Roman" w:hAnsi="Times New Roman" w:cs="Times New Roman"/>
          <w:sz w:val="24"/>
          <w:szCs w:val="24"/>
        </w:rPr>
        <w:t>faktor</w:t>
      </w:r>
      <w:proofErr w:type="spellEnd"/>
      <w:r w:rsidRPr="006A6803">
        <w:rPr>
          <w:rFonts w:ascii="Times New Roman" w:hAnsi="Times New Roman" w:cs="Times New Roman"/>
          <w:sz w:val="24"/>
          <w:szCs w:val="24"/>
        </w:rPr>
        <w:t xml:space="preserve"> yang </w:t>
      </w:r>
      <w:proofErr w:type="spellStart"/>
      <w:r w:rsidRPr="006A6803">
        <w:rPr>
          <w:rFonts w:ascii="Times New Roman" w:hAnsi="Times New Roman" w:cs="Times New Roman"/>
          <w:sz w:val="24"/>
          <w:szCs w:val="24"/>
        </w:rPr>
        <w:t>mempengaruhi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Bank</w:t>
      </w:r>
      <w:r>
        <w:rPr>
          <w:rFonts w:ascii="Times New Roman" w:hAnsi="Times New Roman" w:cs="Times New Roman"/>
          <w:sz w:val="24"/>
          <w:szCs w:val="24"/>
        </w:rPr>
        <w:t xml:space="preserve"> Syariah di Indonesia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90.60% </w:t>
      </w:r>
      <w:proofErr w:type="spellStart"/>
      <w:r>
        <w:rPr>
          <w:rFonts w:ascii="Times New Roman" w:hAnsi="Times New Roman" w:cs="Times New Roman"/>
          <w:sz w:val="24"/>
          <w:szCs w:val="24"/>
        </w:rPr>
        <w:t>sisanya</w:t>
      </w:r>
      <w:proofErr w:type="spellEnd"/>
      <w:r>
        <w:rPr>
          <w:rFonts w:ascii="Times New Roman" w:hAnsi="Times New Roman" w:cs="Times New Roman"/>
          <w:sz w:val="24"/>
          <w:szCs w:val="24"/>
        </w:rPr>
        <w:t xml:space="preserve"> 9.4</w:t>
      </w:r>
      <w:r w:rsidRPr="006A6803">
        <w:rPr>
          <w:rFonts w:ascii="Times New Roman" w:hAnsi="Times New Roman" w:cs="Times New Roman"/>
          <w:sz w:val="24"/>
          <w:szCs w:val="24"/>
        </w:rPr>
        <w:t xml:space="preserve">0% </w:t>
      </w:r>
      <w:proofErr w:type="spellStart"/>
      <w:r w:rsidRPr="006A6803">
        <w:rPr>
          <w:rFonts w:ascii="Times New Roman" w:hAnsi="Times New Roman" w:cs="Times New Roman"/>
          <w:sz w:val="24"/>
          <w:szCs w:val="24"/>
        </w:rPr>
        <w:t>dipengaruhi</w:t>
      </w:r>
      <w:proofErr w:type="spellEnd"/>
      <w:r w:rsidRPr="006A6803">
        <w:rPr>
          <w:rFonts w:ascii="Times New Roman" w:hAnsi="Times New Roman" w:cs="Times New Roman"/>
          <w:sz w:val="24"/>
          <w:szCs w:val="24"/>
        </w:rPr>
        <w:t xml:space="preserve"> oleh factor-</w:t>
      </w:r>
      <w:proofErr w:type="spellStart"/>
      <w:r w:rsidRPr="006A6803">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w:t>
      </w:r>
    </w:p>
    <w:p w:rsidR="00AB2462" w:rsidRPr="00744857" w:rsidRDefault="00AB2462" w:rsidP="00AB2462">
      <w:pPr>
        <w:pStyle w:val="Heading3"/>
        <w:spacing w:line="360" w:lineRule="auto"/>
        <w:rPr>
          <w:rFonts w:ascii="Times New Roman" w:hAnsi="Times New Roman"/>
          <w:szCs w:val="24"/>
        </w:rPr>
      </w:pPr>
      <w:r w:rsidRPr="00744857">
        <w:rPr>
          <w:rFonts w:ascii="Times New Roman" w:hAnsi="Times New Roman"/>
          <w:szCs w:val="24"/>
        </w:rPr>
        <w:t>SIMPULAN</w:t>
      </w:r>
    </w:p>
    <w:p w:rsidR="00AB2462" w:rsidRPr="00BA71C5" w:rsidRDefault="00AB2462" w:rsidP="00AB2462">
      <w:pPr>
        <w:pStyle w:val="NoSpacing"/>
        <w:jc w:val="both"/>
        <w:rPr>
          <w:rFonts w:ascii="Times New Roman" w:hAnsi="Times New Roman" w:cs="Times New Roman"/>
          <w:sz w:val="24"/>
          <w:szCs w:val="24"/>
        </w:rPr>
      </w:pPr>
      <w:proofErr w:type="spellStart"/>
      <w:r w:rsidRPr="006A6803">
        <w:rPr>
          <w:rFonts w:ascii="Times New Roman" w:hAnsi="Times New Roman" w:cs="Times New Roman"/>
          <w:sz w:val="24"/>
          <w:szCs w:val="24"/>
        </w:rPr>
        <w:t>Temuan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empiris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menunjukkan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bahwa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di Indonesia </w:t>
      </w:r>
      <w:proofErr w:type="spellStart"/>
      <w:r w:rsidRPr="006A6803">
        <w:rPr>
          <w:rFonts w:ascii="Times New Roman" w:hAnsi="Times New Roman" w:cs="Times New Roman"/>
          <w:sz w:val="24"/>
          <w:szCs w:val="24"/>
        </w:rPr>
        <w:t>secara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signifikan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dipengaruhi</w:t>
      </w:r>
      <w:proofErr w:type="spellEnd"/>
      <w:r w:rsidRPr="006A6803">
        <w:rPr>
          <w:rFonts w:ascii="Times New Roman" w:hAnsi="Times New Roman" w:cs="Times New Roman"/>
          <w:sz w:val="24"/>
          <w:szCs w:val="24"/>
        </w:rPr>
        <w:t xml:space="preserve"> oleh </w:t>
      </w:r>
      <w:proofErr w:type="spellStart"/>
      <w:r w:rsidRPr="006A6803">
        <w:rPr>
          <w:rFonts w:ascii="Times New Roman" w:hAnsi="Times New Roman" w:cs="Times New Roman"/>
          <w:sz w:val="24"/>
          <w:szCs w:val="24"/>
        </w:rPr>
        <w:t>resiko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kredit</w:t>
      </w:r>
      <w:proofErr w:type="spellEnd"/>
      <w:r w:rsidRPr="006A6803">
        <w:rPr>
          <w:rFonts w:ascii="Times New Roman" w:hAnsi="Times New Roman" w:cs="Times New Roman"/>
          <w:sz w:val="24"/>
          <w:szCs w:val="24"/>
        </w:rPr>
        <w:t xml:space="preserve">, capital adequacy ratio, </w:t>
      </w:r>
      <w:proofErr w:type="spellStart"/>
      <w:r w:rsidRPr="006A6803">
        <w:rPr>
          <w:rFonts w:ascii="Times New Roman" w:hAnsi="Times New Roman" w:cs="Times New Roman"/>
          <w:sz w:val="24"/>
          <w:szCs w:val="24"/>
        </w:rPr>
        <w:t>ukuran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perusahaan</w:t>
      </w:r>
      <w:proofErr w:type="spellEnd"/>
      <w:r w:rsidRPr="006A6803">
        <w:rPr>
          <w:rFonts w:ascii="Times New Roman" w:hAnsi="Times New Roman" w:cs="Times New Roman"/>
          <w:sz w:val="24"/>
          <w:szCs w:val="24"/>
        </w:rPr>
        <w:t xml:space="preserve"> dan </w:t>
      </w:r>
      <w:proofErr w:type="spellStart"/>
      <w:r w:rsidRPr="006A6803">
        <w:rPr>
          <w:rFonts w:ascii="Times New Roman" w:hAnsi="Times New Roman" w:cs="Times New Roman"/>
          <w:sz w:val="24"/>
          <w:szCs w:val="24"/>
        </w:rPr>
        <w:t>resiko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liquiditas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akan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tetapi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inflasi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tidak</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berpengaruh</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signifikan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terhadap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menemukan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bahwa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risiko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kredit</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memiliki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efek</w:t>
      </w:r>
      <w:proofErr w:type="spellEnd"/>
      <w:r w:rsidRPr="006A6803">
        <w:rPr>
          <w:rFonts w:ascii="Times New Roman" w:hAnsi="Times New Roman" w:cs="Times New Roman"/>
          <w:sz w:val="24"/>
          <w:szCs w:val="24"/>
        </w:rPr>
        <w:t xml:space="preserve"> yang </w:t>
      </w:r>
      <w:proofErr w:type="spellStart"/>
      <w:r w:rsidRPr="006A6803">
        <w:rPr>
          <w:rFonts w:ascii="Times New Roman" w:hAnsi="Times New Roman" w:cs="Times New Roman"/>
          <w:sz w:val="24"/>
          <w:szCs w:val="24"/>
        </w:rPr>
        <w:t>positif</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terhadap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kinerja</w:t>
      </w:r>
      <w:proofErr w:type="spellEnd"/>
      <w:r w:rsidRPr="006A6803">
        <w:rPr>
          <w:rFonts w:ascii="Times New Roman" w:hAnsi="Times New Roman" w:cs="Times New Roman"/>
          <w:sz w:val="24"/>
          <w:szCs w:val="24"/>
        </w:rPr>
        <w:t xml:space="preserve"> 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di Indonesia, oleh </w:t>
      </w:r>
      <w:proofErr w:type="spellStart"/>
      <w:r w:rsidRPr="006A6803">
        <w:rPr>
          <w:rFonts w:ascii="Times New Roman" w:hAnsi="Times New Roman" w:cs="Times New Roman"/>
          <w:sz w:val="24"/>
          <w:szCs w:val="24"/>
        </w:rPr>
        <w:t>karena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itu</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perba</w:t>
      </w:r>
      <w:r>
        <w:rPr>
          <w:rFonts w:ascii="Times New Roman" w:hAnsi="Times New Roman" w:cs="Times New Roman"/>
          <w:sz w:val="24"/>
          <w:szCs w:val="24"/>
        </w:rPr>
        <w:t>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kehati-hatian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dalam</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menyalurkan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kredit</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hasil</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studi</w:t>
      </w:r>
      <w:proofErr w:type="spellEnd"/>
      <w:r w:rsidRPr="006A6803">
        <w:rPr>
          <w:rFonts w:ascii="Times New Roman" w:hAnsi="Times New Roman" w:cs="Times New Roman"/>
          <w:sz w:val="24"/>
          <w:szCs w:val="24"/>
        </w:rPr>
        <w:t xml:space="preserve"> ini </w:t>
      </w:r>
      <w:proofErr w:type="spellStart"/>
      <w:r w:rsidRPr="006A6803">
        <w:rPr>
          <w:rFonts w:ascii="Times New Roman" w:hAnsi="Times New Roman" w:cs="Times New Roman"/>
          <w:sz w:val="24"/>
          <w:szCs w:val="24"/>
        </w:rPr>
        <w:t>mendukung</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studi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sebelumnya</w:t>
      </w:r>
      <w:proofErr w:type="spellEnd"/>
      <w:r w:rsidRPr="006A6803">
        <w:rPr>
          <w:rFonts w:ascii="Times New Roman" w:hAnsi="Times New Roman" w:cs="Times New Roman"/>
          <w:sz w:val="24"/>
          <w:szCs w:val="24"/>
        </w:rPr>
        <w:t xml:space="preserve"> oleh </w:t>
      </w:r>
      <w:r w:rsidR="00C86557" w:rsidRPr="006A680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"Credit risk management in banks has become more important not only because of the financial crisis that the industry is experiencing currently, but also a crucial concept which determine banks\u2019 survival, growth and profitability. The aim of this study is to investigate the impact of credit risk management on the performance of commercial banks in Nigeria. Financial reports of seven commercial banking firms were used to analyze for seven years (2005 \u2013 2011). The panel regression model was employed for the estimation of the model. In the model, Return on Equity (ROE) and Return on Asset (ROA) were used as the performance indicators while Non-Performing Loans (NPL) and Capital Adequacy Ratio (CAR) as credit risk management indicators. The findings revealed that credit risk management has a significant impact on the profitability of commercial banks\u2019 in Nigeria.", "author" : [ { "dropping-particle" : "", "family" : "Abiola", "given" : "Idowu", "non-dropping-particle" : "", "parse-names" : false, "suffix" : "" }, { "dropping-particle" : "", "family" : "Olausi", "given" : "Awoyemi Samuel", "non-dropping-particle" : "", "parse-names" : false, "suffix" : "" } ], "container-title" : "International Journal of Management and Sustainability", "id" : "ITEM-1", "issue" : "5", "issued" : { "date-parts" : [ [ "2014" ] ] }, "page" : "295-306", "title" : "The Impact of Credit Risk Management on The Commercial Banks Performance in Nigeria", "type" : "article-journal", "volume" : "3" }, "uris" : [ "http://www.mendeley.com/documents/?uuid=6980c47a-79c9-4e94-919c-5c7b8c686086" ] } ], "mendeley" : { "formattedCitation" : "(Abiola and Olausi, 2014)", "plainTextFormattedCitation" : "(Abiola and Olausi, 2014)", "previouslyFormattedCitation" : "(Abiola and Olausi, 2014)" }, "properties" : { "noteIndex" : 0 }, "schema" : "https://github.com/citation-style-language/schema/raw/master/csl-citation.json" }</w:instrText>
      </w:r>
      <w:r w:rsidR="00C86557" w:rsidRPr="006A6803">
        <w:rPr>
          <w:rFonts w:ascii="Times New Roman" w:hAnsi="Times New Roman" w:cs="Times New Roman"/>
          <w:sz w:val="24"/>
          <w:szCs w:val="24"/>
        </w:rPr>
        <w:fldChar w:fldCharType="separate"/>
      </w:r>
      <w:r w:rsidRPr="007544C9">
        <w:rPr>
          <w:rFonts w:ascii="Times New Roman" w:hAnsi="Times New Roman" w:cs="Times New Roman"/>
          <w:noProof/>
          <w:sz w:val="24"/>
          <w:szCs w:val="24"/>
        </w:rPr>
        <w:t>(Abiola and Olausi, 2014)</w:t>
      </w:r>
      <w:r w:rsidR="00C86557" w:rsidRPr="006A6803">
        <w:rPr>
          <w:rFonts w:ascii="Times New Roman" w:hAnsi="Times New Roman" w:cs="Times New Roman"/>
          <w:sz w:val="24"/>
          <w:szCs w:val="24"/>
        </w:rPr>
        <w:fldChar w:fldCharType="end"/>
      </w:r>
      <w:r w:rsidRPr="006A6803">
        <w:rPr>
          <w:rFonts w:ascii="Times New Roman" w:hAnsi="Times New Roman" w:cs="Times New Roman"/>
          <w:sz w:val="24"/>
          <w:szCs w:val="24"/>
        </w:rPr>
        <w:t>,</w:t>
      </w:r>
      <w:r w:rsidR="00C86557" w:rsidRPr="006A680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"The main purpose of the research is to investigate if there is a relationship between credit risk management and profitability of commercial banks in Europe. We also aim to investigate if the relationship is stable or fluctuating. In the research model, ROE and ROA are defined as proxies of profitability while NPLR and CAR are defined as proxies of credit risk management. The research collects data from the largest 47 commercial banks in Europe from 2007 to 2012 and formulates four hypotheses which are related to the research question. A series of statistical tests are performed in order to test if the relationship exists. Other statistical tests are performed to investigate if the relationship is stable or not.", "author" : [ { "dropping-particle" : "", "family" : "Li", "given" : "Fan", "non-dropping-particle" : "", "parse-names" : false, "suffix" : "" }, { "dropping-particle" : "", "family" : "Zou", "given" : "Yijun", "non-dropping-particle" : "", "parse-names" : false, "suffix" : "" } ], "id" : "ITEM-1", "issued" : { "date-parts" : [ [ "2014" ] ] }, "title" : "The Impact of Credit Risk Management on Profitability of Commercial Banks: A Study of Europe", "type" : "report" }, "uris" : [ "http://www.mendeley.com/documents/?uuid=b34f56ab-ca2f-4152-883d-97b70f98946a" ] } ], "mendeley" : { "formattedCitation" : "(Li and Zou, 2014)", "plainTextFormattedCitation" : "(Li and Zou, 2014)", "previouslyFormattedCitation" : "(Li and Zou, 2014)" }, "properties" : { "noteIndex" : 0 }, "schema" : "https://github.com/citation-style-language/schema/raw/master/csl-citation.json" }</w:instrText>
      </w:r>
      <w:r w:rsidR="00C86557" w:rsidRPr="006A6803">
        <w:rPr>
          <w:rFonts w:ascii="Times New Roman" w:hAnsi="Times New Roman" w:cs="Times New Roman"/>
          <w:sz w:val="24"/>
          <w:szCs w:val="24"/>
        </w:rPr>
        <w:fldChar w:fldCharType="separate"/>
      </w:r>
      <w:r w:rsidRPr="007544C9">
        <w:rPr>
          <w:rFonts w:ascii="Times New Roman" w:hAnsi="Times New Roman" w:cs="Times New Roman"/>
          <w:noProof/>
          <w:sz w:val="24"/>
          <w:szCs w:val="24"/>
        </w:rPr>
        <w:t>(Li and Zou, 2014)</w:t>
      </w:r>
      <w:r w:rsidR="00C86557" w:rsidRPr="006A6803">
        <w:rPr>
          <w:rFonts w:ascii="Times New Roman" w:hAnsi="Times New Roman" w:cs="Times New Roman"/>
          <w:sz w:val="24"/>
          <w:szCs w:val="24"/>
        </w:rPr>
        <w:fldChar w:fldCharType="end"/>
      </w:r>
      <w:r w:rsidRPr="006A6803">
        <w:rPr>
          <w:rFonts w:ascii="Times New Roman" w:hAnsi="Times New Roman" w:cs="Times New Roman"/>
          <w:sz w:val="24"/>
          <w:szCs w:val="24"/>
        </w:rPr>
        <w:t xml:space="preserve">, </w:t>
      </w:r>
      <w:r w:rsidR="00C86557" w:rsidRPr="006A680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"10.5539/ijef.v7n11p163", "ISSN" : "1916-9728", "abstract" : "Credit risk management is one of the vital aspects of the financial institutions regardless of their nature. For a more comprehensive analysis of Palestine banking sector, investment and commercial banks both were chosen for assessing the relationship between credit risk management and profitability. Explanatory design of study helped in assessing the casual effect relationship between the research variables. The regression model was used for gathering quantitative findings while structured interview from bank managers was selected for gathering qualitative data. The findings of the regression model in the current study confirmed that there is no consequence of credit risk on profitability of commercial and investment banks of Palestine. Additionally, it was also found that there is no difference between the Palestinian commercial and investment banks concerning the relationship.&lt;/p&gt;", "author" : [ { "dropping-particle" : "", "family" : "Bayyoud", "given" : "Mohammed", "non-dropping-particle" : "", "parse-names" : false, "suffix" : "" }, { "dropping-particle" : "", "family" : "Sayyad", "given" : "Nermeen", "non-dropping-particle" : "", "parse-names" : false, "suffix" : "" } ], "container-title" : "International Journal of Economics and Finance", "id" : "ITEM-1", "issue" : "11", "issued" : { "date-parts" : [ [ "2015" ] ] }, "page" : "163", "title" : "The Relationship between Credit Risk Management and Profitability between Investment and Commercial Banks in Palestine", "type" : "article-journal", "volume" : "7" }, "uris" : [ "http://www.mendeley.com/documents/?uuid=5379f370-9aea-4500-b01f-749e1c414fbb" ] } ], "mendeley" : { "formattedCitation" : "(Bayyoud and Sayyad, 2015)", "plainTextFormattedCitation" : "(Bayyoud and Sayyad, 2015)", "previouslyFormattedCitation" : "(Bayyoud and Sayyad, 2015)" }, "properties" : { "noteIndex" : 0 }, "schema" : "https://github.com/citation-style-language/schema/raw/master/csl-citation.json" }</w:instrText>
      </w:r>
      <w:r w:rsidR="00C86557" w:rsidRPr="006A6803">
        <w:rPr>
          <w:rFonts w:ascii="Times New Roman" w:hAnsi="Times New Roman" w:cs="Times New Roman"/>
          <w:sz w:val="24"/>
          <w:szCs w:val="24"/>
        </w:rPr>
        <w:fldChar w:fldCharType="separate"/>
      </w:r>
      <w:r w:rsidRPr="007544C9">
        <w:rPr>
          <w:rFonts w:ascii="Times New Roman" w:hAnsi="Times New Roman" w:cs="Times New Roman"/>
          <w:noProof/>
          <w:sz w:val="24"/>
          <w:szCs w:val="24"/>
        </w:rPr>
        <w:t>(Bayyoud and Sayyad, 2015)</w:t>
      </w:r>
      <w:r w:rsidR="00C86557" w:rsidRPr="006A6803">
        <w:rPr>
          <w:rFonts w:ascii="Times New Roman" w:hAnsi="Times New Roman" w:cs="Times New Roman"/>
          <w:sz w:val="24"/>
          <w:szCs w:val="24"/>
        </w:rPr>
        <w:fldChar w:fldCharType="end"/>
      </w:r>
      <w:r w:rsidRPr="006A6803">
        <w:rPr>
          <w:rFonts w:ascii="Times New Roman" w:hAnsi="Times New Roman" w:cs="Times New Roman"/>
          <w:sz w:val="24"/>
          <w:szCs w:val="24"/>
        </w:rPr>
        <w:t xml:space="preserve">, </w:t>
      </w:r>
      <w:r w:rsidR="00C86557" w:rsidRPr="006A680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"10.4172/2167-0234.1000192", "ISBN" : "4414133130", "ISSN" : "21670234", "abstract" : "This paper aimed to analyse the impact of credit risk on profitability of five big UK commercial banks. For measuring profitability, two dependent variables ROA and ROE were considered whereas two variables for credit risks were: net charge off (or impairments), and nonperforming loans. Multiple statistical analyses were conducted on bank data from 2007 to 2015 to cover the period of financial crisis. It was found that credit risk indicators had a positive association with profitability of the banks. This means that even after the deep effects of credit crisis in 2008, the banks in the UK are taking credit risks, and getting benefits from interest rates, fee, and commissions etc. The results also reveal that the bank size, leverage, and growth were also positively interlinked with each other, and the banks achieved profitability after the financial crisis and learned how to tackle the credit risk over the years.", "author" : [ { "dropping-particle" : "", "family" : "MS", "given" : "Saeed", "non-dropping-particle" : "", "parse-names" : false, "suffix" : "" }, { "dropping-particle" : "", "family" : "N", "given" : "Zahid", "non-dropping-particle" : "", "parse-names" : false, "suffix" : "" } ], "container-title" : "Journal of Business &amp; Financial Affairs", "id" : "ITEM-1", "issue" : "2", "issued" : { "date-parts" : [ [ "2016" ] ] }, "page" : "1-7", "title" : "The Impact of Credit Risk on Profitability of the Commercial Banks", "type" : "article-journal", "volume" : "5" }, "uris" : [ "http://www.mendeley.com/documents/?uuid=2c6dc6be-945d-4e6e-ad28-4643e5517ceb" ] } ], "mendeley" : { "formattedCitation" : "(MS and N, 2016)", "plainTextFormattedCitation" : "(MS and N, 2016)", "previouslyFormattedCitation" : "(MS and N, 2016)" }, "properties" : { "noteIndex" : 0 }, "schema" : "https://github.com/citation-style-language/schema/raw/master/csl-citation.json" }</w:instrText>
      </w:r>
      <w:r w:rsidR="00C86557" w:rsidRPr="006A6803">
        <w:rPr>
          <w:rFonts w:ascii="Times New Roman" w:hAnsi="Times New Roman" w:cs="Times New Roman"/>
          <w:sz w:val="24"/>
          <w:szCs w:val="24"/>
        </w:rPr>
        <w:fldChar w:fldCharType="separate"/>
      </w:r>
      <w:r w:rsidRPr="007544C9">
        <w:rPr>
          <w:rFonts w:ascii="Times New Roman" w:hAnsi="Times New Roman" w:cs="Times New Roman"/>
          <w:noProof/>
          <w:sz w:val="24"/>
          <w:szCs w:val="24"/>
        </w:rPr>
        <w:t>(MS and N, 2016)</w:t>
      </w:r>
      <w:r w:rsidR="00C86557" w:rsidRPr="006A6803">
        <w:rPr>
          <w:rFonts w:ascii="Times New Roman" w:hAnsi="Times New Roman" w:cs="Times New Roman"/>
          <w:sz w:val="24"/>
          <w:szCs w:val="24"/>
        </w:rPr>
        <w:fldChar w:fldCharType="end"/>
      </w:r>
      <w:r w:rsidRPr="006A6803">
        <w:rPr>
          <w:rFonts w:ascii="Times New Roman" w:hAnsi="Times New Roman" w:cs="Times New Roman"/>
          <w:sz w:val="24"/>
          <w:szCs w:val="24"/>
        </w:rPr>
        <w:t xml:space="preserve">. Hasil </w:t>
      </w:r>
      <w:proofErr w:type="spellStart"/>
      <w:r w:rsidRPr="006A6803">
        <w:rPr>
          <w:rFonts w:ascii="Times New Roman" w:hAnsi="Times New Roman" w:cs="Times New Roman"/>
          <w:sz w:val="24"/>
          <w:szCs w:val="24"/>
        </w:rPr>
        <w:t>studi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menemukan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bahwa</w:t>
      </w:r>
      <w:proofErr w:type="spellEnd"/>
      <w:r w:rsidRPr="006A6803">
        <w:rPr>
          <w:rFonts w:ascii="Times New Roman" w:hAnsi="Times New Roman" w:cs="Times New Roman"/>
          <w:sz w:val="24"/>
          <w:szCs w:val="24"/>
        </w:rPr>
        <w:t xml:space="preserve"> CAR </w:t>
      </w:r>
      <w:proofErr w:type="spellStart"/>
      <w:r w:rsidRPr="006A6803">
        <w:rPr>
          <w:rFonts w:ascii="Times New Roman" w:hAnsi="Times New Roman" w:cs="Times New Roman"/>
          <w:sz w:val="24"/>
          <w:szCs w:val="24"/>
        </w:rPr>
        <w:t>signifikan</w:t>
      </w:r>
      <w:proofErr w:type="spellEnd"/>
      <w:r w:rsidRPr="006A6803">
        <w:rPr>
          <w:rFonts w:ascii="Times New Roman" w:hAnsi="Times New Roman" w:cs="Times New Roman"/>
          <w:sz w:val="24"/>
          <w:szCs w:val="24"/>
        </w:rPr>
        <w:t xml:space="preserve"> negative </w:t>
      </w:r>
      <w:proofErr w:type="spellStart"/>
      <w:r w:rsidRPr="006A6803">
        <w:rPr>
          <w:rFonts w:ascii="Times New Roman" w:hAnsi="Times New Roman" w:cs="Times New Roman"/>
          <w:sz w:val="24"/>
          <w:szCs w:val="24"/>
        </w:rPr>
        <w:t>teradap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oleh </w:t>
      </w:r>
      <w:proofErr w:type="spellStart"/>
      <w:r w:rsidRPr="006A6803">
        <w:rPr>
          <w:rFonts w:ascii="Times New Roman" w:hAnsi="Times New Roman" w:cs="Times New Roman"/>
          <w:sz w:val="24"/>
          <w:szCs w:val="24"/>
        </w:rPr>
        <w:t>karena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itu</w:t>
      </w:r>
      <w:proofErr w:type="spellEnd"/>
      <w:r w:rsidRPr="006A6803">
        <w:rPr>
          <w:rFonts w:ascii="Times New Roman" w:hAnsi="Times New Roman" w:cs="Times New Roman"/>
          <w:sz w:val="24"/>
          <w:szCs w:val="24"/>
        </w:rPr>
        <w:t xml:space="preserve"> 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di Indonesia </w:t>
      </w:r>
      <w:proofErr w:type="spellStart"/>
      <w:r w:rsidRPr="006A6803">
        <w:rPr>
          <w:rFonts w:ascii="Times New Roman" w:hAnsi="Times New Roman" w:cs="Times New Roman"/>
          <w:sz w:val="24"/>
          <w:szCs w:val="24"/>
        </w:rPr>
        <w:t>perlu</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meningkatkan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kecukupan</w:t>
      </w:r>
      <w:proofErr w:type="spellEnd"/>
      <w:r w:rsidRPr="006A6803">
        <w:rPr>
          <w:rFonts w:ascii="Times New Roman" w:hAnsi="Times New Roman" w:cs="Times New Roman"/>
          <w:sz w:val="24"/>
          <w:szCs w:val="24"/>
        </w:rPr>
        <w:t xml:space="preserve"> modal </w:t>
      </w:r>
      <w:proofErr w:type="spellStart"/>
      <w:r w:rsidRPr="006A6803">
        <w:rPr>
          <w:rFonts w:ascii="Times New Roman" w:hAnsi="Times New Roman" w:cs="Times New Roman"/>
          <w:sz w:val="24"/>
          <w:szCs w:val="24"/>
        </w:rPr>
        <w:t>supaya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dapat</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meningkat</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demikian</w:t>
      </w:r>
      <w:proofErr w:type="spellEnd"/>
      <w:r w:rsidRPr="006A6803">
        <w:rPr>
          <w:rFonts w:ascii="Times New Roman" w:hAnsi="Times New Roman" w:cs="Times New Roman"/>
          <w:sz w:val="24"/>
          <w:szCs w:val="24"/>
        </w:rPr>
        <w:t xml:space="preserve"> juga </w:t>
      </w:r>
      <w:proofErr w:type="spellStart"/>
      <w:r w:rsidRPr="006A6803">
        <w:rPr>
          <w:rFonts w:ascii="Times New Roman" w:hAnsi="Times New Roman" w:cs="Times New Roman"/>
          <w:sz w:val="24"/>
          <w:szCs w:val="24"/>
        </w:rPr>
        <w:t>dengan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ukuran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perusahaan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studi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menemukan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bahwa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ukuran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perusahaan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signifikan</w:t>
      </w:r>
      <w:proofErr w:type="spellEnd"/>
      <w:r w:rsidRPr="006A6803">
        <w:rPr>
          <w:rFonts w:ascii="Times New Roman" w:hAnsi="Times New Roman" w:cs="Times New Roman"/>
          <w:sz w:val="24"/>
          <w:szCs w:val="24"/>
        </w:rPr>
        <w:t xml:space="preserve"> negative </w:t>
      </w:r>
      <w:proofErr w:type="spellStart"/>
      <w:r w:rsidRPr="006A6803">
        <w:rPr>
          <w:rFonts w:ascii="Times New Roman" w:hAnsi="Times New Roman" w:cs="Times New Roman"/>
          <w:sz w:val="24"/>
          <w:szCs w:val="24"/>
        </w:rPr>
        <w:t>terhadap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w:t>
      </w:r>
      <w:proofErr w:type="spellEnd"/>
      <w:r w:rsidRPr="006A6803">
        <w:rPr>
          <w:rFonts w:ascii="Times New Roman" w:hAnsi="Times New Roman" w:cs="Times New Roman"/>
          <w:sz w:val="24"/>
          <w:szCs w:val="24"/>
        </w:rPr>
        <w:t xml:space="preserve">. </w:t>
      </w:r>
      <w:r w:rsidRPr="006A6803">
        <w:rPr>
          <w:rFonts w:ascii="Times New Roman" w:hAnsi="Times New Roman" w:cs="Times New Roman"/>
          <w:sz w:val="24"/>
          <w:szCs w:val="24"/>
          <w:lang w:val="id-ID"/>
        </w:rPr>
        <w:t xml:space="preserve">Selain itu, </w:t>
      </w:r>
      <w:proofErr w:type="spellStart"/>
      <w:r w:rsidRPr="006A6803">
        <w:rPr>
          <w:rFonts w:ascii="Times New Roman" w:hAnsi="Times New Roman" w:cs="Times New Roman"/>
          <w:sz w:val="24"/>
          <w:szCs w:val="24"/>
        </w:rPr>
        <w:t>risiko</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liquiditas</w:t>
      </w:r>
      <w:proofErr w:type="spellEnd"/>
      <w:r w:rsidRPr="006A6803">
        <w:rPr>
          <w:rFonts w:ascii="Times New Roman" w:hAnsi="Times New Roman" w:cs="Times New Roman"/>
          <w:sz w:val="24"/>
          <w:szCs w:val="24"/>
        </w:rPr>
        <w:t xml:space="preserve"> 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Indonesia </w:t>
      </w:r>
      <w:proofErr w:type="spellStart"/>
      <w:r w:rsidRPr="006A6803">
        <w:rPr>
          <w:rFonts w:ascii="Times New Roman" w:hAnsi="Times New Roman" w:cs="Times New Roman"/>
          <w:sz w:val="24"/>
          <w:szCs w:val="24"/>
        </w:rPr>
        <w:t>signifikan</w:t>
      </w:r>
      <w:proofErr w:type="spellEnd"/>
      <w:r w:rsidRPr="006A6803">
        <w:rPr>
          <w:rFonts w:ascii="Times New Roman" w:hAnsi="Times New Roman" w:cs="Times New Roman"/>
          <w:sz w:val="24"/>
          <w:szCs w:val="24"/>
        </w:rPr>
        <w:t xml:space="preserve"> positive </w:t>
      </w:r>
      <w:proofErr w:type="spellStart"/>
      <w:r w:rsidRPr="006A6803">
        <w:rPr>
          <w:rFonts w:ascii="Times New Roman" w:hAnsi="Times New Roman" w:cs="Times New Roman"/>
          <w:sz w:val="24"/>
          <w:szCs w:val="24"/>
        </w:rPr>
        <w:t>terhadap</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profitabilitas.Berdasarkan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hasil</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studi</w:t>
      </w:r>
      <w:proofErr w:type="spellEnd"/>
      <w:r w:rsidRPr="006A6803">
        <w:rPr>
          <w:rFonts w:ascii="Times New Roman" w:hAnsi="Times New Roman" w:cs="Times New Roman"/>
          <w:sz w:val="24"/>
          <w:szCs w:val="24"/>
        </w:rPr>
        <w:t xml:space="preserve"> </w:t>
      </w:r>
      <w:r w:rsidRPr="006A6803">
        <w:rPr>
          <w:rFonts w:ascii="Times New Roman" w:hAnsi="Times New Roman" w:cs="Times New Roman"/>
          <w:sz w:val="24"/>
          <w:szCs w:val="24"/>
          <w:lang w:val="id-ID"/>
        </w:rPr>
        <w:t xml:space="preserve">ini, </w:t>
      </w:r>
      <w:r w:rsidRPr="006A6803">
        <w:rPr>
          <w:rFonts w:ascii="Times New Roman" w:hAnsi="Times New Roman" w:cs="Times New Roman"/>
          <w:sz w:val="24"/>
          <w:szCs w:val="24"/>
        </w:rPr>
        <w:t xml:space="preserve">bank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di Indonesia </w:t>
      </w:r>
      <w:proofErr w:type="spellStart"/>
      <w:r w:rsidRPr="006A6803">
        <w:rPr>
          <w:rFonts w:ascii="Times New Roman" w:hAnsi="Times New Roman" w:cs="Times New Roman"/>
          <w:sz w:val="24"/>
          <w:szCs w:val="24"/>
        </w:rPr>
        <w:t>harus</w:t>
      </w:r>
      <w:proofErr w:type="spellEnd"/>
      <w:r w:rsidRPr="006A6803">
        <w:rPr>
          <w:rFonts w:ascii="Times New Roman" w:hAnsi="Times New Roman" w:cs="Times New Roman"/>
          <w:sz w:val="24"/>
          <w:szCs w:val="24"/>
        </w:rPr>
        <w:t xml:space="preserve"> </w:t>
      </w:r>
      <w:r w:rsidRPr="006A6803">
        <w:rPr>
          <w:rFonts w:ascii="Times New Roman" w:hAnsi="Times New Roman" w:cs="Times New Roman"/>
          <w:sz w:val="24"/>
          <w:szCs w:val="24"/>
          <w:lang w:val="id-ID"/>
        </w:rPr>
        <w:t xml:space="preserve">meningkatkan </w:t>
      </w:r>
      <w:proofErr w:type="spellStart"/>
      <w:r w:rsidRPr="006A6803">
        <w:rPr>
          <w:rFonts w:ascii="Times New Roman" w:hAnsi="Times New Roman" w:cs="Times New Roman"/>
          <w:sz w:val="24"/>
          <w:szCs w:val="24"/>
        </w:rPr>
        <w:t>kecukupan</w:t>
      </w:r>
      <w:proofErr w:type="spellEnd"/>
      <w:r w:rsidRPr="006A6803">
        <w:rPr>
          <w:rFonts w:ascii="Times New Roman" w:hAnsi="Times New Roman" w:cs="Times New Roman"/>
          <w:sz w:val="24"/>
          <w:szCs w:val="24"/>
        </w:rPr>
        <w:t xml:space="preserve"> modal</w:t>
      </w:r>
      <w:r w:rsidRPr="006A6803">
        <w:rPr>
          <w:rFonts w:ascii="Times New Roman" w:hAnsi="Times New Roman" w:cs="Times New Roman"/>
          <w:sz w:val="24"/>
          <w:szCs w:val="24"/>
          <w:lang w:val="id-ID"/>
        </w:rPr>
        <w:t>nya</w:t>
      </w:r>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Penelitian</w:t>
      </w:r>
      <w:proofErr w:type="spellEnd"/>
      <w:r w:rsidRPr="006A6803">
        <w:rPr>
          <w:rFonts w:ascii="Times New Roman" w:hAnsi="Times New Roman" w:cs="Times New Roman"/>
          <w:sz w:val="24"/>
          <w:szCs w:val="24"/>
        </w:rPr>
        <w:t xml:space="preserve"> ini </w:t>
      </w:r>
      <w:proofErr w:type="spellStart"/>
      <w:r w:rsidRPr="006A6803">
        <w:rPr>
          <w:rFonts w:ascii="Times New Roman" w:hAnsi="Times New Roman" w:cs="Times New Roman"/>
          <w:sz w:val="24"/>
          <w:szCs w:val="24"/>
        </w:rPr>
        <w:t>memiliki</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keterbatasan</w:t>
      </w:r>
      <w:proofErr w:type="spellEnd"/>
      <w:r w:rsidRPr="006A6803">
        <w:rPr>
          <w:rFonts w:ascii="Times New Roman" w:hAnsi="Times New Roman" w:cs="Times New Roman"/>
          <w:sz w:val="24"/>
          <w:szCs w:val="24"/>
        </w:rPr>
        <w:t xml:space="preserve">, untuk </w:t>
      </w:r>
      <w:proofErr w:type="spellStart"/>
      <w:r w:rsidRPr="006A6803">
        <w:rPr>
          <w:rFonts w:ascii="Times New Roman" w:hAnsi="Times New Roman" w:cs="Times New Roman"/>
          <w:sz w:val="24"/>
          <w:szCs w:val="24"/>
        </w:rPr>
        <w:t>penelitian</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selanjutnya</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direkomendasikan</w:t>
      </w:r>
      <w:proofErr w:type="spellEnd"/>
      <w:r w:rsidRPr="006A6803">
        <w:rPr>
          <w:rFonts w:ascii="Times New Roman" w:hAnsi="Times New Roman" w:cs="Times New Roman"/>
          <w:sz w:val="24"/>
          <w:szCs w:val="24"/>
        </w:rPr>
        <w:t xml:space="preserve"> untuk </w:t>
      </w:r>
      <w:proofErr w:type="spellStart"/>
      <w:r w:rsidRPr="006A6803">
        <w:rPr>
          <w:rFonts w:ascii="Times New Roman" w:hAnsi="Times New Roman" w:cs="Times New Roman"/>
          <w:sz w:val="24"/>
          <w:szCs w:val="24"/>
        </w:rPr>
        <w:t>memasukan</w:t>
      </w:r>
      <w:proofErr w:type="spellEnd"/>
      <w:r w:rsidRPr="006A6803">
        <w:rPr>
          <w:rFonts w:ascii="Times New Roman" w:hAnsi="Times New Roman" w:cs="Times New Roman"/>
          <w:sz w:val="24"/>
          <w:szCs w:val="24"/>
        </w:rPr>
        <w:t xml:space="preserve"> BPD </w:t>
      </w:r>
      <w:proofErr w:type="spellStart"/>
      <w:r w:rsidRPr="006A6803">
        <w:rPr>
          <w:rFonts w:ascii="Times New Roman" w:hAnsi="Times New Roman" w:cs="Times New Roman"/>
          <w:sz w:val="24"/>
          <w:szCs w:val="24"/>
        </w:rPr>
        <w:t>syariah</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sebagai</w:t>
      </w:r>
      <w:proofErr w:type="spellEnd"/>
      <w:r w:rsidRPr="006A6803">
        <w:rPr>
          <w:rFonts w:ascii="Times New Roman" w:hAnsi="Times New Roman" w:cs="Times New Roman"/>
          <w:sz w:val="24"/>
          <w:szCs w:val="24"/>
        </w:rPr>
        <w:t xml:space="preserve"> unit </w:t>
      </w:r>
      <w:proofErr w:type="spellStart"/>
      <w:r w:rsidRPr="006A6803">
        <w:rPr>
          <w:rFonts w:ascii="Times New Roman" w:hAnsi="Times New Roman" w:cs="Times New Roman"/>
          <w:sz w:val="24"/>
          <w:szCs w:val="24"/>
        </w:rPr>
        <w:t>analisis</w:t>
      </w:r>
      <w:proofErr w:type="spellEnd"/>
      <w:r w:rsidRPr="006A6803">
        <w:rPr>
          <w:rFonts w:ascii="Times New Roman" w:hAnsi="Times New Roman" w:cs="Times New Roman"/>
          <w:sz w:val="24"/>
          <w:szCs w:val="24"/>
        </w:rPr>
        <w:t xml:space="preserve">, </w:t>
      </w:r>
      <w:proofErr w:type="spellStart"/>
      <w:r w:rsidRPr="006A6803">
        <w:rPr>
          <w:rFonts w:ascii="Times New Roman" w:hAnsi="Times New Roman" w:cs="Times New Roman"/>
          <w:sz w:val="24"/>
          <w:szCs w:val="24"/>
        </w:rPr>
        <w:t>menambah</w:t>
      </w:r>
      <w:proofErr w:type="spellEnd"/>
      <w:r w:rsidRPr="006A6803">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jumlah</w:t>
      </w:r>
      <w:proofErr w:type="spellEnd"/>
      <w:r w:rsidRPr="00BA71C5">
        <w:rPr>
          <w:rFonts w:ascii="Times New Roman" w:hAnsi="Times New Roman" w:cs="Times New Roman"/>
          <w:sz w:val="24"/>
          <w:szCs w:val="24"/>
        </w:rPr>
        <w:t xml:space="preserve"> variable </w:t>
      </w:r>
      <w:proofErr w:type="spellStart"/>
      <w:r w:rsidRPr="00BA71C5">
        <w:rPr>
          <w:rFonts w:ascii="Times New Roman" w:hAnsi="Times New Roman" w:cs="Times New Roman"/>
          <w:sz w:val="24"/>
          <w:szCs w:val="24"/>
        </w:rPr>
        <w:t>seperti</w:t>
      </w:r>
      <w:proofErr w:type="spellEnd"/>
      <w:r w:rsidRPr="00BA71C5">
        <w:rPr>
          <w:rFonts w:ascii="Times New Roman" w:hAnsi="Times New Roman" w:cs="Times New Roman"/>
          <w:sz w:val="24"/>
          <w:szCs w:val="24"/>
        </w:rPr>
        <w:t xml:space="preserve"> GDP, </w:t>
      </w:r>
      <w:proofErr w:type="spellStart"/>
      <w:r w:rsidRPr="00BA71C5">
        <w:rPr>
          <w:rFonts w:ascii="Times New Roman" w:hAnsi="Times New Roman" w:cs="Times New Roman"/>
          <w:sz w:val="24"/>
          <w:szCs w:val="24"/>
        </w:rPr>
        <w:t>regulasi</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pemerintah</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atau</w:t>
      </w:r>
      <w:proofErr w:type="spellEnd"/>
      <w:r w:rsidRPr="00BA71C5">
        <w:rPr>
          <w:rFonts w:ascii="Times New Roman" w:hAnsi="Times New Roman" w:cs="Times New Roman"/>
          <w:sz w:val="24"/>
          <w:szCs w:val="24"/>
        </w:rPr>
        <w:t xml:space="preserve"> variable lain yang </w:t>
      </w:r>
      <w:proofErr w:type="spellStart"/>
      <w:r w:rsidRPr="00BA71C5">
        <w:rPr>
          <w:rFonts w:ascii="Times New Roman" w:hAnsi="Times New Roman" w:cs="Times New Roman"/>
          <w:sz w:val="24"/>
          <w:szCs w:val="24"/>
        </w:rPr>
        <w:t>relevan</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serta</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mengukur</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kinerja</w:t>
      </w:r>
      <w:proofErr w:type="spellEnd"/>
      <w:r w:rsidRPr="00BA71C5">
        <w:rPr>
          <w:rFonts w:ascii="Times New Roman" w:hAnsi="Times New Roman" w:cs="Times New Roman"/>
          <w:sz w:val="24"/>
          <w:szCs w:val="24"/>
        </w:rPr>
        <w:t xml:space="preserve"> bank </w:t>
      </w:r>
      <w:proofErr w:type="spellStart"/>
      <w:r w:rsidRPr="00BA71C5">
        <w:rPr>
          <w:rFonts w:ascii="Times New Roman" w:hAnsi="Times New Roman" w:cs="Times New Roman"/>
          <w:sz w:val="24"/>
          <w:szCs w:val="24"/>
        </w:rPr>
        <w:t>syariah</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dengan</w:t>
      </w:r>
      <w:proofErr w:type="spellEnd"/>
      <w:r w:rsidRPr="00BA71C5">
        <w:rPr>
          <w:rFonts w:ascii="Times New Roman" w:hAnsi="Times New Roman" w:cs="Times New Roman"/>
          <w:sz w:val="24"/>
          <w:szCs w:val="24"/>
        </w:rPr>
        <w:t xml:space="preserve"> proxy ROA dan NIM untuk </w:t>
      </w:r>
      <w:proofErr w:type="spellStart"/>
      <w:r w:rsidRPr="00BA71C5">
        <w:rPr>
          <w:rFonts w:ascii="Times New Roman" w:hAnsi="Times New Roman" w:cs="Times New Roman"/>
          <w:sz w:val="24"/>
          <w:szCs w:val="24"/>
        </w:rPr>
        <w:t>mendapatkan</w:t>
      </w:r>
      <w:proofErr w:type="spellEnd"/>
      <w:r w:rsidRPr="00BA71C5">
        <w:rPr>
          <w:rFonts w:ascii="Times New Roman" w:hAnsi="Times New Roman" w:cs="Times New Roman"/>
          <w:sz w:val="24"/>
          <w:szCs w:val="24"/>
        </w:rPr>
        <w:t xml:space="preserve"> </w:t>
      </w:r>
      <w:proofErr w:type="spellStart"/>
      <w:r w:rsidRPr="00BA71C5">
        <w:rPr>
          <w:rFonts w:ascii="Times New Roman" w:hAnsi="Times New Roman" w:cs="Times New Roman"/>
          <w:sz w:val="24"/>
          <w:szCs w:val="24"/>
        </w:rPr>
        <w:t>hasil</w:t>
      </w:r>
      <w:proofErr w:type="spellEnd"/>
      <w:r w:rsidRPr="00BA71C5">
        <w:rPr>
          <w:rFonts w:ascii="Times New Roman" w:hAnsi="Times New Roman" w:cs="Times New Roman"/>
          <w:sz w:val="24"/>
          <w:szCs w:val="24"/>
        </w:rPr>
        <w:t xml:space="preserve"> yang </w:t>
      </w:r>
      <w:proofErr w:type="spellStart"/>
      <w:r w:rsidRPr="00BA71C5">
        <w:rPr>
          <w:rFonts w:ascii="Times New Roman" w:hAnsi="Times New Roman" w:cs="Times New Roman"/>
          <w:sz w:val="24"/>
          <w:szCs w:val="24"/>
        </w:rPr>
        <w:t>komprehensif</w:t>
      </w:r>
      <w:proofErr w:type="spellEnd"/>
      <w:r w:rsidRPr="00BA71C5">
        <w:rPr>
          <w:rFonts w:ascii="Times New Roman" w:hAnsi="Times New Roman" w:cs="Times New Roman"/>
          <w:sz w:val="24"/>
          <w:szCs w:val="24"/>
        </w:rPr>
        <w:t>.</w:t>
      </w:r>
    </w:p>
    <w:p w:rsidR="00AB2462" w:rsidRPr="00BA71C5" w:rsidRDefault="00AB2462" w:rsidP="00AB2462">
      <w:pPr>
        <w:pStyle w:val="Heading3"/>
        <w:spacing w:line="360" w:lineRule="auto"/>
        <w:rPr>
          <w:rFonts w:ascii="Times New Roman" w:hAnsi="Times New Roman"/>
          <w:szCs w:val="24"/>
        </w:rPr>
      </w:pPr>
      <w:r w:rsidRPr="00BA71C5">
        <w:rPr>
          <w:rFonts w:ascii="Times New Roman" w:hAnsi="Times New Roman"/>
          <w:szCs w:val="24"/>
        </w:rPr>
        <w:t>DAFTAR PUSTAKA</w:t>
      </w:r>
      <w:bookmarkStart w:id="1" w:name="OLE_LINK1"/>
      <w:bookmarkStart w:id="2" w:name="OLE_LINK2"/>
    </w:p>
    <w:p w:rsidR="00AB2462" w:rsidRPr="00BA71C5" w:rsidRDefault="00C86557"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sz w:val="24"/>
          <w:szCs w:val="24"/>
        </w:rPr>
        <w:fldChar w:fldCharType="begin" w:fldLock="1"/>
      </w:r>
      <w:r w:rsidR="00AB2462" w:rsidRPr="00BA71C5">
        <w:rPr>
          <w:rFonts w:ascii="Times New Roman" w:hAnsi="Times New Roman"/>
          <w:sz w:val="24"/>
          <w:szCs w:val="24"/>
        </w:rPr>
        <w:instrText xml:space="preserve">ADDIN Mendeley Bibliography CSL_BIBLIOGRAPHY </w:instrText>
      </w:r>
      <w:r w:rsidRPr="00BA71C5">
        <w:rPr>
          <w:rFonts w:ascii="Times New Roman" w:hAnsi="Times New Roman"/>
          <w:sz w:val="24"/>
          <w:szCs w:val="24"/>
        </w:rPr>
        <w:fldChar w:fldCharType="separate"/>
      </w:r>
      <w:r w:rsidR="00AB2462" w:rsidRPr="00BA71C5">
        <w:rPr>
          <w:rFonts w:ascii="Times New Roman" w:hAnsi="Times New Roman"/>
          <w:noProof/>
          <w:sz w:val="24"/>
          <w:szCs w:val="24"/>
        </w:rPr>
        <w:t xml:space="preserve">Abiola, I. and Olausi, A.S. (2014), “The Impact of Credit Risk Management on The Commercial Banks Performance in Nigeria”, </w:t>
      </w:r>
      <w:r w:rsidR="00AB2462" w:rsidRPr="00BA71C5">
        <w:rPr>
          <w:rFonts w:ascii="Times New Roman" w:hAnsi="Times New Roman"/>
          <w:i/>
          <w:iCs/>
          <w:noProof/>
          <w:sz w:val="24"/>
          <w:szCs w:val="24"/>
        </w:rPr>
        <w:t>International Journal of Management and Sustainability</w:t>
      </w:r>
      <w:r w:rsidR="00AB2462" w:rsidRPr="00BA71C5">
        <w:rPr>
          <w:rFonts w:ascii="Times New Roman" w:hAnsi="Times New Roman"/>
          <w:noProof/>
          <w:sz w:val="24"/>
          <w:szCs w:val="24"/>
        </w:rPr>
        <w:t>, Vol. 3 No. 5, pp. 295–306.</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Aduda, J. and Gitonga, J. (2011), “The relationship between credit risk management and profitability among the commercial banks in Kenya”, </w:t>
      </w:r>
      <w:r w:rsidRPr="00BA71C5">
        <w:rPr>
          <w:rFonts w:ascii="Times New Roman" w:hAnsi="Times New Roman"/>
          <w:i/>
          <w:iCs/>
          <w:noProof/>
          <w:sz w:val="24"/>
          <w:szCs w:val="24"/>
        </w:rPr>
        <w:t>Journal of Modern Accounting and Auditing</w:t>
      </w:r>
      <w:r w:rsidRPr="00BA71C5">
        <w:rPr>
          <w:rFonts w:ascii="Times New Roman" w:hAnsi="Times New Roman"/>
          <w:noProof/>
          <w:sz w:val="24"/>
          <w:szCs w:val="24"/>
        </w:rPr>
        <w:t>, Vol. 7 No. 9, p. 934.</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Alharbi, A.T. (2015), “Determinants of Islamic banks profitability : international evidence”, </w:t>
      </w:r>
      <w:r w:rsidRPr="00BA71C5">
        <w:rPr>
          <w:rFonts w:ascii="Times New Roman" w:hAnsi="Times New Roman"/>
          <w:i/>
          <w:iCs/>
          <w:noProof/>
          <w:sz w:val="24"/>
          <w:szCs w:val="24"/>
        </w:rPr>
        <w:t>International Journal of Islamic and Middle Eastern Finance and Management</w:t>
      </w:r>
      <w:r w:rsidRPr="00BA71C5">
        <w:rPr>
          <w:rFonts w:ascii="Times New Roman" w:hAnsi="Times New Roman"/>
          <w:noProof/>
          <w:sz w:val="24"/>
          <w:szCs w:val="24"/>
        </w:rPr>
        <w:t>, pp. 1–21.</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Alharthi, M. (2016), </w:t>
      </w:r>
      <w:r w:rsidRPr="00BA71C5">
        <w:rPr>
          <w:rFonts w:ascii="Times New Roman" w:hAnsi="Times New Roman"/>
          <w:i/>
          <w:iCs/>
          <w:noProof/>
          <w:sz w:val="24"/>
          <w:szCs w:val="24"/>
        </w:rPr>
        <w:t xml:space="preserve">The Determinants of Efficiency, Profitability and Stability in the Banking Sector: A Comparative Study of Islamic, Conventional and </w:t>
      </w:r>
      <w:r w:rsidRPr="00BA71C5">
        <w:rPr>
          <w:rFonts w:ascii="Times New Roman" w:hAnsi="Times New Roman"/>
          <w:i/>
          <w:iCs/>
          <w:noProof/>
          <w:sz w:val="24"/>
          <w:szCs w:val="24"/>
        </w:rPr>
        <w:lastRenderedPageBreak/>
        <w:t>Socially Responsible Banks</w:t>
      </w:r>
      <w:r w:rsidRPr="00BA71C5">
        <w:rPr>
          <w:rFonts w:ascii="Times New Roman" w:hAnsi="Times New Roman"/>
          <w:noProof/>
          <w:sz w:val="24"/>
          <w:szCs w:val="24"/>
        </w:rPr>
        <w:t>, Plymouth University, Plymouth, available at:https://doi.org/10.1017/CBO9781107415324.004.</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Almazari, A.A. (2014), “Impact of Internal Factors on Bank Profitability : Comparative Study between Saudi Arabia and Jordan”, </w:t>
      </w:r>
      <w:r w:rsidRPr="00BA71C5">
        <w:rPr>
          <w:rFonts w:ascii="Times New Roman" w:hAnsi="Times New Roman"/>
          <w:i/>
          <w:iCs/>
          <w:noProof/>
          <w:sz w:val="24"/>
          <w:szCs w:val="24"/>
        </w:rPr>
        <w:t>Journal of Applied Finance &amp; Banking</w:t>
      </w:r>
      <w:r w:rsidRPr="00BA71C5">
        <w:rPr>
          <w:rFonts w:ascii="Times New Roman" w:hAnsi="Times New Roman"/>
          <w:noProof/>
          <w:sz w:val="24"/>
          <w:szCs w:val="24"/>
        </w:rPr>
        <w:t>, Vol. 4 No. 1, pp. 125–140.</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Alshatti, A.S. (2015), “The Effect of Credit Risk Management on the Financial Performance of Commercial Banks in Kenya”, </w:t>
      </w:r>
      <w:r w:rsidRPr="00BA71C5">
        <w:rPr>
          <w:rFonts w:ascii="Times New Roman" w:hAnsi="Times New Roman"/>
          <w:i/>
          <w:iCs/>
          <w:noProof/>
          <w:sz w:val="24"/>
          <w:szCs w:val="24"/>
        </w:rPr>
        <w:t>Investment Management and Financial Innovations</w:t>
      </w:r>
      <w:r w:rsidRPr="00BA71C5">
        <w:rPr>
          <w:rFonts w:ascii="Times New Roman" w:hAnsi="Times New Roman"/>
          <w:noProof/>
          <w:sz w:val="24"/>
          <w:szCs w:val="24"/>
        </w:rPr>
        <w:t>, Vol. 12 No. 1, pp. 338–345.</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Alshatti, A.S. (2016), “Determinants of banks’ profitability - The case of Jordan”, </w:t>
      </w:r>
      <w:r w:rsidRPr="00BA71C5">
        <w:rPr>
          <w:rFonts w:ascii="Times New Roman" w:hAnsi="Times New Roman"/>
          <w:i/>
          <w:iCs/>
          <w:noProof/>
          <w:sz w:val="24"/>
          <w:szCs w:val="24"/>
        </w:rPr>
        <w:t>Investment Management and Financial Innovations</w:t>
      </w:r>
      <w:r w:rsidRPr="00BA71C5">
        <w:rPr>
          <w:rFonts w:ascii="Times New Roman" w:hAnsi="Times New Roman"/>
          <w:noProof/>
          <w:sz w:val="24"/>
          <w:szCs w:val="24"/>
        </w:rPr>
        <w:t>, Vol. 13 No. 1, pp. 84–91.</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Azmi, M.A. and W. (2017), “Impact of Islamic Banking on Economic Growth and Volatility: Evidence from the OIC Member Countries”, </w:t>
      </w:r>
      <w:r w:rsidRPr="00BA71C5">
        <w:rPr>
          <w:rFonts w:ascii="Times New Roman" w:hAnsi="Times New Roman"/>
          <w:i/>
          <w:iCs/>
          <w:noProof/>
          <w:sz w:val="24"/>
          <w:szCs w:val="24"/>
        </w:rPr>
        <w:t>Palgrave CIBFR Studies in Islamic Finance</w:t>
      </w:r>
      <w:r w:rsidRPr="00BA71C5">
        <w:rPr>
          <w:rFonts w:ascii="Times New Roman" w:hAnsi="Times New Roman"/>
          <w:noProof/>
          <w:sz w:val="24"/>
          <w:szCs w:val="24"/>
        </w:rPr>
        <w:t>, Springer International Publishing AG, Gewerbestrasse 11, 6330 Cham, Switzerland, pp. 15–32.</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Bassey, G.E. and Moses, C.E. (2015), “Bank Profitability and Liquidity Management : a Case Study of Selected Nigerian Deposit Money Banks”, </w:t>
      </w:r>
      <w:r w:rsidRPr="00BA71C5">
        <w:rPr>
          <w:rFonts w:ascii="Times New Roman" w:hAnsi="Times New Roman"/>
          <w:i/>
          <w:iCs/>
          <w:noProof/>
          <w:sz w:val="24"/>
          <w:szCs w:val="24"/>
        </w:rPr>
        <w:t>Bank Profitability and Liquidity Management: A Case Study of Selected Nigerian Deposit Money Banks</w:t>
      </w:r>
      <w:r w:rsidRPr="00BA71C5">
        <w:rPr>
          <w:rFonts w:ascii="Times New Roman" w:hAnsi="Times New Roman"/>
          <w:noProof/>
          <w:sz w:val="24"/>
          <w:szCs w:val="24"/>
        </w:rPr>
        <w:t>, Vol. III No. 4, pp. 1–24.</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Bayyoud, M. and Sayyad, N. (2015), “The Relationship between Credit Risk Management and Profitability between Investment and Commercial Banks in Palestine”, </w:t>
      </w:r>
      <w:r w:rsidRPr="00BA71C5">
        <w:rPr>
          <w:rFonts w:ascii="Times New Roman" w:hAnsi="Times New Roman"/>
          <w:i/>
          <w:iCs/>
          <w:noProof/>
          <w:sz w:val="24"/>
          <w:szCs w:val="24"/>
        </w:rPr>
        <w:t>International Journal of Economics and Finance</w:t>
      </w:r>
      <w:r w:rsidRPr="00BA71C5">
        <w:rPr>
          <w:rFonts w:ascii="Times New Roman" w:hAnsi="Times New Roman"/>
          <w:noProof/>
          <w:sz w:val="24"/>
          <w:szCs w:val="24"/>
        </w:rPr>
        <w:t>, Vol. 7 No. 11, p. 163.</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Ben, I., Mahdi, S. and Abbes, M.B. (2017), “Relationship between Capital , Risk and Liquidity A comparative study between Islamic and conventional banks in MENA region”, </w:t>
      </w:r>
      <w:r w:rsidRPr="00BA71C5">
        <w:rPr>
          <w:rFonts w:ascii="Times New Roman" w:hAnsi="Times New Roman"/>
          <w:i/>
          <w:iCs/>
          <w:noProof/>
          <w:sz w:val="24"/>
          <w:szCs w:val="24"/>
        </w:rPr>
        <w:t>Research in International Business and Finance</w:t>
      </w:r>
      <w:r w:rsidRPr="00BA71C5">
        <w:rPr>
          <w:rFonts w:ascii="Times New Roman" w:hAnsi="Times New Roman"/>
          <w:noProof/>
          <w:sz w:val="24"/>
          <w:szCs w:val="24"/>
        </w:rPr>
        <w:t xml:space="preserve">, </w:t>
      </w:r>
      <w:r w:rsidRPr="00BA71C5">
        <w:rPr>
          <w:rFonts w:ascii="Times New Roman" w:hAnsi="Times New Roman"/>
          <w:noProof/>
          <w:sz w:val="24"/>
          <w:szCs w:val="24"/>
        </w:rPr>
        <w:t>Elsevier B.V., pp. 1–21.</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Boahene, S. H., Dasah, J. and Agyei, S.K. (2012), “Credit risk and profitability of selected banks in Ghana”, </w:t>
      </w:r>
      <w:r w:rsidRPr="00BA71C5">
        <w:rPr>
          <w:rFonts w:ascii="Times New Roman" w:hAnsi="Times New Roman"/>
          <w:i/>
          <w:iCs/>
          <w:noProof/>
          <w:sz w:val="24"/>
          <w:szCs w:val="24"/>
        </w:rPr>
        <w:t>Research Journal of Finance and Accounting</w:t>
      </w:r>
      <w:r w:rsidRPr="00BA71C5">
        <w:rPr>
          <w:rFonts w:ascii="Times New Roman" w:hAnsi="Times New Roman"/>
          <w:noProof/>
          <w:sz w:val="24"/>
          <w:szCs w:val="24"/>
        </w:rPr>
        <w:t>, Vol. 3 No. 7, pp. 6–14.</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Chusaini, A. and Ismal, R. (2013), “Credit Risk Management in Indonesian Islamic Banking”, </w:t>
      </w:r>
      <w:r w:rsidRPr="00BA71C5">
        <w:rPr>
          <w:rFonts w:ascii="Times New Roman" w:hAnsi="Times New Roman"/>
          <w:i/>
          <w:iCs/>
          <w:noProof/>
          <w:sz w:val="24"/>
          <w:szCs w:val="24"/>
        </w:rPr>
        <w:t>Afro Eurasian Studies</w:t>
      </w:r>
      <w:r w:rsidRPr="00BA71C5">
        <w:rPr>
          <w:rFonts w:ascii="Times New Roman" w:hAnsi="Times New Roman"/>
          <w:noProof/>
          <w:sz w:val="24"/>
          <w:szCs w:val="24"/>
        </w:rPr>
        <w:t>, Vol. 2 No. 1 &amp; 2, pp. 41–55.</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Daly, S. and Frikha, M. (2015), “Determinants of bank Performance : Comparative Study Between Conventional and Islamic Banking in Bahrain”, </w:t>
      </w:r>
      <w:r w:rsidRPr="00BA71C5">
        <w:rPr>
          <w:rFonts w:ascii="Times New Roman" w:hAnsi="Times New Roman"/>
          <w:i/>
          <w:iCs/>
          <w:noProof/>
          <w:sz w:val="24"/>
          <w:szCs w:val="24"/>
        </w:rPr>
        <w:t>Springer Science + Business Media New York</w:t>
      </w:r>
      <w:r w:rsidRPr="00BA71C5">
        <w:rPr>
          <w:rFonts w:ascii="Times New Roman" w:hAnsi="Times New Roman"/>
          <w:noProof/>
          <w:sz w:val="24"/>
          <w:szCs w:val="24"/>
        </w:rPr>
        <w:t>, available at:https://doi.org/10.1007/s13132-015-0261-8.</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GIFR. (2016), </w:t>
      </w:r>
      <w:r w:rsidRPr="00BA71C5">
        <w:rPr>
          <w:rFonts w:ascii="Times New Roman" w:hAnsi="Times New Roman"/>
          <w:i/>
          <w:iCs/>
          <w:noProof/>
          <w:sz w:val="24"/>
          <w:szCs w:val="24"/>
        </w:rPr>
        <w:t>Islamic Finance: A Catalyst for Shared Prosperity?</w:t>
      </w:r>
      <w:r w:rsidRPr="00BA71C5">
        <w:rPr>
          <w:rFonts w:ascii="Times New Roman" w:hAnsi="Times New Roman"/>
          <w:noProof/>
          <w:sz w:val="24"/>
          <w:szCs w:val="24"/>
        </w:rPr>
        <w:t>, available at:https://doi.org/10.1596/978-1-4648-0926-2.</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Governance, K.N.K.C. (2010), </w:t>
      </w:r>
      <w:r w:rsidRPr="00BA71C5">
        <w:rPr>
          <w:rFonts w:ascii="Times New Roman" w:hAnsi="Times New Roman"/>
          <w:i/>
          <w:iCs/>
          <w:noProof/>
          <w:sz w:val="24"/>
          <w:szCs w:val="24"/>
        </w:rPr>
        <w:t>Pedoman Good Corporate Governance Perbankan Indonesia</w:t>
      </w:r>
      <w:r w:rsidRPr="00BA71C5">
        <w:rPr>
          <w:rFonts w:ascii="Times New Roman" w:hAnsi="Times New Roman"/>
          <w:noProof/>
          <w:sz w:val="24"/>
          <w:szCs w:val="24"/>
        </w:rPr>
        <w:t>, pp. 0–16.</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Hall, M. and Weiss, L. (1967), “Firm Size and Profitability”, </w:t>
      </w:r>
      <w:r w:rsidRPr="00BA71C5">
        <w:rPr>
          <w:rFonts w:ascii="Times New Roman" w:hAnsi="Times New Roman"/>
          <w:i/>
          <w:iCs/>
          <w:noProof/>
          <w:sz w:val="24"/>
          <w:szCs w:val="24"/>
        </w:rPr>
        <w:t>Source: The Review of Economics and Statistics</w:t>
      </w:r>
      <w:r w:rsidRPr="00BA71C5">
        <w:rPr>
          <w:rFonts w:ascii="Times New Roman" w:hAnsi="Times New Roman"/>
          <w:noProof/>
          <w:sz w:val="24"/>
          <w:szCs w:val="24"/>
        </w:rPr>
        <w:t>, Vol. 49 No. 3, pp. 319–331.</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Harianto, S. (2017), “Rasio Keuangan dan Pengaruhnya Terhadap Profitabilitas Pada Bank Pembiayaan Rakyat Syariah di Indonesia”, Vol. 7 No. April, pp. 41–48.</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Haron, S. (1996), “The effects of management policy on the performance of Islamic banks”, </w:t>
      </w:r>
      <w:r w:rsidRPr="00BA71C5">
        <w:rPr>
          <w:rFonts w:ascii="Times New Roman" w:hAnsi="Times New Roman"/>
          <w:i/>
          <w:iCs/>
          <w:noProof/>
          <w:sz w:val="24"/>
          <w:szCs w:val="24"/>
        </w:rPr>
        <w:t>Asia Pacific Journal of Management</w:t>
      </w:r>
      <w:r w:rsidRPr="00BA71C5">
        <w:rPr>
          <w:rFonts w:ascii="Times New Roman" w:hAnsi="Times New Roman"/>
          <w:noProof/>
          <w:sz w:val="24"/>
          <w:szCs w:val="24"/>
        </w:rPr>
        <w:t>, Vol. 13 No. 2, pp. 63–76.</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Hassan, A. (2009), “Risk management practices of Islamic banks of Brunei Darussalam”, </w:t>
      </w:r>
      <w:r w:rsidRPr="00BA71C5">
        <w:rPr>
          <w:rFonts w:ascii="Times New Roman" w:hAnsi="Times New Roman"/>
          <w:i/>
          <w:iCs/>
          <w:noProof/>
          <w:sz w:val="24"/>
          <w:szCs w:val="24"/>
        </w:rPr>
        <w:t>The Journal of Risk Finance</w:t>
      </w:r>
      <w:r w:rsidRPr="00BA71C5">
        <w:rPr>
          <w:rFonts w:ascii="Times New Roman" w:hAnsi="Times New Roman"/>
          <w:noProof/>
          <w:sz w:val="24"/>
          <w:szCs w:val="24"/>
        </w:rPr>
        <w:t>, Vol. 10 No. 1, pp. 23–37.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Hassan, M.K. and Bashir, A.-H.M. (2005), “Determinants of Islamic Banking Profitability”, </w:t>
      </w:r>
      <w:r w:rsidRPr="00BA71C5">
        <w:rPr>
          <w:rFonts w:ascii="Times New Roman" w:hAnsi="Times New Roman"/>
          <w:i/>
          <w:iCs/>
          <w:noProof/>
          <w:sz w:val="24"/>
          <w:szCs w:val="24"/>
        </w:rPr>
        <w:t>Islamic Perspectives on Wealth Creation</w:t>
      </w:r>
      <w:r w:rsidRPr="00BA71C5">
        <w:rPr>
          <w:rFonts w:ascii="Times New Roman" w:hAnsi="Times New Roman"/>
          <w:noProof/>
          <w:sz w:val="24"/>
          <w:szCs w:val="24"/>
        </w:rPr>
        <w:t>, Vol. 7, Edinburgh University Press, pp. 118–140.</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Heffernan, S. (2005), </w:t>
      </w:r>
      <w:r w:rsidRPr="00BA71C5">
        <w:rPr>
          <w:rFonts w:ascii="Times New Roman" w:hAnsi="Times New Roman"/>
          <w:i/>
          <w:iCs/>
          <w:noProof/>
          <w:sz w:val="24"/>
          <w:szCs w:val="24"/>
        </w:rPr>
        <w:t>Modern Banking</w:t>
      </w:r>
      <w:r w:rsidRPr="00BA71C5">
        <w:rPr>
          <w:rFonts w:ascii="Times New Roman" w:hAnsi="Times New Roman"/>
          <w:noProof/>
          <w:sz w:val="24"/>
          <w:szCs w:val="24"/>
        </w:rPr>
        <w:t xml:space="preserve">, Vol. 14, John Wiley &amp; Sons Ltd, The Atrium, </w:t>
      </w:r>
      <w:r w:rsidRPr="00BA71C5">
        <w:rPr>
          <w:rFonts w:ascii="Times New Roman" w:hAnsi="Times New Roman"/>
          <w:noProof/>
          <w:sz w:val="24"/>
          <w:szCs w:val="24"/>
        </w:rPr>
        <w:lastRenderedPageBreak/>
        <w:t>Southern Gate, Chichester, West Sussex PO19 8SQ, England, available at:https://doi.org/10.3406/reco.1992.409350.</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Idris, R., Fizari Abu Hassan Asari, F., Asilah Abdullah Taufik, N., Jana Salim, N., Mustaffa, R. and Jusoff, K. (2011), “Determinant of Islamic Banking Institutions’ Profitability in Malaysia”, </w:t>
      </w:r>
      <w:r w:rsidRPr="00BA71C5">
        <w:rPr>
          <w:rFonts w:ascii="Times New Roman" w:hAnsi="Times New Roman"/>
          <w:i/>
          <w:iCs/>
          <w:noProof/>
          <w:sz w:val="24"/>
          <w:szCs w:val="24"/>
        </w:rPr>
        <w:t>World Applied Sciences JournalSpecial Issue on Bolstering Economic Sustainability Bank Negara Malaysia</w:t>
      </w:r>
      <w:r w:rsidRPr="00BA71C5">
        <w:rPr>
          <w:rFonts w:ascii="Times New Roman" w:hAnsi="Times New Roman"/>
          <w:noProof/>
          <w:sz w:val="24"/>
          <w:szCs w:val="24"/>
        </w:rPr>
        <w:t>, Vol. 12 No. 1, pp. 1–7.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Imran, S., Ali, N., Quality, A., Employee, P.P., Efficiency, E. and Interest, N. (2012), “A Study of Ten Indian Commercial Bank ’ s Financial Performance using CAMELS Methodology”, </w:t>
      </w:r>
      <w:r w:rsidRPr="00BA71C5">
        <w:rPr>
          <w:rFonts w:ascii="Times New Roman" w:hAnsi="Times New Roman"/>
          <w:i/>
          <w:iCs/>
          <w:noProof/>
          <w:sz w:val="24"/>
          <w:szCs w:val="24"/>
        </w:rPr>
        <w:t>IMS Manthan</w:t>
      </w:r>
      <w:r w:rsidRPr="00BA71C5">
        <w:rPr>
          <w:rFonts w:ascii="Times New Roman" w:hAnsi="Times New Roman"/>
          <w:noProof/>
          <w:sz w:val="24"/>
          <w:szCs w:val="24"/>
        </w:rPr>
        <w:t>, Vol. VII No. 1, pp. 1–14.</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Jara‐Bertin, M., Arias Moya, J. and Rodríguez Perales, A. (2014), “Determinants of bank performance: evidence for Latin America”, </w:t>
      </w:r>
      <w:r w:rsidRPr="00BA71C5">
        <w:rPr>
          <w:rFonts w:ascii="Times New Roman" w:hAnsi="Times New Roman"/>
          <w:i/>
          <w:iCs/>
          <w:noProof/>
          <w:sz w:val="24"/>
          <w:szCs w:val="24"/>
        </w:rPr>
        <w:t>Academia Revista Latinoamericana de Administración</w:t>
      </w:r>
      <w:r w:rsidRPr="00BA71C5">
        <w:rPr>
          <w:rFonts w:ascii="Times New Roman" w:hAnsi="Times New Roman"/>
          <w:noProof/>
          <w:sz w:val="24"/>
          <w:szCs w:val="24"/>
        </w:rPr>
        <w:t>, Vol. 27 No. 2, pp. 164–182.</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Kayode, O.F., Obamuyi, T.M., Ayodeleowoputi, J. and Ademolaadeyefa, F. (2015), “Credit Risk and Bank Performance in Nigeria”, </w:t>
      </w:r>
      <w:r w:rsidRPr="00BA71C5">
        <w:rPr>
          <w:rFonts w:ascii="Times New Roman" w:hAnsi="Times New Roman"/>
          <w:i/>
          <w:iCs/>
          <w:noProof/>
          <w:sz w:val="24"/>
          <w:szCs w:val="24"/>
        </w:rPr>
        <w:t>IOSR Journal of Economics and Finance</w:t>
      </w:r>
      <w:r w:rsidRPr="00BA71C5">
        <w:rPr>
          <w:rFonts w:ascii="Times New Roman" w:hAnsi="Times New Roman"/>
          <w:noProof/>
          <w:sz w:val="24"/>
          <w:szCs w:val="24"/>
        </w:rPr>
        <w:t>, Vol. 6 No. 2, pp. 21–28.</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Khediri, K. Ben and Khedhiri, H. Ben. </w:t>
      </w:r>
      <w:r w:rsidRPr="00BA71C5">
        <w:rPr>
          <w:rFonts w:ascii="Times New Roman" w:hAnsi="Times New Roman"/>
          <w:noProof/>
          <w:sz w:val="24"/>
          <w:szCs w:val="24"/>
        </w:rPr>
        <w:t xml:space="preserve">(2009), “Determinants of Islamic bank profitability in the MENA region”, </w:t>
      </w:r>
      <w:r w:rsidRPr="00BA71C5">
        <w:rPr>
          <w:rFonts w:ascii="Times New Roman" w:hAnsi="Times New Roman"/>
          <w:i/>
          <w:iCs/>
          <w:noProof/>
          <w:sz w:val="24"/>
          <w:szCs w:val="24"/>
        </w:rPr>
        <w:t>International Journal of Monetary Economics and Finance</w:t>
      </w:r>
      <w:r w:rsidRPr="00BA71C5">
        <w:rPr>
          <w:rFonts w:ascii="Times New Roman" w:hAnsi="Times New Roman"/>
          <w:noProof/>
          <w:sz w:val="24"/>
          <w:szCs w:val="24"/>
        </w:rPr>
        <w:t>, Vol. 2 No. 3/4, pp. 409–426.</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Kodithuwakku, M.S. (2015), “Impact of Credit Risk Management on the Performance of Commercial Banks in Sri Lanka”, </w:t>
      </w:r>
      <w:r w:rsidRPr="00BA71C5">
        <w:rPr>
          <w:rFonts w:ascii="Times New Roman" w:hAnsi="Times New Roman"/>
          <w:i/>
          <w:iCs/>
          <w:noProof/>
          <w:sz w:val="24"/>
          <w:szCs w:val="24"/>
        </w:rPr>
        <w:t>International Journal of Scientific Research and Innovative Technology</w:t>
      </w:r>
      <w:r w:rsidRPr="00BA71C5">
        <w:rPr>
          <w:rFonts w:ascii="Times New Roman" w:hAnsi="Times New Roman"/>
          <w:noProof/>
          <w:sz w:val="24"/>
          <w:szCs w:val="24"/>
        </w:rPr>
        <w:t>, Vol. 2 No. 7, pp. 24–29.</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Li, F. and Zou, Y. (2014), </w:t>
      </w:r>
      <w:r w:rsidRPr="00BA71C5">
        <w:rPr>
          <w:rFonts w:ascii="Times New Roman" w:hAnsi="Times New Roman"/>
          <w:i/>
          <w:iCs/>
          <w:noProof/>
          <w:sz w:val="24"/>
          <w:szCs w:val="24"/>
        </w:rPr>
        <w:t>The Impact of Credit Risk Management on Profitability of Commercial Banks: A Study of Europe</w:t>
      </w:r>
      <w:r w:rsidRPr="00BA71C5">
        <w:rPr>
          <w:rFonts w:ascii="Times New Roman" w:hAnsi="Times New Roman"/>
          <w:noProof/>
          <w:sz w:val="24"/>
          <w:szCs w:val="24"/>
        </w:rPr>
        <w:t>.</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Mohammad, S. (2013), “Liquidity Risk Management in Islamic Banks: A Survey”, </w:t>
      </w:r>
      <w:r w:rsidRPr="00BA71C5">
        <w:rPr>
          <w:rFonts w:ascii="Times New Roman" w:hAnsi="Times New Roman"/>
          <w:i/>
          <w:iCs/>
          <w:noProof/>
          <w:sz w:val="24"/>
          <w:szCs w:val="24"/>
        </w:rPr>
        <w:t>Afro Eurasian Studies</w:t>
      </w:r>
      <w:r w:rsidRPr="00BA71C5">
        <w:rPr>
          <w:rFonts w:ascii="Times New Roman" w:hAnsi="Times New Roman"/>
          <w:noProof/>
          <w:sz w:val="24"/>
          <w:szCs w:val="24"/>
        </w:rPr>
        <w:t>, Vol. 1 No. 1–2, pp. 215–230.</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MS, S. and N, Z. (2016), “The Impact of Credit Risk on Profitability of the Commercial Banks”, </w:t>
      </w:r>
      <w:r w:rsidRPr="00BA71C5">
        <w:rPr>
          <w:rFonts w:ascii="Times New Roman" w:hAnsi="Times New Roman"/>
          <w:i/>
          <w:iCs/>
          <w:noProof/>
          <w:sz w:val="24"/>
          <w:szCs w:val="24"/>
        </w:rPr>
        <w:t>Journal of Business &amp; Financial Affairs</w:t>
      </w:r>
      <w:r w:rsidRPr="00BA71C5">
        <w:rPr>
          <w:rFonts w:ascii="Times New Roman" w:hAnsi="Times New Roman"/>
          <w:noProof/>
          <w:sz w:val="24"/>
          <w:szCs w:val="24"/>
        </w:rPr>
        <w:t>, Vol. 5 No. 2, pp. 1–7.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Munir, B., Salwa, U. and Bustamam, A. (2017), “Camel Ratio on Profitability Banking Performance (Malaysia Versus Indonesia)”, </w:t>
      </w:r>
      <w:r w:rsidRPr="00BA71C5">
        <w:rPr>
          <w:rFonts w:ascii="Times New Roman" w:hAnsi="Times New Roman"/>
          <w:i/>
          <w:iCs/>
          <w:noProof/>
          <w:sz w:val="24"/>
          <w:szCs w:val="24"/>
        </w:rPr>
        <w:t>International Journal of Management, Innovation &amp; Entrepreneurial Research</w:t>
      </w:r>
      <w:r w:rsidRPr="00BA71C5">
        <w:rPr>
          <w:rFonts w:ascii="Times New Roman" w:hAnsi="Times New Roman"/>
          <w:noProof/>
          <w:sz w:val="24"/>
          <w:szCs w:val="24"/>
        </w:rPr>
        <w:t>, Vol. 3 No. 1, pp. 30–39.</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OJK. (2016), </w:t>
      </w:r>
      <w:r w:rsidRPr="00BA71C5">
        <w:rPr>
          <w:rFonts w:ascii="Times New Roman" w:hAnsi="Times New Roman"/>
          <w:i/>
          <w:iCs/>
          <w:noProof/>
          <w:sz w:val="24"/>
          <w:szCs w:val="24"/>
        </w:rPr>
        <w:t>The Sharia Indonesia Banking Statistic</w:t>
      </w:r>
      <w:r w:rsidRPr="00BA71C5">
        <w:rPr>
          <w:rFonts w:ascii="Times New Roman" w:hAnsi="Times New Roman"/>
          <w:noProof/>
          <w:sz w:val="24"/>
          <w:szCs w:val="24"/>
        </w:rPr>
        <w:t>, Jakarta.</w:t>
      </w:r>
    </w:p>
    <w:p w:rsidR="007663EF" w:rsidRDefault="007663EF" w:rsidP="00AB2462">
      <w:pPr>
        <w:widowControl w:val="0"/>
        <w:autoSpaceDE w:val="0"/>
        <w:autoSpaceDN w:val="0"/>
        <w:adjustRightInd w:val="0"/>
        <w:ind w:left="480" w:hanging="480"/>
        <w:jc w:val="both"/>
        <w:rPr>
          <w:rFonts w:ascii="Times New Roman" w:hAnsi="Times New Roman"/>
          <w:noProof/>
          <w:sz w:val="24"/>
          <w:szCs w:val="24"/>
        </w:rPr>
        <w:sectPr w:rsidR="007663EF" w:rsidSect="00AB2462">
          <w:type w:val="continuous"/>
          <w:pgSz w:w="11906" w:h="16838"/>
          <w:pgMar w:top="1411" w:right="1282" w:bottom="1411" w:left="1282" w:header="706" w:footer="706" w:gutter="0"/>
          <w:cols w:num="2" w:space="432"/>
        </w:sectPr>
      </w:pP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Ongore, V.O. and Kusa, G.B. (2013), “Determinants of Financial Performance of Commercial Banks in Kenya”, </w:t>
      </w:r>
      <w:r w:rsidRPr="00BA71C5">
        <w:rPr>
          <w:rFonts w:ascii="Times New Roman" w:hAnsi="Times New Roman"/>
          <w:i/>
          <w:iCs/>
          <w:noProof/>
          <w:sz w:val="24"/>
          <w:szCs w:val="24"/>
        </w:rPr>
        <w:t>International Journal of Economics and Financial Issues</w:t>
      </w:r>
      <w:r w:rsidRPr="00BA71C5">
        <w:rPr>
          <w:rFonts w:ascii="Times New Roman" w:hAnsi="Times New Roman"/>
          <w:noProof/>
          <w:sz w:val="24"/>
          <w:szCs w:val="24"/>
        </w:rPr>
        <w:t>, Vol. 3 No. 1, pp. 237–252.</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Ramlan, H. and Sharrizat, M. (2016), “The Profitability of Islamic and Conventional Bank : Case study in Malaysia”, </w:t>
      </w:r>
      <w:r w:rsidRPr="00BA71C5">
        <w:rPr>
          <w:rFonts w:ascii="Times New Roman" w:hAnsi="Times New Roman"/>
          <w:i/>
          <w:iCs/>
          <w:noProof/>
          <w:sz w:val="24"/>
          <w:szCs w:val="24"/>
        </w:rPr>
        <w:t>7th International Economics &amp; Business Management Conference</w:t>
      </w:r>
      <w:r w:rsidRPr="00BA71C5">
        <w:rPr>
          <w:rFonts w:ascii="Times New Roman" w:hAnsi="Times New Roman"/>
          <w:noProof/>
          <w:sz w:val="24"/>
          <w:szCs w:val="24"/>
        </w:rPr>
        <w:t>, Vol. 35, Elsevier B.V., pp. 359–367.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Sriyana, J. (2015), “Islamic banks’ profitability amid the competitive financing in Indonesia”, </w:t>
      </w:r>
      <w:r w:rsidRPr="00BA71C5">
        <w:rPr>
          <w:rFonts w:ascii="Times New Roman" w:hAnsi="Times New Roman"/>
          <w:i/>
          <w:iCs/>
          <w:noProof/>
          <w:sz w:val="24"/>
          <w:szCs w:val="24"/>
        </w:rPr>
        <w:t xml:space="preserve">International Journal of Applied Business and </w:t>
      </w:r>
      <w:r w:rsidRPr="00BA71C5">
        <w:rPr>
          <w:rFonts w:ascii="Times New Roman" w:hAnsi="Times New Roman"/>
          <w:i/>
          <w:iCs/>
          <w:noProof/>
          <w:sz w:val="24"/>
          <w:szCs w:val="24"/>
        </w:rPr>
        <w:t>Economic Research</w:t>
      </w:r>
      <w:r w:rsidRPr="00BA71C5">
        <w:rPr>
          <w:rFonts w:ascii="Times New Roman" w:hAnsi="Times New Roman"/>
          <w:noProof/>
          <w:sz w:val="24"/>
          <w:szCs w:val="24"/>
        </w:rPr>
        <w:t>, Vol. 13 No. 4, pp. 1695–1710.</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Sufian, F. and Chong, R.R. (2008), “Determinants of bank profitability in a developing economy: PHILIPPINES”, </w:t>
      </w:r>
      <w:r w:rsidRPr="00BA71C5">
        <w:rPr>
          <w:rFonts w:ascii="Times New Roman" w:hAnsi="Times New Roman"/>
          <w:i/>
          <w:iCs/>
          <w:noProof/>
          <w:sz w:val="24"/>
          <w:szCs w:val="24"/>
        </w:rPr>
        <w:t>Asian Academy of Management Journal of Accounting And Finance</w:t>
      </w:r>
      <w:r w:rsidRPr="00BA71C5">
        <w:rPr>
          <w:rFonts w:ascii="Times New Roman" w:hAnsi="Times New Roman"/>
          <w:noProof/>
          <w:sz w:val="24"/>
          <w:szCs w:val="24"/>
        </w:rPr>
        <w:t>, Vol. 4 No. 2, pp. 91–112.</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Sufian, F. and Habibullah, M.S. (2009), “Determinants of bank profitability in a developing economy: Empirical evidence from Bangladesh”, </w:t>
      </w:r>
      <w:r w:rsidRPr="00BA71C5">
        <w:rPr>
          <w:rFonts w:ascii="Times New Roman" w:hAnsi="Times New Roman"/>
          <w:i/>
          <w:iCs/>
          <w:noProof/>
          <w:sz w:val="24"/>
          <w:szCs w:val="24"/>
        </w:rPr>
        <w:t>Journal of Business Economics and Management</w:t>
      </w:r>
      <w:r w:rsidRPr="00BA71C5">
        <w:rPr>
          <w:rFonts w:ascii="Times New Roman" w:hAnsi="Times New Roman"/>
          <w:noProof/>
          <w:sz w:val="24"/>
          <w:szCs w:val="24"/>
        </w:rPr>
        <w:t>, Vol. 10 No. 3, pp. 207–217.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Sun, P.H., Mohamad, S. and Ariff, M. (2016), “Determinants Driving Bank </w:t>
      </w:r>
      <w:r w:rsidRPr="00BA71C5">
        <w:rPr>
          <w:rFonts w:ascii="Times New Roman" w:hAnsi="Times New Roman"/>
          <w:noProof/>
          <w:sz w:val="24"/>
          <w:szCs w:val="24"/>
        </w:rPr>
        <w:lastRenderedPageBreak/>
        <w:t xml:space="preserve">Performance : A Comparison of Two Types of Banks in the PT International Centre for Education in Islamic Finance ( INCEIF ), Kuala Lumpur , Malaysia”, </w:t>
      </w:r>
      <w:r w:rsidRPr="00BA71C5">
        <w:rPr>
          <w:rFonts w:ascii="Times New Roman" w:hAnsi="Times New Roman"/>
          <w:i/>
          <w:iCs/>
          <w:noProof/>
          <w:sz w:val="24"/>
          <w:szCs w:val="24"/>
        </w:rPr>
        <w:t>Pacific-Basin Finance Journal</w:t>
      </w:r>
      <w:r w:rsidRPr="00BA71C5">
        <w:rPr>
          <w:rFonts w:ascii="Times New Roman" w:hAnsi="Times New Roman"/>
          <w:noProof/>
          <w:sz w:val="24"/>
          <w:szCs w:val="24"/>
        </w:rPr>
        <w:t>, Elsevier B.V., available at:https://doi.org/10.1016/j.pacfin.2016.02.007.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Supiyadi, D., Machmud, A. and Dodi, D. (2017), “Factors That Influences Credit Risk of Financing Institutions In Indonesia”, </w:t>
      </w:r>
      <w:r w:rsidRPr="00BA71C5">
        <w:rPr>
          <w:rFonts w:ascii="Times New Roman" w:hAnsi="Times New Roman"/>
          <w:i/>
          <w:iCs/>
          <w:noProof/>
          <w:sz w:val="24"/>
          <w:szCs w:val="24"/>
        </w:rPr>
        <w:t>Paper Presented At The 2nd International Conference On Economic Education And Entrepreneurship (Iceee 2017), August 03, 2017</w:t>
      </w:r>
      <w:r w:rsidRPr="00BA71C5">
        <w:rPr>
          <w:rFonts w:ascii="Times New Roman" w:hAnsi="Times New Roman"/>
          <w:noProof/>
          <w:sz w:val="24"/>
          <w:szCs w:val="24"/>
        </w:rPr>
        <w:t>, Vol. 1, pp. 1–7.</w:t>
      </w:r>
    </w:p>
    <w:p w:rsidR="00AB2462" w:rsidRPr="00BA71C5" w:rsidRDefault="00AB2462" w:rsidP="00AB2462">
      <w:pPr>
        <w:widowControl w:val="0"/>
        <w:autoSpaceDE w:val="0"/>
        <w:autoSpaceDN w:val="0"/>
        <w:adjustRightInd w:val="0"/>
        <w:ind w:left="480" w:hanging="480"/>
        <w:jc w:val="both"/>
        <w:rPr>
          <w:rFonts w:ascii="Times New Roman" w:hAnsi="Times New Roman"/>
          <w:noProof/>
          <w:sz w:val="24"/>
          <w:szCs w:val="24"/>
        </w:rPr>
      </w:pPr>
      <w:r w:rsidRPr="00BA71C5">
        <w:rPr>
          <w:rFonts w:ascii="Times New Roman" w:hAnsi="Times New Roman"/>
          <w:noProof/>
          <w:sz w:val="24"/>
          <w:szCs w:val="24"/>
        </w:rPr>
        <w:t xml:space="preserve">Zarrouk, H., Jedidia, K. Ben and Moualhi, M. (2016), “Is Islamic bank profitability driven by same forces as conventional banks ?”, </w:t>
      </w:r>
      <w:r w:rsidRPr="00BA71C5">
        <w:rPr>
          <w:rFonts w:ascii="Times New Roman" w:hAnsi="Times New Roman"/>
          <w:i/>
          <w:iCs/>
          <w:noProof/>
          <w:sz w:val="24"/>
          <w:szCs w:val="24"/>
        </w:rPr>
        <w:t>International Journal of Islamic and Middle Eastern Finance and Management</w:t>
      </w:r>
      <w:r w:rsidRPr="00BA71C5">
        <w:rPr>
          <w:rFonts w:ascii="Times New Roman" w:hAnsi="Times New Roman"/>
          <w:noProof/>
          <w:sz w:val="24"/>
          <w:szCs w:val="24"/>
        </w:rPr>
        <w:t>, Vol. 9 No. 1, pp. 46–65.</w:t>
      </w:r>
    </w:p>
    <w:p w:rsidR="00AB2462" w:rsidRPr="00A0512D" w:rsidRDefault="00C86557" w:rsidP="00AB2462">
      <w:pPr>
        <w:pStyle w:val="NoSpacing"/>
        <w:rPr>
          <w:lang w:val="id-ID"/>
        </w:rPr>
      </w:pPr>
      <w:r w:rsidRPr="00BA71C5">
        <w:rPr>
          <w:rFonts w:ascii="Times New Roman" w:hAnsi="Times New Roman" w:cs="Times New Roman"/>
          <w:sz w:val="24"/>
          <w:szCs w:val="24"/>
          <w:lang w:val="id-ID"/>
        </w:rPr>
        <w:fldChar w:fldCharType="end"/>
      </w:r>
      <w:bookmarkEnd w:id="1"/>
      <w:bookmarkEnd w:id="2"/>
    </w:p>
    <w:p w:rsidR="00AB2462" w:rsidRDefault="00AB2462" w:rsidP="00AB2462">
      <w:pPr>
        <w:jc w:val="both"/>
        <w:rPr>
          <w:rFonts w:ascii="Times New Roman" w:eastAsia="Times New Roman" w:hAnsi="Times New Roman" w:cs="Times New Roman"/>
          <w:sz w:val="24"/>
          <w:szCs w:val="24"/>
        </w:rPr>
      </w:pPr>
    </w:p>
    <w:sectPr w:rsidR="00AB2462" w:rsidSect="00AB2462">
      <w:type w:val="continuous"/>
      <w:pgSz w:w="11906" w:h="16838"/>
      <w:pgMar w:top="1411" w:right="1282" w:bottom="1411" w:left="1282" w:header="706" w:footer="706"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C81" w:rsidRDefault="00987C81" w:rsidP="00CE721C">
      <w:r>
        <w:separator/>
      </w:r>
    </w:p>
  </w:endnote>
  <w:endnote w:type="continuationSeparator" w:id="0">
    <w:p w:rsidR="00987C81" w:rsidRDefault="00987C81" w:rsidP="00CE7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tham Book">
    <w:panose1 w:val="00000000000000000000"/>
    <w:charset w:val="00"/>
    <w:family w:val="roman"/>
    <w:notTrueType/>
    <w:pitch w:val="default"/>
  </w:font>
  <w:font w:name="Helvetica Neue L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no Pro">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690" w:rsidRDefault="00E61690">
    <w:pPr>
      <w:pBdr>
        <w:top w:val="nil"/>
        <w:left w:val="nil"/>
        <w:bottom w:val="nil"/>
        <w:right w:val="nil"/>
        <w:between w:val="nil"/>
      </w:pBdr>
      <w:tabs>
        <w:tab w:val="left" w:pos="450"/>
        <w:tab w:val="center" w:pos="4672"/>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Jurnal Riset Akuntansi dan Keuangan Vol.7 | No.1 | 2019</w:t>
    </w:r>
    <w:r>
      <w:rPr>
        <w:rFonts w:ascii="Times New Roman" w:eastAsia="Times New Roman" w:hAnsi="Times New Roman" w:cs="Times New Roman"/>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690" w:rsidRDefault="00E61690">
    <w:pPr>
      <w:pBdr>
        <w:top w:val="single" w:sz="4" w:space="1" w:color="D9D9D9"/>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t>Jurnal Riset Akuntansi dan Keuangan Vol.7 | No.1 | 2019</w:t>
    </w:r>
  </w:p>
  <w:p w:rsidR="00E61690" w:rsidRDefault="00E61690">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C81" w:rsidRDefault="00987C81" w:rsidP="00CE721C">
      <w:r>
        <w:separator/>
      </w:r>
    </w:p>
  </w:footnote>
  <w:footnote w:type="continuationSeparator" w:id="0">
    <w:p w:rsidR="00987C81" w:rsidRDefault="00987C81" w:rsidP="00CE7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690" w:rsidRPr="004320F7" w:rsidRDefault="00E61690" w:rsidP="004320F7">
    <w:pPr>
      <w:pBdr>
        <w:top w:val="nil"/>
        <w:left w:val="nil"/>
        <w:bottom w:val="nil"/>
        <w:right w:val="nil"/>
        <w:between w:val="nil"/>
      </w:pBdr>
      <w:ind w:firstLine="567"/>
      <w:jc w:val="center"/>
      <w:rPr>
        <w:rFonts w:ascii="Times New Roman" w:hAnsi="Times New Roman"/>
        <w:b/>
        <w:sz w:val="28"/>
        <w:szCs w:val="28"/>
      </w:rPr>
    </w:pPr>
    <w:r>
      <w:rPr>
        <w:rFonts w:ascii="Times New Roman" w:eastAsia="Times New Roman" w:hAnsi="Times New Roman" w:cs="Times New Roman"/>
        <w:i/>
        <w:color w:val="000000"/>
      </w:rPr>
      <w:t xml:space="preserve">DEDI SUPIYADI &amp; BUDI S. PURNOMO/ </w:t>
    </w:r>
    <w:r w:rsidRPr="004320F7">
      <w:rPr>
        <w:rFonts w:ascii="Times New Roman" w:hAnsi="Times New Roman"/>
        <w:i/>
        <w:szCs w:val="28"/>
      </w:rPr>
      <w:t xml:space="preserve">Determinant Of </w:t>
    </w:r>
    <w:r w:rsidRPr="004320F7">
      <w:rPr>
        <w:rFonts w:ascii="Times New Roman" w:hAnsi="Times New Roman"/>
        <w:i/>
        <w:szCs w:val="28"/>
        <w:lang w:val="en-US"/>
      </w:rPr>
      <w:t>Sharia</w:t>
    </w:r>
    <w:r w:rsidRPr="004320F7">
      <w:rPr>
        <w:rFonts w:ascii="Times New Roman" w:hAnsi="Times New Roman"/>
        <w:i/>
        <w:szCs w:val="28"/>
      </w:rPr>
      <w:t xml:space="preserve"> Bank Profitability In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690" w:rsidRDefault="00E61690">
    <w:pPr>
      <w:pBdr>
        <w:top w:val="nil"/>
        <w:left w:val="nil"/>
        <w:bottom w:val="nil"/>
        <w:right w:val="nil"/>
        <w:between w:val="nil"/>
      </w:pBdr>
      <w:tabs>
        <w:tab w:val="center" w:pos="4320"/>
        <w:tab w:val="right" w:pos="8640"/>
      </w:tabs>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JURNAL </w:t>
    </w:r>
    <w:r>
      <w:rPr>
        <w:rFonts w:ascii="Times New Roman" w:eastAsia="Times New Roman" w:hAnsi="Times New Roman" w:cs="Times New Roman"/>
        <w:i/>
        <w:color w:val="000000"/>
        <w:sz w:val="24"/>
        <w:szCs w:val="24"/>
      </w:rPr>
      <w:t>RISET AKUNTANSI DAN KEUANGAN, 7 (1), 2019, 1-12</w:t>
    </w:r>
  </w:p>
  <w:p w:rsidR="00E61690" w:rsidRDefault="00E6169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73238"/>
    <w:multiLevelType w:val="hybridMultilevel"/>
    <w:tmpl w:val="18CEE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9A6832"/>
    <w:multiLevelType w:val="multilevel"/>
    <w:tmpl w:val="12DCB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183C66"/>
    <w:multiLevelType w:val="multilevel"/>
    <w:tmpl w:val="A5A89F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721C"/>
    <w:rsid w:val="00115FCE"/>
    <w:rsid w:val="00193D1C"/>
    <w:rsid w:val="004320F7"/>
    <w:rsid w:val="005A4DDE"/>
    <w:rsid w:val="006845D3"/>
    <w:rsid w:val="007663EF"/>
    <w:rsid w:val="007A7BEA"/>
    <w:rsid w:val="008B2AC0"/>
    <w:rsid w:val="009277AC"/>
    <w:rsid w:val="00943EC8"/>
    <w:rsid w:val="00964031"/>
    <w:rsid w:val="00987C81"/>
    <w:rsid w:val="009B33E0"/>
    <w:rsid w:val="00AB2462"/>
    <w:rsid w:val="00AB7030"/>
    <w:rsid w:val="00B87D11"/>
    <w:rsid w:val="00BD6B37"/>
    <w:rsid w:val="00BE311F"/>
    <w:rsid w:val="00C56884"/>
    <w:rsid w:val="00C57768"/>
    <w:rsid w:val="00C86557"/>
    <w:rsid w:val="00CC1DA3"/>
    <w:rsid w:val="00CE721C"/>
    <w:rsid w:val="00E418BD"/>
    <w:rsid w:val="00E61690"/>
    <w:rsid w:val="00FD4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B0B3"/>
  <w15:docId w15:val="{19FD9085-1DB7-40B4-A894-8D55F1EB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79C"/>
  </w:style>
  <w:style w:type="paragraph" w:styleId="Heading1">
    <w:name w:val="heading 1"/>
    <w:basedOn w:val="Normal"/>
    <w:next w:val="Normal"/>
    <w:link w:val="Heading1Char"/>
    <w:qFormat/>
    <w:rsid w:val="0064489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semiHidden/>
    <w:unhideWhenUsed/>
    <w:qFormat/>
    <w:rsid w:val="0064489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1"/>
    <w:next w:val="Normal1"/>
    <w:link w:val="Heading3Char"/>
    <w:rsid w:val="00CE721C"/>
    <w:pPr>
      <w:keepNext/>
      <w:keepLines/>
      <w:spacing w:before="280" w:after="80"/>
      <w:outlineLvl w:val="2"/>
    </w:pPr>
    <w:rPr>
      <w:b/>
      <w:sz w:val="28"/>
      <w:szCs w:val="28"/>
    </w:rPr>
  </w:style>
  <w:style w:type="paragraph" w:styleId="Heading4">
    <w:name w:val="heading 4"/>
    <w:basedOn w:val="Normal"/>
    <w:next w:val="Normal"/>
    <w:link w:val="Heading4Char"/>
    <w:qFormat/>
    <w:rsid w:val="003D0E64"/>
    <w:pPr>
      <w:keepNext/>
      <w:jc w:val="center"/>
      <w:outlineLvl w:val="3"/>
    </w:pPr>
    <w:rPr>
      <w:rFonts w:ascii="Times New Roman" w:eastAsia="Times New Roman" w:hAnsi="Times New Roman" w:cs="Times New Roman"/>
      <w:b/>
      <w:bCs/>
      <w:sz w:val="24"/>
      <w:szCs w:val="24"/>
      <w:lang w:val="en-US"/>
    </w:rPr>
  </w:style>
  <w:style w:type="paragraph" w:styleId="Heading5">
    <w:name w:val="heading 5"/>
    <w:basedOn w:val="Normal1"/>
    <w:next w:val="Normal1"/>
    <w:rsid w:val="00CE721C"/>
    <w:pPr>
      <w:keepNext/>
      <w:keepLines/>
      <w:spacing w:before="220" w:after="40"/>
      <w:outlineLvl w:val="4"/>
    </w:pPr>
    <w:rPr>
      <w:b/>
    </w:rPr>
  </w:style>
  <w:style w:type="paragraph" w:styleId="Heading6">
    <w:name w:val="heading 6"/>
    <w:basedOn w:val="Normal1"/>
    <w:next w:val="Normal1"/>
    <w:rsid w:val="00CE721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E721C"/>
  </w:style>
  <w:style w:type="paragraph" w:styleId="Title">
    <w:name w:val="Title"/>
    <w:basedOn w:val="Normal"/>
    <w:link w:val="TitleChar"/>
    <w:qFormat/>
    <w:rsid w:val="00644897"/>
    <w:pPr>
      <w:spacing w:line="480" w:lineRule="auto"/>
      <w:jc w:val="center"/>
    </w:pPr>
    <w:rPr>
      <w:rFonts w:ascii="Times New Roman" w:eastAsia="Times New Roman" w:hAnsi="Times New Roman" w:cs="Times New Roman"/>
      <w:b/>
      <w:bCs/>
      <w:sz w:val="24"/>
      <w:szCs w:val="20"/>
      <w:lang w:val="en-AU"/>
    </w:rPr>
  </w:style>
  <w:style w:type="paragraph" w:customStyle="1" w:styleId="Default">
    <w:name w:val="Default"/>
    <w:rsid w:val="00583312"/>
    <w:pPr>
      <w:autoSpaceDE w:val="0"/>
      <w:autoSpaceDN w:val="0"/>
      <w:adjustRightInd w:val="0"/>
    </w:pPr>
    <w:rPr>
      <w:rFonts w:ascii="Times New Roman" w:hAnsi="Times New Roman" w:cs="Times New Roman"/>
      <w:color w:val="000000"/>
      <w:sz w:val="24"/>
      <w:szCs w:val="24"/>
    </w:rPr>
  </w:style>
  <w:style w:type="character" w:customStyle="1" w:styleId="tlid-translation">
    <w:name w:val="tlid-translation"/>
    <w:basedOn w:val="DefaultParagraphFont"/>
    <w:rsid w:val="00583312"/>
  </w:style>
  <w:style w:type="paragraph" w:styleId="ListParagraph">
    <w:name w:val="List Paragraph"/>
    <w:basedOn w:val="Normal"/>
    <w:uiPriority w:val="34"/>
    <w:qFormat/>
    <w:rsid w:val="00EB3BE7"/>
    <w:pPr>
      <w:spacing w:after="200" w:line="276" w:lineRule="auto"/>
      <w:ind w:left="720"/>
      <w:contextualSpacing/>
      <w:jc w:val="both"/>
    </w:pPr>
  </w:style>
  <w:style w:type="table" w:styleId="TableGrid">
    <w:name w:val="Table Grid"/>
    <w:basedOn w:val="TableNormal"/>
    <w:rsid w:val="00EB3BE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C02F0"/>
    <w:pPr>
      <w:spacing w:before="100" w:beforeAutospacing="1" w:after="100" w:afterAutospacing="1"/>
    </w:pPr>
    <w:rPr>
      <w:rFonts w:ascii="Times New Roman" w:eastAsia="MS Mincho" w:hAnsi="Times New Roman" w:cs="Times New Roman"/>
      <w:sz w:val="24"/>
      <w:szCs w:val="24"/>
      <w:lang w:val="en-US" w:eastAsia="ja-JP"/>
    </w:rPr>
  </w:style>
  <w:style w:type="character" w:styleId="Hyperlink">
    <w:name w:val="Hyperlink"/>
    <w:basedOn w:val="DefaultParagraphFont"/>
    <w:uiPriority w:val="99"/>
    <w:unhideWhenUsed/>
    <w:rsid w:val="00BC02F0"/>
    <w:rPr>
      <w:color w:val="0000FF" w:themeColor="hyperlink"/>
      <w:u w:val="single"/>
    </w:rPr>
  </w:style>
  <w:style w:type="character" w:styleId="Strong">
    <w:name w:val="Strong"/>
    <w:basedOn w:val="DefaultParagraphFont"/>
    <w:qFormat/>
    <w:rsid w:val="00BC02F0"/>
    <w:rPr>
      <w:b/>
      <w:bCs/>
    </w:rPr>
  </w:style>
  <w:style w:type="character" w:customStyle="1" w:styleId="hps">
    <w:name w:val="hps"/>
    <w:basedOn w:val="DefaultParagraphFont"/>
    <w:rsid w:val="009D26B5"/>
  </w:style>
  <w:style w:type="character" w:customStyle="1" w:styleId="apple-style-span">
    <w:name w:val="apple-style-span"/>
    <w:basedOn w:val="DefaultParagraphFont"/>
    <w:rsid w:val="009D26B5"/>
  </w:style>
  <w:style w:type="character" w:customStyle="1" w:styleId="longtext">
    <w:name w:val="long_text"/>
    <w:rsid w:val="00BE0099"/>
  </w:style>
  <w:style w:type="paragraph" w:customStyle="1" w:styleId="Pa9">
    <w:name w:val="Pa9"/>
    <w:basedOn w:val="Default"/>
    <w:next w:val="Default"/>
    <w:uiPriority w:val="99"/>
    <w:rsid w:val="00BE0099"/>
    <w:pPr>
      <w:spacing w:line="241" w:lineRule="atLeast"/>
    </w:pPr>
    <w:rPr>
      <w:rFonts w:ascii="Gotham Book" w:hAnsi="Gotham Book"/>
      <w:color w:val="auto"/>
    </w:rPr>
  </w:style>
  <w:style w:type="character" w:customStyle="1" w:styleId="A12">
    <w:name w:val="A12"/>
    <w:uiPriority w:val="99"/>
    <w:rsid w:val="00BE0099"/>
    <w:rPr>
      <w:rFonts w:ascii="Helvetica Neue LT" w:hAnsi="Helvetica Neue LT" w:cs="Helvetica Neue LT"/>
      <w:color w:val="000000"/>
      <w:sz w:val="11"/>
      <w:szCs w:val="11"/>
    </w:rPr>
  </w:style>
  <w:style w:type="paragraph" w:styleId="BalloonText">
    <w:name w:val="Balloon Text"/>
    <w:basedOn w:val="Normal"/>
    <w:link w:val="BalloonTextChar"/>
    <w:unhideWhenUsed/>
    <w:rsid w:val="003D0E64"/>
    <w:rPr>
      <w:rFonts w:ascii="Tahoma" w:hAnsi="Tahoma" w:cs="Tahoma"/>
      <w:sz w:val="16"/>
      <w:szCs w:val="16"/>
    </w:rPr>
  </w:style>
  <w:style w:type="character" w:customStyle="1" w:styleId="BalloonTextChar">
    <w:name w:val="Balloon Text Char"/>
    <w:basedOn w:val="DefaultParagraphFont"/>
    <w:link w:val="BalloonText"/>
    <w:rsid w:val="003D0E64"/>
    <w:rPr>
      <w:rFonts w:ascii="Tahoma" w:hAnsi="Tahoma" w:cs="Tahoma"/>
      <w:sz w:val="16"/>
      <w:szCs w:val="16"/>
    </w:rPr>
  </w:style>
  <w:style w:type="paragraph" w:styleId="BodyText2">
    <w:name w:val="Body Text 2"/>
    <w:basedOn w:val="Normal"/>
    <w:link w:val="BodyText2Char"/>
    <w:rsid w:val="003D0E64"/>
    <w:pPr>
      <w:spacing w:line="480" w:lineRule="auto"/>
      <w:jc w:val="both"/>
    </w:pPr>
    <w:rPr>
      <w:rFonts w:ascii="Times New Roman" w:eastAsia="Times New Roman" w:hAnsi="Times New Roman" w:cs="Times New Roman"/>
      <w:color w:val="000080"/>
      <w:sz w:val="24"/>
      <w:szCs w:val="24"/>
      <w:lang w:val="en-US"/>
    </w:rPr>
  </w:style>
  <w:style w:type="character" w:customStyle="1" w:styleId="BodyText2Char">
    <w:name w:val="Body Text 2 Char"/>
    <w:basedOn w:val="DefaultParagraphFont"/>
    <w:link w:val="BodyText2"/>
    <w:rsid w:val="003D0E64"/>
    <w:rPr>
      <w:rFonts w:ascii="Times New Roman" w:eastAsia="Times New Roman" w:hAnsi="Times New Roman" w:cs="Times New Roman"/>
      <w:color w:val="000080"/>
      <w:sz w:val="24"/>
      <w:szCs w:val="24"/>
      <w:lang w:val="en-US"/>
    </w:rPr>
  </w:style>
  <w:style w:type="character" w:customStyle="1" w:styleId="Heading4Char">
    <w:name w:val="Heading 4 Char"/>
    <w:basedOn w:val="DefaultParagraphFont"/>
    <w:link w:val="Heading4"/>
    <w:rsid w:val="003D0E64"/>
    <w:rPr>
      <w:rFonts w:ascii="Times New Roman" w:eastAsia="Times New Roman" w:hAnsi="Times New Roman" w:cs="Times New Roman"/>
      <w:b/>
      <w:bCs/>
      <w:sz w:val="24"/>
      <w:szCs w:val="24"/>
      <w:lang w:val="en-US"/>
    </w:rPr>
  </w:style>
  <w:style w:type="paragraph" w:styleId="Header">
    <w:name w:val="header"/>
    <w:basedOn w:val="Normal"/>
    <w:link w:val="Head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44897"/>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644897"/>
    <w:pPr>
      <w:spacing w:after="120"/>
    </w:pPr>
  </w:style>
  <w:style w:type="character" w:customStyle="1" w:styleId="BodyTextChar">
    <w:name w:val="Body Text Char"/>
    <w:basedOn w:val="DefaultParagraphFont"/>
    <w:link w:val="BodyText"/>
    <w:uiPriority w:val="99"/>
    <w:semiHidden/>
    <w:rsid w:val="00644897"/>
  </w:style>
  <w:style w:type="paragraph" w:styleId="BodyTextIndent3">
    <w:name w:val="Body Text Indent 3"/>
    <w:basedOn w:val="Normal"/>
    <w:link w:val="BodyTextIndent3Char"/>
    <w:unhideWhenUsed/>
    <w:rsid w:val="0064489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4897"/>
    <w:rPr>
      <w:sz w:val="16"/>
      <w:szCs w:val="16"/>
    </w:rPr>
  </w:style>
  <w:style w:type="character" w:customStyle="1" w:styleId="Heading1Char">
    <w:name w:val="Heading 1 Char"/>
    <w:basedOn w:val="DefaultParagraphFont"/>
    <w:link w:val="Heading1"/>
    <w:rsid w:val="00644897"/>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semiHidden/>
    <w:rsid w:val="00644897"/>
    <w:rPr>
      <w:rFonts w:asciiTheme="majorHAnsi" w:eastAsiaTheme="majorEastAsia" w:hAnsiTheme="majorHAnsi" w:cstheme="majorBidi"/>
      <w:b/>
      <w:bCs/>
      <w:color w:val="4F81BD" w:themeColor="accent1"/>
      <w:sz w:val="26"/>
      <w:szCs w:val="26"/>
      <w:lang w:val="en-US"/>
    </w:rPr>
  </w:style>
  <w:style w:type="character" w:styleId="Emphasis">
    <w:name w:val="Emphasis"/>
    <w:basedOn w:val="DefaultParagraphFont"/>
    <w:qFormat/>
    <w:rsid w:val="00644897"/>
    <w:rPr>
      <w:i/>
      <w:iCs/>
    </w:rPr>
  </w:style>
  <w:style w:type="paragraph" w:styleId="Footer">
    <w:name w:val="footer"/>
    <w:basedOn w:val="Normal"/>
    <w:link w:val="FooterChar"/>
    <w:uiPriority w:val="99"/>
    <w:rsid w:val="00644897"/>
    <w:pPr>
      <w:tabs>
        <w:tab w:val="center" w:pos="4320"/>
        <w:tab w:val="right" w:pos="8640"/>
      </w:tabs>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644897"/>
    <w:rPr>
      <w:rFonts w:ascii="Times New Roman" w:eastAsia="Times New Roman" w:hAnsi="Times New Roman" w:cs="Times New Roman"/>
      <w:sz w:val="24"/>
      <w:szCs w:val="24"/>
      <w:lang w:val="en-US"/>
    </w:rPr>
  </w:style>
  <w:style w:type="character" w:styleId="PageNumber">
    <w:name w:val="page number"/>
    <w:basedOn w:val="DefaultParagraphFont"/>
    <w:rsid w:val="00644897"/>
  </w:style>
  <w:style w:type="paragraph" w:customStyle="1" w:styleId="cm6">
    <w:name w:val="cm6"/>
    <w:basedOn w:val="Normal"/>
    <w:rsid w:val="00644897"/>
    <w:pPr>
      <w:spacing w:before="100" w:beforeAutospacing="1" w:after="100" w:afterAutospacing="1"/>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644897"/>
    <w:pPr>
      <w:suppressAutoHyphens/>
      <w:spacing w:line="48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644897"/>
    <w:rPr>
      <w:rFonts w:ascii="Times New Roman" w:eastAsia="Times New Roman" w:hAnsi="Times New Roman" w:cs="Times New Roman"/>
      <w:sz w:val="24"/>
      <w:szCs w:val="24"/>
      <w:lang w:val="en-US"/>
    </w:rPr>
  </w:style>
  <w:style w:type="character" w:customStyle="1" w:styleId="Normal10">
    <w:name w:val="Normal1"/>
    <w:rsid w:val="00644897"/>
    <w:rPr>
      <w:rFonts w:ascii="Times New Roman" w:hAnsi="Times New Roman" w:cs="Times New Roman"/>
      <w:sz w:val="20"/>
      <w:szCs w:val="20"/>
    </w:rPr>
  </w:style>
  <w:style w:type="character" w:customStyle="1" w:styleId="CharacterStyle3">
    <w:name w:val="Character Style 3"/>
    <w:uiPriority w:val="99"/>
    <w:rsid w:val="00644897"/>
    <w:rPr>
      <w:rFonts w:ascii="Times New Roman" w:hAnsi="Times New Roman" w:cs="Times New Roman"/>
      <w:sz w:val="22"/>
      <w:szCs w:val="22"/>
    </w:rPr>
  </w:style>
  <w:style w:type="character" w:customStyle="1" w:styleId="CharacterStyle11">
    <w:name w:val="Character Style 11"/>
    <w:rsid w:val="00644897"/>
    <w:rPr>
      <w:rFonts w:ascii="Times New Roman" w:hAnsi="Times New Roman" w:cs="Times New Roman"/>
      <w:spacing w:val="5"/>
      <w:sz w:val="22"/>
      <w:szCs w:val="22"/>
    </w:rPr>
  </w:style>
  <w:style w:type="character" w:customStyle="1" w:styleId="CharacterStyle7">
    <w:name w:val="Character Style 7"/>
    <w:rsid w:val="00644897"/>
    <w:rPr>
      <w:rFonts w:ascii="Times New Roman" w:hAnsi="Times New Roman" w:cs="Times New Roman"/>
      <w:spacing w:val="10"/>
      <w:sz w:val="22"/>
      <w:szCs w:val="22"/>
    </w:rPr>
  </w:style>
  <w:style w:type="paragraph" w:styleId="Subtitle">
    <w:name w:val="Subtitle"/>
    <w:basedOn w:val="Normal"/>
    <w:next w:val="Normal"/>
    <w:link w:val="SubtitleChar"/>
    <w:rsid w:val="00CE721C"/>
    <w:rPr>
      <w:rFonts w:ascii="Cambria" w:eastAsia="Cambria" w:hAnsi="Cambria" w:cs="Cambria"/>
      <w:i/>
      <w:color w:val="4F81BD"/>
      <w:sz w:val="24"/>
      <w:szCs w:val="24"/>
    </w:rPr>
  </w:style>
  <w:style w:type="character" w:customStyle="1" w:styleId="SubtitleChar">
    <w:name w:val="Subtitle Char"/>
    <w:basedOn w:val="DefaultParagraphFont"/>
    <w:link w:val="Subtitle"/>
    <w:rsid w:val="00644897"/>
    <w:rPr>
      <w:rFonts w:asciiTheme="majorHAnsi" w:eastAsiaTheme="majorEastAsia" w:hAnsiTheme="majorHAnsi" w:cstheme="majorBidi"/>
      <w:i/>
      <w:iCs/>
      <w:color w:val="4F81BD" w:themeColor="accent1"/>
      <w:spacing w:val="15"/>
      <w:sz w:val="24"/>
      <w:szCs w:val="24"/>
      <w:lang w:val="en-US"/>
    </w:rPr>
  </w:style>
  <w:style w:type="numbering" w:customStyle="1" w:styleId="Style1">
    <w:name w:val="Style1"/>
    <w:uiPriority w:val="99"/>
    <w:rsid w:val="00644897"/>
  </w:style>
  <w:style w:type="paragraph" w:customStyle="1" w:styleId="Style10">
    <w:name w:val="Style 1"/>
    <w:uiPriority w:val="99"/>
    <w:rsid w:val="00644897"/>
    <w:pPr>
      <w:widowControl w:val="0"/>
      <w:autoSpaceDE w:val="0"/>
      <w:autoSpaceDN w:val="0"/>
    </w:pPr>
    <w:rPr>
      <w:rFonts w:ascii="Times New Roman" w:eastAsiaTheme="minorEastAsia" w:hAnsi="Times New Roman" w:cs="Times New Roman"/>
      <w:sz w:val="20"/>
      <w:szCs w:val="20"/>
      <w:lang w:val="en-US"/>
    </w:rPr>
  </w:style>
  <w:style w:type="paragraph" w:customStyle="1" w:styleId="Style11">
    <w:name w:val="Style 11"/>
    <w:uiPriority w:val="99"/>
    <w:rsid w:val="00644897"/>
    <w:pPr>
      <w:widowControl w:val="0"/>
      <w:autoSpaceDE w:val="0"/>
      <w:autoSpaceDN w:val="0"/>
      <w:spacing w:before="72" w:line="480" w:lineRule="auto"/>
      <w:ind w:firstLine="720"/>
      <w:jc w:val="both"/>
    </w:pPr>
    <w:rPr>
      <w:rFonts w:ascii="Tahoma" w:eastAsiaTheme="minorEastAsia" w:hAnsi="Tahoma" w:cs="Tahoma"/>
      <w:lang w:val="en-US"/>
    </w:rPr>
  </w:style>
  <w:style w:type="character" w:customStyle="1" w:styleId="CharacterStyle1">
    <w:name w:val="Character Style 1"/>
    <w:uiPriority w:val="99"/>
    <w:rsid w:val="00644897"/>
    <w:rPr>
      <w:rFonts w:ascii="Tahoma" w:hAnsi="Tahoma"/>
      <w:sz w:val="22"/>
    </w:rPr>
  </w:style>
  <w:style w:type="paragraph" w:customStyle="1" w:styleId="Style4">
    <w:name w:val="Style 4"/>
    <w:uiPriority w:val="99"/>
    <w:rsid w:val="00644897"/>
    <w:pPr>
      <w:widowControl w:val="0"/>
      <w:autoSpaceDE w:val="0"/>
      <w:autoSpaceDN w:val="0"/>
      <w:spacing w:before="180" w:line="360" w:lineRule="auto"/>
      <w:ind w:left="144"/>
    </w:pPr>
    <w:rPr>
      <w:rFonts w:ascii="Arial" w:eastAsiaTheme="minorEastAsia" w:hAnsi="Arial" w:cs="Arial"/>
      <w:sz w:val="20"/>
      <w:szCs w:val="20"/>
      <w:lang w:val="en-US"/>
    </w:rPr>
  </w:style>
  <w:style w:type="character" w:customStyle="1" w:styleId="CharacterStyle12">
    <w:name w:val="Character Style 12"/>
    <w:uiPriority w:val="99"/>
    <w:rsid w:val="00644897"/>
    <w:rPr>
      <w:rFonts w:ascii="Arial" w:hAnsi="Arial"/>
      <w:sz w:val="20"/>
    </w:rPr>
  </w:style>
  <w:style w:type="paragraph" w:customStyle="1" w:styleId="Style5">
    <w:name w:val="Style 5"/>
    <w:uiPriority w:val="99"/>
    <w:rsid w:val="00644897"/>
    <w:pPr>
      <w:widowControl w:val="0"/>
      <w:autoSpaceDE w:val="0"/>
      <w:autoSpaceDN w:val="0"/>
      <w:spacing w:before="180" w:line="360" w:lineRule="auto"/>
      <w:ind w:left="144"/>
    </w:pPr>
    <w:rPr>
      <w:rFonts w:ascii="Arial" w:eastAsiaTheme="minorEastAsia" w:hAnsi="Arial" w:cs="Arial"/>
      <w:spacing w:val="5"/>
      <w:sz w:val="20"/>
      <w:szCs w:val="20"/>
      <w:lang w:val="en-US"/>
    </w:rPr>
  </w:style>
  <w:style w:type="paragraph" w:customStyle="1" w:styleId="Style3">
    <w:name w:val="Style 3"/>
    <w:uiPriority w:val="99"/>
    <w:rsid w:val="00644897"/>
    <w:pPr>
      <w:widowControl w:val="0"/>
      <w:autoSpaceDE w:val="0"/>
      <w:autoSpaceDN w:val="0"/>
      <w:spacing w:before="180" w:line="360" w:lineRule="auto"/>
    </w:pPr>
    <w:rPr>
      <w:rFonts w:ascii="Arial" w:eastAsiaTheme="minorEastAsia" w:hAnsi="Arial" w:cs="Arial"/>
      <w:lang w:val="en-US"/>
    </w:rPr>
  </w:style>
  <w:style w:type="character" w:customStyle="1" w:styleId="CharacterStyle4">
    <w:name w:val="Character Style 4"/>
    <w:uiPriority w:val="99"/>
    <w:rsid w:val="00644897"/>
    <w:rPr>
      <w:rFonts w:ascii="Arial" w:hAnsi="Arial"/>
      <w:sz w:val="22"/>
    </w:rPr>
  </w:style>
  <w:style w:type="character" w:customStyle="1" w:styleId="CharacterStyle5">
    <w:name w:val="Character Style 5"/>
    <w:uiPriority w:val="99"/>
    <w:rsid w:val="00644897"/>
    <w:rPr>
      <w:spacing w:val="5"/>
      <w:sz w:val="22"/>
    </w:rPr>
  </w:style>
  <w:style w:type="paragraph" w:customStyle="1" w:styleId="Style100">
    <w:name w:val="Style 10"/>
    <w:uiPriority w:val="99"/>
    <w:rsid w:val="00644897"/>
    <w:pPr>
      <w:widowControl w:val="0"/>
      <w:autoSpaceDE w:val="0"/>
      <w:autoSpaceDN w:val="0"/>
      <w:spacing w:before="36" w:line="480" w:lineRule="auto"/>
      <w:ind w:left="72" w:right="144" w:firstLine="720"/>
      <w:jc w:val="both"/>
    </w:pPr>
    <w:rPr>
      <w:rFonts w:ascii="Times New Roman" w:eastAsiaTheme="minorEastAsia" w:hAnsi="Times New Roman" w:cs="Times New Roman"/>
      <w:spacing w:val="5"/>
      <w:lang w:val="en-US"/>
    </w:rPr>
  </w:style>
  <w:style w:type="paragraph" w:customStyle="1" w:styleId="Style2">
    <w:name w:val="Style 2"/>
    <w:uiPriority w:val="99"/>
    <w:rsid w:val="00644897"/>
    <w:pPr>
      <w:widowControl w:val="0"/>
      <w:autoSpaceDE w:val="0"/>
      <w:autoSpaceDN w:val="0"/>
      <w:spacing w:before="72" w:line="480" w:lineRule="auto"/>
      <w:ind w:firstLine="648"/>
      <w:jc w:val="both"/>
    </w:pPr>
    <w:rPr>
      <w:rFonts w:ascii="Arial" w:eastAsiaTheme="minorEastAsia" w:hAnsi="Arial" w:cs="Arial"/>
      <w:lang w:val="en-US"/>
    </w:rPr>
  </w:style>
  <w:style w:type="paragraph" w:styleId="DocumentMap">
    <w:name w:val="Document Map"/>
    <w:basedOn w:val="Normal"/>
    <w:link w:val="DocumentMapChar"/>
    <w:rsid w:val="00644897"/>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644897"/>
    <w:rPr>
      <w:rFonts w:ascii="Tahoma" w:eastAsia="Times New Roman" w:hAnsi="Tahoma" w:cs="Tahoma"/>
      <w:sz w:val="16"/>
      <w:szCs w:val="16"/>
      <w:lang w:val="en-US"/>
    </w:rPr>
  </w:style>
  <w:style w:type="paragraph" w:styleId="BodyText3">
    <w:name w:val="Body Text 3"/>
    <w:basedOn w:val="Normal"/>
    <w:link w:val="BodyText3Char"/>
    <w:uiPriority w:val="99"/>
    <w:unhideWhenUsed/>
    <w:rsid w:val="00644897"/>
    <w:pPr>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644897"/>
    <w:rPr>
      <w:rFonts w:ascii="Times New Roman" w:eastAsia="Times New Roman" w:hAnsi="Times New Roman" w:cs="Times New Roman"/>
      <w:sz w:val="16"/>
      <w:szCs w:val="16"/>
      <w:lang w:val="en-US"/>
    </w:rPr>
  </w:style>
  <w:style w:type="paragraph" w:styleId="BodyTextIndent2">
    <w:name w:val="Body Text Indent 2"/>
    <w:basedOn w:val="Normal"/>
    <w:link w:val="BodyTextIndent2Char"/>
    <w:rsid w:val="00644897"/>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644897"/>
    <w:rPr>
      <w:rFonts w:ascii="Times New Roman" w:eastAsia="Times New Roman" w:hAnsi="Times New Roman" w:cs="Times New Roman"/>
      <w:sz w:val="24"/>
      <w:szCs w:val="24"/>
      <w:lang w:val="en-US"/>
    </w:rPr>
  </w:style>
  <w:style w:type="character" w:customStyle="1" w:styleId="TitleChar">
    <w:name w:val="Title Char"/>
    <w:basedOn w:val="DefaultParagraphFont"/>
    <w:link w:val="Title"/>
    <w:rsid w:val="00644897"/>
    <w:rPr>
      <w:rFonts w:ascii="Times New Roman" w:eastAsia="Times New Roman" w:hAnsi="Times New Roman" w:cs="Times New Roman"/>
      <w:b/>
      <w:bCs/>
      <w:sz w:val="24"/>
      <w:szCs w:val="20"/>
      <w:lang w:val="en-AU"/>
    </w:rPr>
  </w:style>
  <w:style w:type="character" w:customStyle="1" w:styleId="CharacterStyle6">
    <w:name w:val="Character Style 6"/>
    <w:rsid w:val="00644897"/>
    <w:rPr>
      <w:rFonts w:ascii="Times New Roman" w:hAnsi="Times New Roman" w:cs="Times New Roman" w:hint="default"/>
      <w:sz w:val="24"/>
      <w:szCs w:val="24"/>
    </w:rPr>
  </w:style>
  <w:style w:type="table" w:customStyle="1" w:styleId="a">
    <w:basedOn w:val="TableNormal"/>
    <w:rsid w:val="00CE721C"/>
    <w:pPr>
      <w:jc w:val="both"/>
    </w:pPr>
    <w:tblPr>
      <w:tblStyleRowBandSize w:val="1"/>
      <w:tblStyleColBandSize w:val="1"/>
    </w:tblPr>
  </w:style>
  <w:style w:type="table" w:customStyle="1" w:styleId="a0">
    <w:basedOn w:val="TableNormal"/>
    <w:rsid w:val="00CE721C"/>
    <w:pPr>
      <w:jc w:val="both"/>
    </w:pPr>
    <w:tblPr>
      <w:tblStyleRowBandSize w:val="1"/>
      <w:tblStyleColBandSize w:val="1"/>
    </w:tblPr>
  </w:style>
  <w:style w:type="table" w:customStyle="1" w:styleId="a1">
    <w:basedOn w:val="TableNormal"/>
    <w:rsid w:val="00CE721C"/>
    <w:tblPr>
      <w:tblStyleRowBandSize w:val="1"/>
      <w:tblStyleColBandSize w:val="1"/>
      <w:tblCellMar>
        <w:left w:w="115" w:type="dxa"/>
        <w:right w:w="115" w:type="dxa"/>
      </w:tblCellMar>
    </w:tblPr>
  </w:style>
  <w:style w:type="table" w:customStyle="1" w:styleId="a2">
    <w:basedOn w:val="TableNormal"/>
    <w:rsid w:val="00CE721C"/>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BD6B37"/>
    <w:rPr>
      <w:sz w:val="16"/>
      <w:szCs w:val="16"/>
    </w:rPr>
  </w:style>
  <w:style w:type="paragraph" w:styleId="CommentText">
    <w:name w:val="annotation text"/>
    <w:basedOn w:val="Normal"/>
    <w:link w:val="CommentTextChar"/>
    <w:uiPriority w:val="99"/>
    <w:semiHidden/>
    <w:unhideWhenUsed/>
    <w:rsid w:val="00BD6B37"/>
    <w:pPr>
      <w:jc w:val="center"/>
    </w:pPr>
    <w:rPr>
      <w:rFonts w:ascii="Arno Pro" w:hAnsi="Arno Pro" w:cs="Times New Roman"/>
      <w:sz w:val="20"/>
      <w:szCs w:val="20"/>
      <w:lang w:val="en-US"/>
    </w:rPr>
  </w:style>
  <w:style w:type="character" w:customStyle="1" w:styleId="CommentTextChar">
    <w:name w:val="Comment Text Char"/>
    <w:basedOn w:val="DefaultParagraphFont"/>
    <w:link w:val="CommentText"/>
    <w:uiPriority w:val="99"/>
    <w:semiHidden/>
    <w:rsid w:val="00BD6B37"/>
    <w:rPr>
      <w:rFonts w:ascii="Arno Pro" w:hAnsi="Arno Pro" w:cs="Times New Roman"/>
      <w:sz w:val="20"/>
      <w:szCs w:val="20"/>
      <w:lang w:val="en-US"/>
    </w:rPr>
  </w:style>
  <w:style w:type="character" w:customStyle="1" w:styleId="Heading3Char">
    <w:name w:val="Heading 3 Char"/>
    <w:basedOn w:val="DefaultParagraphFont"/>
    <w:link w:val="Heading3"/>
    <w:rsid w:val="00BD6B37"/>
    <w:rPr>
      <w:b/>
      <w:sz w:val="28"/>
      <w:szCs w:val="28"/>
    </w:rPr>
  </w:style>
  <w:style w:type="paragraph" w:customStyle="1" w:styleId="BasicParagraph">
    <w:name w:val="[Basic Paragraph]"/>
    <w:basedOn w:val="Normal"/>
    <w:uiPriority w:val="99"/>
    <w:rsid w:val="00BD6B37"/>
    <w:pPr>
      <w:autoSpaceDE w:val="0"/>
      <w:autoSpaceDN w:val="0"/>
      <w:adjustRightInd w:val="0"/>
      <w:spacing w:line="288" w:lineRule="auto"/>
      <w:textAlignment w:val="center"/>
    </w:pPr>
    <w:rPr>
      <w:rFonts w:ascii="Calisto MT" w:hAnsi="Calisto MT" w:cs="Calisto MT"/>
      <w:color w:val="000000"/>
      <w:sz w:val="20"/>
      <w:szCs w:val="20"/>
      <w:lang w:val="en-GB"/>
    </w:rPr>
  </w:style>
  <w:style w:type="paragraph" w:styleId="NoSpacing">
    <w:name w:val="No Spacing"/>
    <w:link w:val="NoSpacingChar"/>
    <w:uiPriority w:val="1"/>
    <w:qFormat/>
    <w:rsid w:val="00193D1C"/>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193D1C"/>
    <w:rPr>
      <w:rFonts w:asciiTheme="minorHAnsi" w:eastAsiaTheme="minorEastAsia" w:hAnsiTheme="minorHAnsi" w:cstheme="minorBidi"/>
      <w:lang w:val="en-US" w:eastAsia="ja-JP"/>
    </w:rPr>
  </w:style>
  <w:style w:type="table" w:customStyle="1" w:styleId="TableGrid3">
    <w:name w:val="Table Grid3"/>
    <w:basedOn w:val="TableNormal"/>
    <w:next w:val="TableGrid"/>
    <w:uiPriority w:val="59"/>
    <w:rsid w:val="00C57768"/>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D44D7"/>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B2462"/>
    <w:rPr>
      <w:rFonts w:ascii="Book Antiqua" w:hAnsi="Book Antiqua" w:hint="default"/>
      <w:b w:val="0"/>
      <w:bCs w:val="0"/>
      <w:i w:val="0"/>
      <w:iCs w:val="0"/>
      <w:color w:val="000000"/>
      <w:sz w:val="22"/>
      <w:szCs w:val="22"/>
    </w:rPr>
  </w:style>
  <w:style w:type="character" w:customStyle="1" w:styleId="fontstyle21">
    <w:name w:val="fontstyle21"/>
    <w:basedOn w:val="DefaultParagraphFont"/>
    <w:rsid w:val="00AB2462"/>
    <w:rPr>
      <w:rFonts w:ascii="Book Antiqua" w:hAnsi="Book Antiqua"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upiyadi@student.upi.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di.purnomo@upi.edu"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02624-9C02-4749-8E53-992B86593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26464</Words>
  <Characters>150846</Characters>
  <Application>Microsoft Office Word</Application>
  <DocSecurity>0</DocSecurity>
  <Lines>1257</Lines>
  <Paragraphs>353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Puspasari</dc:creator>
  <cp:lastModifiedBy>Dedi Supiyadi, MM.</cp:lastModifiedBy>
  <cp:revision>4</cp:revision>
  <dcterms:created xsi:type="dcterms:W3CDTF">2019-04-22T18:20:00Z</dcterms:created>
  <dcterms:modified xsi:type="dcterms:W3CDTF">2019-04-28T13:44:00Z</dcterms:modified>
</cp:coreProperties>
</file>