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Layout w:type="fixed"/>
        <w:tblLook w:val="04A0"/>
      </w:tblPr>
      <w:tblGrid>
        <w:gridCol w:w="9360"/>
      </w:tblGrid>
      <w:tr w:rsidR="009B32D2" w:rsidRPr="00744857" w:rsidTr="00CC397C">
        <w:trPr>
          <w:jc w:val="center"/>
        </w:trPr>
        <w:tc>
          <w:tcPr>
            <w:tcW w:w="9360" w:type="dxa"/>
            <w:tcBorders>
              <w:top w:val="single" w:sz="4" w:space="0" w:color="auto"/>
              <w:bottom w:val="single" w:sz="4" w:space="0" w:color="auto"/>
            </w:tcBorders>
            <w:shd w:val="clear" w:color="auto" w:fill="auto"/>
            <w:vAlign w:val="center"/>
          </w:tcPr>
          <w:p w:rsidR="009B32D2" w:rsidRPr="00744857" w:rsidRDefault="009B32D2" w:rsidP="00CC397C">
            <w:pPr>
              <w:pStyle w:val="ListParagraph"/>
              <w:spacing w:after="0" w:line="240" w:lineRule="auto"/>
              <w:ind w:left="0"/>
              <w:jc w:val="center"/>
              <w:rPr>
                <w:rFonts w:ascii="Times New Roman" w:hAnsi="Times New Roman"/>
                <w:b/>
                <w:sz w:val="28"/>
                <w:szCs w:val="28"/>
                <w:lang w:eastAsia="en-US"/>
              </w:rPr>
            </w:pPr>
          </w:p>
          <w:p w:rsidR="009B32D2" w:rsidRPr="00744857" w:rsidRDefault="009B32D2" w:rsidP="00CC397C">
            <w:pPr>
              <w:pStyle w:val="ListParagraph"/>
              <w:spacing w:line="240" w:lineRule="auto"/>
              <w:ind w:left="0"/>
              <w:jc w:val="center"/>
              <w:rPr>
                <w:rFonts w:ascii="Times New Roman" w:hAnsi="Times New Roman"/>
                <w:b/>
                <w:sz w:val="28"/>
                <w:szCs w:val="28"/>
                <w:lang w:eastAsia="en-US"/>
              </w:rPr>
            </w:pPr>
            <w:r>
              <w:rPr>
                <w:rFonts w:ascii="Times New Roman" w:hAnsi="Times New Roman"/>
                <w:b/>
                <w:sz w:val="28"/>
                <w:szCs w:val="28"/>
                <w:lang w:eastAsia="en-US"/>
              </w:rPr>
              <w:t>Membedah Praktik Akuntansi Berdenominasi Mata Uang Asing Perbankan Syariah : Pendekatan Fikih Tematis</w:t>
            </w:r>
          </w:p>
          <w:p w:rsidR="009B32D2" w:rsidRPr="00744857" w:rsidRDefault="009B32D2" w:rsidP="00CC397C">
            <w:pPr>
              <w:pStyle w:val="ListParagraph"/>
              <w:spacing w:after="0" w:line="240" w:lineRule="auto"/>
              <w:ind w:left="0"/>
              <w:jc w:val="center"/>
              <w:rPr>
                <w:rFonts w:ascii="Times New Roman" w:hAnsi="Times New Roman"/>
                <w:b/>
                <w:bCs/>
                <w:color w:val="000000"/>
                <w:w w:val="102"/>
                <w:sz w:val="28"/>
                <w:szCs w:val="28"/>
                <w:lang w:eastAsia="en-US"/>
              </w:rPr>
            </w:pPr>
          </w:p>
          <w:p w:rsidR="009B32D2" w:rsidRDefault="009B32D2" w:rsidP="00CC397C">
            <w:pPr>
              <w:rPr>
                <w:rFonts w:ascii="Times New Roman" w:hAnsi="Times New Roman"/>
                <w:b/>
                <w:sz w:val="24"/>
                <w:szCs w:val="24"/>
                <w:vertAlign w:val="superscript"/>
                <w:lang w:val="id-ID"/>
              </w:rPr>
            </w:pPr>
            <w:r>
              <w:rPr>
                <w:rFonts w:ascii="Times New Roman" w:hAnsi="Times New Roman"/>
                <w:b/>
                <w:sz w:val="24"/>
                <w:szCs w:val="24"/>
                <w:lang w:val="id-ID"/>
              </w:rPr>
              <w:t>Abd Rohim</w:t>
            </w:r>
            <w:r w:rsidRPr="00744857">
              <w:rPr>
                <w:rFonts w:ascii="Times New Roman" w:hAnsi="Times New Roman"/>
                <w:b/>
                <w:sz w:val="24"/>
                <w:szCs w:val="24"/>
                <w:vertAlign w:val="superscript"/>
                <w:lang w:val="id-ID"/>
              </w:rPr>
              <w:t>1</w:t>
            </w:r>
            <w:r>
              <w:rPr>
                <w:rFonts w:ascii="Times New Roman" w:hAnsi="Times New Roman"/>
                <w:b/>
                <w:sz w:val="24"/>
                <w:szCs w:val="24"/>
                <w:lang w:val="id-ID"/>
              </w:rPr>
              <w:t>, Sulhani</w:t>
            </w:r>
            <w:r w:rsidRPr="00DD75A9">
              <w:rPr>
                <w:rFonts w:ascii="Times New Roman" w:hAnsi="Times New Roman"/>
                <w:b/>
                <w:sz w:val="24"/>
                <w:szCs w:val="24"/>
                <w:vertAlign w:val="superscript"/>
                <w:lang w:val="id-ID"/>
              </w:rPr>
              <w:t>2</w:t>
            </w:r>
            <w:r>
              <w:rPr>
                <w:rFonts w:ascii="Times New Roman" w:hAnsi="Times New Roman"/>
                <w:b/>
                <w:sz w:val="24"/>
                <w:szCs w:val="24"/>
                <w:lang w:val="id-ID"/>
              </w:rPr>
              <w:t>, dan Abdul Mughni</w:t>
            </w:r>
            <w:r w:rsidRPr="00DD75A9">
              <w:rPr>
                <w:rFonts w:ascii="Times New Roman" w:hAnsi="Times New Roman"/>
                <w:b/>
                <w:sz w:val="24"/>
                <w:szCs w:val="24"/>
                <w:vertAlign w:val="superscript"/>
                <w:lang w:val="id-ID"/>
              </w:rPr>
              <w:t>3</w:t>
            </w:r>
          </w:p>
          <w:p w:rsidR="009B32D2" w:rsidRDefault="009B32D2" w:rsidP="00CC397C">
            <w:pPr>
              <w:rPr>
                <w:rFonts w:ascii="Times New Roman" w:hAnsi="Times New Roman"/>
                <w:sz w:val="24"/>
                <w:szCs w:val="24"/>
                <w:lang w:val="id-ID"/>
              </w:rPr>
            </w:pPr>
            <w:r>
              <w:rPr>
                <w:rFonts w:ascii="Times New Roman" w:hAnsi="Times New Roman"/>
                <w:b/>
                <w:sz w:val="24"/>
                <w:szCs w:val="24"/>
                <w:vertAlign w:val="superscript"/>
                <w:lang w:val="id-ID"/>
              </w:rPr>
              <w:t>1</w:t>
            </w:r>
            <w:r>
              <w:rPr>
                <w:rFonts w:ascii="Times New Roman" w:hAnsi="Times New Roman"/>
                <w:sz w:val="24"/>
                <w:szCs w:val="24"/>
                <w:lang w:val="id-ID"/>
              </w:rPr>
              <w:t>PT Strategic Actions Consulting</w:t>
            </w:r>
          </w:p>
          <w:p w:rsidR="009B32D2" w:rsidRDefault="009B32D2" w:rsidP="00CC397C">
            <w:pPr>
              <w:rPr>
                <w:rFonts w:ascii="Times New Roman" w:hAnsi="Times New Roman"/>
                <w:sz w:val="24"/>
                <w:szCs w:val="24"/>
                <w:lang w:val="id-ID"/>
              </w:rPr>
            </w:pPr>
            <w:r>
              <w:rPr>
                <w:rFonts w:ascii="Times New Roman" w:hAnsi="Times New Roman"/>
                <w:sz w:val="24"/>
                <w:szCs w:val="24"/>
                <w:vertAlign w:val="superscript"/>
                <w:lang w:val="id-ID"/>
              </w:rPr>
              <w:t>2,</w:t>
            </w:r>
            <w:r>
              <w:rPr>
                <w:rFonts w:ascii="Times New Roman" w:hAnsi="Times New Roman"/>
                <w:sz w:val="24"/>
                <w:szCs w:val="24"/>
                <w:lang w:val="id-ID"/>
              </w:rPr>
              <w:t xml:space="preserve">Program Studi Akuntansi Syariah </w:t>
            </w:r>
            <w:r w:rsidRPr="00DD75A9">
              <w:rPr>
                <w:rFonts w:ascii="Times New Roman" w:hAnsi="Times New Roman"/>
                <w:sz w:val="24"/>
                <w:szCs w:val="24"/>
                <w:lang w:val="id-ID"/>
              </w:rPr>
              <w:t>Sekolah</w:t>
            </w:r>
            <w:r>
              <w:rPr>
                <w:rFonts w:ascii="Times New Roman" w:hAnsi="Times New Roman"/>
                <w:sz w:val="24"/>
                <w:szCs w:val="24"/>
                <w:lang w:val="id-ID"/>
              </w:rPr>
              <w:t xml:space="preserve"> Tinggi Ekonomi Islam Tazkia</w:t>
            </w:r>
          </w:p>
          <w:p w:rsidR="009B32D2" w:rsidRPr="00DD75A9" w:rsidRDefault="009B32D2" w:rsidP="00CC397C">
            <w:pPr>
              <w:rPr>
                <w:rFonts w:ascii="Times New Roman" w:hAnsi="Times New Roman"/>
                <w:sz w:val="24"/>
                <w:szCs w:val="24"/>
                <w:lang w:val="id-ID"/>
              </w:rPr>
            </w:pPr>
            <w:r>
              <w:rPr>
                <w:rFonts w:ascii="Times New Roman" w:hAnsi="Times New Roman"/>
                <w:sz w:val="24"/>
                <w:szCs w:val="24"/>
                <w:vertAlign w:val="superscript"/>
                <w:lang w:val="id-ID"/>
              </w:rPr>
              <w:t>3</w:t>
            </w:r>
            <w:r>
              <w:rPr>
                <w:rFonts w:ascii="Times New Roman" w:hAnsi="Times New Roman"/>
                <w:sz w:val="24"/>
                <w:szCs w:val="24"/>
                <w:lang w:val="id-ID"/>
              </w:rPr>
              <w:t>Program Studi Hukum Ekonomi Syariah Sekolah Tinggi Ekonomi Islam Tazkia</w:t>
            </w:r>
          </w:p>
          <w:p w:rsidR="009B32D2" w:rsidRPr="00744857" w:rsidRDefault="009B32D2" w:rsidP="00CC397C">
            <w:pPr>
              <w:rPr>
                <w:lang w:val="id-ID"/>
              </w:rPr>
            </w:pPr>
          </w:p>
        </w:tc>
      </w:tr>
      <w:tr w:rsidR="009B32D2" w:rsidRPr="006E610C" w:rsidTr="00CC397C">
        <w:trPr>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9B32D2" w:rsidRPr="00A64CBF" w:rsidRDefault="009B32D2" w:rsidP="00CC397C">
            <w:pPr>
              <w:jc w:val="both"/>
              <w:rPr>
                <w:rFonts w:ascii="Times New Roman" w:eastAsia="Times New Roman" w:hAnsi="Times New Roman"/>
                <w:i/>
                <w:iCs/>
                <w:szCs w:val="20"/>
                <w:lang w:val="id-ID" w:eastAsia="id-ID"/>
              </w:rPr>
            </w:pPr>
            <w:r w:rsidRPr="00744857">
              <w:rPr>
                <w:rFonts w:ascii="Times New Roman" w:hAnsi="Times New Roman"/>
                <w:b/>
                <w:szCs w:val="20"/>
                <w:lang w:val="id-ID"/>
              </w:rPr>
              <w:t xml:space="preserve">Abstract. </w:t>
            </w:r>
            <w:r w:rsidRPr="00A64CBF">
              <w:rPr>
                <w:rFonts w:ascii="Times New Roman" w:eastAsia="Times New Roman" w:hAnsi="Times New Roman"/>
                <w:i/>
                <w:iCs/>
                <w:szCs w:val="20"/>
                <w:lang w:eastAsia="id-ID"/>
              </w:rPr>
              <w:t xml:space="preserve">The use </w:t>
            </w:r>
            <w:proofErr w:type="gramStart"/>
            <w:r w:rsidRPr="00A64CBF">
              <w:rPr>
                <w:rFonts w:ascii="Times New Roman" w:eastAsia="Times New Roman" w:hAnsi="Times New Roman"/>
                <w:i/>
                <w:iCs/>
                <w:szCs w:val="20"/>
                <w:lang w:eastAsia="id-ID"/>
              </w:rPr>
              <w:t>of  rule</w:t>
            </w:r>
            <w:proofErr w:type="gramEnd"/>
            <w:r w:rsidRPr="00A64CBF">
              <w:rPr>
                <w:rFonts w:ascii="Times New Roman" w:eastAsia="Times New Roman" w:hAnsi="Times New Roman"/>
                <w:i/>
                <w:iCs/>
                <w:szCs w:val="20"/>
                <w:lang w:val="id-ID" w:eastAsia="id-ID"/>
              </w:rPr>
              <w:t xml:space="preserve"> that origin of muamalah is ibahah (allowed)</w:t>
            </w:r>
            <w:r w:rsidRPr="00A64CBF">
              <w:rPr>
                <w:rFonts w:ascii="Times New Roman" w:eastAsia="Times New Roman" w:hAnsi="Times New Roman"/>
                <w:i/>
                <w:iCs/>
                <w:szCs w:val="20"/>
                <w:lang w:eastAsia="id-ID"/>
              </w:rPr>
              <w:t xml:space="preserve"> often causes the practice of </w:t>
            </w:r>
            <w:proofErr w:type="spellStart"/>
            <w:r w:rsidRPr="00A64CBF">
              <w:rPr>
                <w:rFonts w:ascii="Times New Roman" w:eastAsia="Times New Roman" w:hAnsi="Times New Roman"/>
                <w:i/>
                <w:iCs/>
                <w:szCs w:val="20"/>
                <w:lang w:eastAsia="id-ID"/>
              </w:rPr>
              <w:t>sharia</w:t>
            </w:r>
            <w:proofErr w:type="spellEnd"/>
            <w:r w:rsidRPr="00A64CBF">
              <w:rPr>
                <w:rFonts w:ascii="Times New Roman" w:eastAsia="Times New Roman" w:hAnsi="Times New Roman"/>
                <w:i/>
                <w:iCs/>
                <w:szCs w:val="20"/>
                <w:lang w:eastAsia="id-ID"/>
              </w:rPr>
              <w:t xml:space="preserve"> banking to be un-creative and not careful about things that are </w:t>
            </w:r>
            <w:proofErr w:type="spellStart"/>
            <w:r w:rsidRPr="00A64CBF">
              <w:rPr>
                <w:rFonts w:ascii="Times New Roman" w:eastAsia="Times New Roman" w:hAnsi="Times New Roman"/>
                <w:i/>
                <w:iCs/>
                <w:szCs w:val="20"/>
                <w:lang w:eastAsia="id-ID"/>
              </w:rPr>
              <w:t>subhat</w:t>
            </w:r>
            <w:proofErr w:type="spellEnd"/>
            <w:r w:rsidRPr="00A64CBF">
              <w:rPr>
                <w:rFonts w:ascii="Times New Roman" w:eastAsia="Times New Roman" w:hAnsi="Times New Roman"/>
                <w:i/>
                <w:iCs/>
                <w:szCs w:val="20"/>
                <w:lang w:eastAsia="id-ID"/>
              </w:rPr>
              <w:t xml:space="preserve"> or even </w:t>
            </w:r>
            <w:proofErr w:type="spellStart"/>
            <w:r w:rsidRPr="00A64CBF">
              <w:rPr>
                <w:rFonts w:ascii="Times New Roman" w:eastAsia="Times New Roman" w:hAnsi="Times New Roman"/>
                <w:i/>
                <w:iCs/>
                <w:szCs w:val="20"/>
                <w:lang w:eastAsia="id-ID"/>
              </w:rPr>
              <w:t>haram</w:t>
            </w:r>
            <w:proofErr w:type="spellEnd"/>
            <w:r w:rsidRPr="00A64CBF">
              <w:rPr>
                <w:rFonts w:ascii="Times New Roman" w:eastAsia="Times New Roman" w:hAnsi="Times New Roman"/>
                <w:i/>
                <w:iCs/>
                <w:szCs w:val="20"/>
                <w:lang w:eastAsia="id-ID"/>
              </w:rPr>
              <w:t xml:space="preserve">. Impersonation or modification in addition to the product side also occurs in accounting treatment practices for transactions that occur in Islamic banking. One of them is the treatment of foreign currency denominated transactions that occur in </w:t>
            </w:r>
            <w:proofErr w:type="spellStart"/>
            <w:r w:rsidRPr="00A64CBF">
              <w:rPr>
                <w:rFonts w:ascii="Times New Roman" w:eastAsia="Times New Roman" w:hAnsi="Times New Roman"/>
                <w:i/>
                <w:iCs/>
                <w:szCs w:val="20"/>
                <w:lang w:eastAsia="id-ID"/>
              </w:rPr>
              <w:t>sharia</w:t>
            </w:r>
            <w:proofErr w:type="spellEnd"/>
            <w:r w:rsidRPr="00A64CBF">
              <w:rPr>
                <w:rFonts w:ascii="Times New Roman" w:eastAsia="Times New Roman" w:hAnsi="Times New Roman"/>
                <w:i/>
                <w:iCs/>
                <w:szCs w:val="20"/>
                <w:lang w:eastAsia="id-ID"/>
              </w:rPr>
              <w:t xml:space="preserve"> banking. This research uses qualitative method by studying and analyzing </w:t>
            </w:r>
            <w:proofErr w:type="spellStart"/>
            <w:r w:rsidRPr="00A64CBF">
              <w:rPr>
                <w:rFonts w:ascii="Times New Roman" w:eastAsia="Times New Roman" w:hAnsi="Times New Roman"/>
                <w:i/>
                <w:iCs/>
                <w:szCs w:val="20"/>
                <w:lang w:eastAsia="id-ID"/>
              </w:rPr>
              <w:t>fiqih</w:t>
            </w:r>
            <w:proofErr w:type="spellEnd"/>
            <w:r w:rsidRPr="00A64CBF">
              <w:rPr>
                <w:rFonts w:ascii="Times New Roman" w:eastAsia="Times New Roman" w:hAnsi="Times New Roman"/>
                <w:i/>
                <w:iCs/>
                <w:szCs w:val="20"/>
                <w:lang w:eastAsia="id-ID"/>
              </w:rPr>
              <w:t xml:space="preserve"> rules on foreign currency denominated transactions that occur in </w:t>
            </w:r>
            <w:proofErr w:type="spellStart"/>
            <w:r w:rsidRPr="00A64CBF">
              <w:rPr>
                <w:rFonts w:ascii="Times New Roman" w:eastAsia="Times New Roman" w:hAnsi="Times New Roman"/>
                <w:i/>
                <w:iCs/>
                <w:szCs w:val="20"/>
                <w:lang w:eastAsia="id-ID"/>
              </w:rPr>
              <w:t>sharia</w:t>
            </w:r>
            <w:proofErr w:type="spellEnd"/>
            <w:r w:rsidRPr="00A64CBF">
              <w:rPr>
                <w:rFonts w:ascii="Times New Roman" w:eastAsia="Times New Roman" w:hAnsi="Times New Roman"/>
                <w:i/>
                <w:iCs/>
                <w:szCs w:val="20"/>
                <w:lang w:eastAsia="id-ID"/>
              </w:rPr>
              <w:t xml:space="preserve"> banking. Using the classical </w:t>
            </w:r>
            <w:proofErr w:type="spellStart"/>
            <w:r w:rsidRPr="00A64CBF">
              <w:rPr>
                <w:rFonts w:ascii="Times New Roman" w:eastAsia="Times New Roman" w:hAnsi="Times New Roman"/>
                <w:i/>
                <w:iCs/>
                <w:szCs w:val="20"/>
                <w:lang w:eastAsia="id-ID"/>
              </w:rPr>
              <w:t>fiqh</w:t>
            </w:r>
            <w:proofErr w:type="spellEnd"/>
            <w:r w:rsidRPr="00A64CBF">
              <w:rPr>
                <w:rFonts w:ascii="Times New Roman" w:eastAsia="Times New Roman" w:hAnsi="Times New Roman"/>
                <w:i/>
                <w:iCs/>
                <w:szCs w:val="20"/>
                <w:lang w:eastAsia="id-ID"/>
              </w:rPr>
              <w:t xml:space="preserve"> study approach the study concludes that foreign currency-denominated transactions can be grouped into three things: first valuation at the balance sheet date and free of usury, valuation at balance sheet date but prone to usury, and valuation at balance sheet date but not allowed to add assets or corporate earnings. In addition, foreign exchange gains or losses incurred from currency-denominated transactions should take account of the source of the profit / loss first before categorizing it as part of revenues in the </w:t>
            </w:r>
            <w:proofErr w:type="spellStart"/>
            <w:r w:rsidRPr="00A64CBF">
              <w:rPr>
                <w:rFonts w:ascii="Times New Roman" w:eastAsia="Times New Roman" w:hAnsi="Times New Roman"/>
                <w:i/>
                <w:iCs/>
                <w:szCs w:val="20"/>
                <w:lang w:eastAsia="id-ID"/>
              </w:rPr>
              <w:t>sharia</w:t>
            </w:r>
            <w:proofErr w:type="spellEnd"/>
            <w:r w:rsidRPr="00A64CBF">
              <w:rPr>
                <w:rFonts w:ascii="Times New Roman" w:eastAsia="Times New Roman" w:hAnsi="Times New Roman"/>
                <w:i/>
                <w:iCs/>
                <w:szCs w:val="20"/>
                <w:lang w:eastAsia="id-ID"/>
              </w:rPr>
              <w:t xml:space="preserve"> bank profit and loss statement.</w:t>
            </w:r>
          </w:p>
          <w:p w:rsidR="009B32D2" w:rsidRPr="00DD75A9" w:rsidRDefault="009B32D2" w:rsidP="00CC397C">
            <w:pPr>
              <w:tabs>
                <w:tab w:val="center" w:pos="4844"/>
                <w:tab w:val="left" w:pos="6900"/>
              </w:tabs>
              <w:jc w:val="both"/>
              <w:rPr>
                <w:rFonts w:ascii="Times New Roman" w:hAnsi="Times New Roman"/>
                <w:sz w:val="24"/>
                <w:szCs w:val="24"/>
                <w:lang w:val="id-ID"/>
              </w:rPr>
            </w:pPr>
          </w:p>
          <w:p w:rsidR="009B32D2" w:rsidRPr="00A64CBF" w:rsidRDefault="009B32D2" w:rsidP="00CC397C">
            <w:pPr>
              <w:jc w:val="both"/>
              <w:rPr>
                <w:rFonts w:ascii="Times New Roman" w:hAnsi="Times New Roman"/>
                <w:i/>
                <w:color w:val="000000"/>
                <w:szCs w:val="20"/>
                <w:lang w:val="id-ID"/>
              </w:rPr>
            </w:pPr>
            <w:r w:rsidRPr="00744857">
              <w:rPr>
                <w:rFonts w:ascii="Times New Roman" w:hAnsi="Times New Roman"/>
                <w:b/>
                <w:szCs w:val="20"/>
                <w:lang w:val="id-ID"/>
              </w:rPr>
              <w:t>Keywords:</w:t>
            </w:r>
            <w:r>
              <w:rPr>
                <w:rFonts w:ascii="Times New Roman" w:hAnsi="Times New Roman"/>
                <w:b/>
                <w:szCs w:val="20"/>
                <w:lang w:val="id-ID"/>
              </w:rPr>
              <w:t xml:space="preserve"> </w:t>
            </w:r>
            <w:r w:rsidRPr="00A64CBF">
              <w:rPr>
                <w:rFonts w:ascii="Times New Roman" w:hAnsi="Times New Roman"/>
                <w:bCs/>
                <w:i/>
                <w:iCs/>
                <w:szCs w:val="20"/>
              </w:rPr>
              <w:t xml:space="preserve">Foreign </w:t>
            </w:r>
            <w:proofErr w:type="spellStart"/>
            <w:r w:rsidRPr="00A64CBF">
              <w:rPr>
                <w:rFonts w:ascii="Times New Roman" w:hAnsi="Times New Roman"/>
                <w:bCs/>
                <w:i/>
                <w:iCs/>
                <w:szCs w:val="20"/>
              </w:rPr>
              <w:t>curency</w:t>
            </w:r>
            <w:proofErr w:type="spellEnd"/>
            <w:r w:rsidRPr="00A64CBF">
              <w:rPr>
                <w:rFonts w:ascii="Times New Roman" w:hAnsi="Times New Roman"/>
                <w:bCs/>
                <w:i/>
                <w:iCs/>
                <w:szCs w:val="20"/>
              </w:rPr>
              <w:t xml:space="preserve"> denominated transactions</w:t>
            </w:r>
            <w:r>
              <w:rPr>
                <w:rFonts w:ascii="Times New Roman" w:hAnsi="Times New Roman"/>
                <w:bCs/>
                <w:i/>
                <w:iCs/>
                <w:szCs w:val="20"/>
                <w:lang w:val="id-ID"/>
              </w:rPr>
              <w:t>;</w:t>
            </w:r>
            <w:r w:rsidRPr="00A64CBF">
              <w:rPr>
                <w:rFonts w:ascii="Times New Roman" w:hAnsi="Times New Roman"/>
                <w:bCs/>
                <w:i/>
                <w:iCs/>
                <w:szCs w:val="20"/>
              </w:rPr>
              <w:t xml:space="preserve"> </w:t>
            </w:r>
            <w:r>
              <w:rPr>
                <w:rFonts w:ascii="Times New Roman" w:hAnsi="Times New Roman"/>
                <w:bCs/>
                <w:i/>
                <w:iCs/>
                <w:szCs w:val="20"/>
              </w:rPr>
              <w:t>Islamic Banking</w:t>
            </w:r>
            <w:r>
              <w:rPr>
                <w:rFonts w:ascii="Times New Roman" w:hAnsi="Times New Roman"/>
                <w:bCs/>
                <w:i/>
                <w:iCs/>
                <w:szCs w:val="20"/>
                <w:lang w:val="id-ID"/>
              </w:rPr>
              <w:t xml:space="preserve">; </w:t>
            </w:r>
            <w:proofErr w:type="spellStart"/>
            <w:r w:rsidRPr="00A64CBF">
              <w:rPr>
                <w:rFonts w:ascii="Times New Roman" w:hAnsi="Times New Roman"/>
                <w:bCs/>
                <w:i/>
                <w:iCs/>
                <w:szCs w:val="20"/>
              </w:rPr>
              <w:t>riba</w:t>
            </w:r>
            <w:proofErr w:type="spellEnd"/>
            <w:r>
              <w:rPr>
                <w:rFonts w:ascii="Times New Roman" w:hAnsi="Times New Roman"/>
                <w:bCs/>
                <w:i/>
                <w:iCs/>
                <w:szCs w:val="20"/>
                <w:lang w:val="id-ID"/>
              </w:rPr>
              <w:t>;</w:t>
            </w:r>
            <w:r w:rsidRPr="00A64CBF">
              <w:rPr>
                <w:rFonts w:ascii="Times New Roman" w:hAnsi="Times New Roman"/>
                <w:bCs/>
                <w:i/>
                <w:iCs/>
                <w:szCs w:val="20"/>
              </w:rPr>
              <w:t xml:space="preserve"> valuation</w:t>
            </w:r>
          </w:p>
          <w:p w:rsidR="009B32D2" w:rsidRPr="00A64CBF" w:rsidRDefault="009B32D2" w:rsidP="00CC397C">
            <w:pPr>
              <w:pStyle w:val="ListParagraph"/>
              <w:spacing w:after="0" w:line="240" w:lineRule="auto"/>
              <w:ind w:left="0"/>
              <w:jc w:val="both"/>
              <w:rPr>
                <w:rFonts w:ascii="Times New Roman" w:hAnsi="Times New Roman"/>
                <w:i/>
                <w:lang w:eastAsia="en-US"/>
              </w:rPr>
            </w:pPr>
          </w:p>
          <w:p w:rsidR="009B32D2" w:rsidRPr="00744857" w:rsidRDefault="009B32D2" w:rsidP="00CC397C">
            <w:pPr>
              <w:widowControl w:val="0"/>
              <w:shd w:val="clear" w:color="auto" w:fill="FFFFFF"/>
              <w:autoSpaceDE w:val="0"/>
              <w:autoSpaceDN w:val="0"/>
              <w:adjustRightInd w:val="0"/>
              <w:ind w:left="7"/>
              <w:jc w:val="both"/>
              <w:rPr>
                <w:rFonts w:ascii="Times New Roman" w:hAnsi="Times New Roman"/>
                <w:b/>
                <w:i/>
                <w:szCs w:val="20"/>
                <w:lang w:val="id-ID"/>
              </w:rPr>
            </w:pPr>
          </w:p>
          <w:p w:rsidR="009B32D2" w:rsidRPr="00A64CBF" w:rsidRDefault="009B32D2" w:rsidP="00CC397C">
            <w:pPr>
              <w:jc w:val="both"/>
              <w:rPr>
                <w:rFonts w:ascii="Times New Roman" w:hAnsi="Times New Roman"/>
                <w:bCs/>
                <w:szCs w:val="20"/>
              </w:rPr>
            </w:pPr>
            <w:r w:rsidRPr="00744857">
              <w:rPr>
                <w:rFonts w:ascii="Times New Roman" w:hAnsi="Times New Roman"/>
                <w:b/>
                <w:lang w:val="id-ID"/>
              </w:rPr>
              <w:t xml:space="preserve">Abstrak. </w:t>
            </w:r>
            <w:proofErr w:type="spellStart"/>
            <w:r w:rsidRPr="00A64CBF">
              <w:rPr>
                <w:rFonts w:ascii="Times New Roman" w:hAnsi="Times New Roman"/>
                <w:bCs/>
                <w:szCs w:val="20"/>
              </w:rPr>
              <w:t>Penggunaan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kaidah</w:t>
            </w:r>
            <w:proofErr w:type="spellEnd"/>
            <w:r>
              <w:rPr>
                <w:rFonts w:ascii="Times New Roman" w:hAnsi="Times New Roman"/>
                <w:bCs/>
                <w:szCs w:val="20"/>
                <w:lang w:val="id-ID"/>
              </w:rPr>
              <w:t xml:space="preserve"> fikih bahawa hukum dasar muamalah adalah boleh (ibahah)</w:t>
            </w:r>
            <w:r w:rsidRPr="00A64CBF">
              <w:rPr>
                <w:rFonts w:ascii="Times New Roman" w:hAnsi="Times New Roman"/>
                <w:bCs/>
                <w:szCs w:val="20"/>
              </w:rPr>
              <w:t xml:space="preserve"> </w:t>
            </w:r>
            <w:proofErr w:type="spellStart"/>
            <w:r w:rsidRPr="00A64CBF">
              <w:rPr>
                <w:rFonts w:ascii="Times New Roman" w:hAnsi="Times New Roman"/>
                <w:bCs/>
                <w:szCs w:val="20"/>
              </w:rPr>
              <w:t>seringkali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menyebabkan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praktik</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perbankan</w:t>
            </w:r>
            <w:proofErr w:type="spellEnd"/>
            <w:r w:rsidRPr="00A64CBF">
              <w:rPr>
                <w:rFonts w:ascii="Times New Roman" w:hAnsi="Times New Roman"/>
                <w:bCs/>
                <w:szCs w:val="20"/>
              </w:rPr>
              <w:t xml:space="preserve"> </w:t>
            </w:r>
            <w:proofErr w:type="spellStart"/>
            <w:proofErr w:type="gramStart"/>
            <w:r w:rsidRPr="00A64CBF">
              <w:rPr>
                <w:rFonts w:ascii="Times New Roman" w:hAnsi="Times New Roman"/>
                <w:bCs/>
                <w:szCs w:val="20"/>
              </w:rPr>
              <w:t>syariah</w:t>
            </w:r>
            <w:proofErr w:type="spellEnd"/>
            <w:r w:rsidRPr="00A64CBF">
              <w:rPr>
                <w:rFonts w:ascii="Times New Roman" w:hAnsi="Times New Roman"/>
                <w:bCs/>
                <w:szCs w:val="20"/>
              </w:rPr>
              <w:t xml:space="preserve"> </w:t>
            </w:r>
            <w:r>
              <w:rPr>
                <w:rFonts w:ascii="Times New Roman" w:hAnsi="Times New Roman"/>
                <w:bCs/>
                <w:szCs w:val="20"/>
                <w:lang w:val="id-ID"/>
              </w:rPr>
              <w:t xml:space="preserve"> </w:t>
            </w:r>
            <w:proofErr w:type="spellStart"/>
            <w:r w:rsidRPr="00A64CBF">
              <w:rPr>
                <w:rFonts w:ascii="Times New Roman" w:hAnsi="Times New Roman"/>
                <w:bCs/>
                <w:szCs w:val="20"/>
              </w:rPr>
              <w:t>menjadi</w:t>
            </w:r>
            <w:proofErr w:type="spellEnd"/>
            <w:proofErr w:type="gramEnd"/>
            <w:r w:rsidRPr="00A64CBF">
              <w:rPr>
                <w:rFonts w:ascii="Times New Roman" w:hAnsi="Times New Roman"/>
                <w:bCs/>
                <w:szCs w:val="20"/>
              </w:rPr>
              <w:t xml:space="preserve"> </w:t>
            </w:r>
            <w:proofErr w:type="spellStart"/>
            <w:r w:rsidRPr="00A64CBF">
              <w:rPr>
                <w:rFonts w:ascii="Times New Roman" w:hAnsi="Times New Roman"/>
                <w:bCs/>
                <w:szCs w:val="20"/>
              </w:rPr>
              <w:t>tidak</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kreatif</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tidak</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hati-hati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terhadap</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hal-hal</w:t>
            </w:r>
            <w:proofErr w:type="spellEnd"/>
            <w:r w:rsidRPr="00A64CBF">
              <w:rPr>
                <w:rFonts w:ascii="Times New Roman" w:hAnsi="Times New Roman"/>
                <w:bCs/>
                <w:szCs w:val="20"/>
              </w:rPr>
              <w:t xml:space="preserve"> yang </w:t>
            </w:r>
            <w:proofErr w:type="spellStart"/>
            <w:r w:rsidRPr="00A64CBF">
              <w:rPr>
                <w:rFonts w:ascii="Times New Roman" w:hAnsi="Times New Roman"/>
                <w:bCs/>
                <w:szCs w:val="20"/>
              </w:rPr>
              <w:t>subhat</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atau</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bahkan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haram</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Peniruan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atau</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pemodifikasian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tersebut</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selain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terjadi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pada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segi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produk</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juga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terjadi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pada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praktik</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perlakuan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akuntansi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atas</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transaksi</w:t>
            </w:r>
            <w:proofErr w:type="spellEnd"/>
            <w:r w:rsidRPr="00A64CBF">
              <w:rPr>
                <w:rFonts w:ascii="Times New Roman" w:hAnsi="Times New Roman"/>
                <w:bCs/>
                <w:szCs w:val="20"/>
              </w:rPr>
              <w:t xml:space="preserve"> yang </w:t>
            </w:r>
            <w:proofErr w:type="spellStart"/>
            <w:r w:rsidRPr="00A64CBF">
              <w:rPr>
                <w:rFonts w:ascii="Times New Roman" w:hAnsi="Times New Roman"/>
                <w:bCs/>
                <w:szCs w:val="20"/>
              </w:rPr>
              <w:t>terjadi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perbankan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syariah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Salah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satunya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adalah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perlakuan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atas</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transaksi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berdenominasi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mata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uang</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asing</w:t>
            </w:r>
            <w:proofErr w:type="spellEnd"/>
            <w:r w:rsidRPr="00A64CBF">
              <w:rPr>
                <w:rFonts w:ascii="Times New Roman" w:hAnsi="Times New Roman"/>
                <w:bCs/>
                <w:szCs w:val="20"/>
              </w:rPr>
              <w:t xml:space="preserve"> yang </w:t>
            </w:r>
            <w:proofErr w:type="spellStart"/>
            <w:r w:rsidRPr="00A64CBF">
              <w:rPr>
                <w:rFonts w:ascii="Times New Roman" w:hAnsi="Times New Roman"/>
                <w:bCs/>
                <w:szCs w:val="20"/>
              </w:rPr>
              <w:t>terjadi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perbankan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syariah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Penelitian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ini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menggunakan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metode</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kualitatif</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dengan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mengkaji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menganalisi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kaidah-kaidah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fiqih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atas</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transaksi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berdenominasi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mata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uang</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asing</w:t>
            </w:r>
            <w:proofErr w:type="spellEnd"/>
            <w:r w:rsidRPr="00A64CBF">
              <w:rPr>
                <w:rFonts w:ascii="Times New Roman" w:hAnsi="Times New Roman"/>
                <w:bCs/>
                <w:szCs w:val="20"/>
              </w:rPr>
              <w:t xml:space="preserve"> yang </w:t>
            </w:r>
            <w:proofErr w:type="spellStart"/>
            <w:r w:rsidRPr="00A64CBF">
              <w:rPr>
                <w:rFonts w:ascii="Times New Roman" w:hAnsi="Times New Roman"/>
                <w:bCs/>
                <w:szCs w:val="20"/>
              </w:rPr>
              <w:t>terjadi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perbankan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syariah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Dengan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menggunakan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pendekatan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kajian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fiqh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klasik</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penelitian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ini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menyimpulkan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bahwa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transaksi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berdenominasi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mata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uang</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asing</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dapat</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dikelompokkan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ke</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dalam</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tiga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hal</w:t>
            </w:r>
            <w:proofErr w:type="spellEnd"/>
            <w:r w:rsidRPr="00A64CBF">
              <w:rPr>
                <w:rFonts w:ascii="Times New Roman" w:hAnsi="Times New Roman"/>
                <w:bCs/>
                <w:szCs w:val="20"/>
              </w:rPr>
              <w:t xml:space="preserve"> </w:t>
            </w:r>
            <w:proofErr w:type="spellStart"/>
            <w:proofErr w:type="gramStart"/>
            <w:r w:rsidRPr="00A64CBF">
              <w:rPr>
                <w:rFonts w:ascii="Times New Roman" w:hAnsi="Times New Roman"/>
                <w:bCs/>
                <w:szCs w:val="20"/>
              </w:rPr>
              <w:t>yaitu</w:t>
            </w:r>
            <w:proofErr w:type="spellEnd"/>
            <w:r w:rsidRPr="00A64CBF">
              <w:rPr>
                <w:rFonts w:ascii="Times New Roman" w:hAnsi="Times New Roman"/>
                <w:bCs/>
                <w:szCs w:val="20"/>
              </w:rPr>
              <w:t xml:space="preserve"> :</w:t>
            </w:r>
            <w:proofErr w:type="gramEnd"/>
            <w:r w:rsidRPr="00A64CBF">
              <w:rPr>
                <w:rFonts w:ascii="Times New Roman" w:hAnsi="Times New Roman"/>
                <w:bCs/>
                <w:szCs w:val="20"/>
              </w:rPr>
              <w:t xml:space="preserve"> </w:t>
            </w:r>
            <w:proofErr w:type="spellStart"/>
            <w:r w:rsidRPr="00A64CBF">
              <w:rPr>
                <w:rFonts w:ascii="Times New Roman" w:hAnsi="Times New Roman"/>
                <w:bCs/>
                <w:szCs w:val="20"/>
              </w:rPr>
              <w:t>pertama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penilaian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pada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tanggal</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neraca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bebas</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riba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penilaian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pada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tanggal</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neraca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tetapi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rawan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riba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penilaian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pada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tanggal</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neraca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tetapi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tidak</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diperbolehkan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menambah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aset</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atau</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pendapatan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perusahaan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Selain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itu</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laba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atau</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rugi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selisih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kurs</w:t>
            </w:r>
            <w:proofErr w:type="spellEnd"/>
            <w:r w:rsidRPr="00A64CBF">
              <w:rPr>
                <w:rFonts w:ascii="Times New Roman" w:hAnsi="Times New Roman"/>
                <w:bCs/>
                <w:szCs w:val="20"/>
              </w:rPr>
              <w:t xml:space="preserve"> yang </w:t>
            </w:r>
            <w:proofErr w:type="spellStart"/>
            <w:r w:rsidRPr="00A64CBF">
              <w:rPr>
                <w:rFonts w:ascii="Times New Roman" w:hAnsi="Times New Roman"/>
                <w:bCs/>
                <w:szCs w:val="20"/>
              </w:rPr>
              <w:t>terjadi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dari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transaksi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berdenominasi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mata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uang</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harus</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memperhatikan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sumber</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dari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laba</w:t>
            </w:r>
            <w:proofErr w:type="spellEnd"/>
            <w:r w:rsidRPr="00A64CBF">
              <w:rPr>
                <w:rFonts w:ascii="Times New Roman" w:hAnsi="Times New Roman"/>
                <w:bCs/>
                <w:szCs w:val="20"/>
              </w:rPr>
              <w:t>/</w:t>
            </w:r>
            <w:proofErr w:type="spellStart"/>
            <w:r w:rsidRPr="00A64CBF">
              <w:rPr>
                <w:rFonts w:ascii="Times New Roman" w:hAnsi="Times New Roman"/>
                <w:bCs/>
                <w:szCs w:val="20"/>
              </w:rPr>
              <w:t>rugi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tersebut</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terlebih</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dahulu</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sebelum</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mengategorikannya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sebagai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bagian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dari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pendapatan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dalam</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laporan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laba</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rugi</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perbankan</w:t>
            </w:r>
            <w:proofErr w:type="spellEnd"/>
            <w:r w:rsidRPr="00A64CBF">
              <w:rPr>
                <w:rFonts w:ascii="Times New Roman" w:hAnsi="Times New Roman"/>
                <w:bCs/>
                <w:szCs w:val="20"/>
              </w:rPr>
              <w:t xml:space="preserve"> </w:t>
            </w:r>
            <w:proofErr w:type="spellStart"/>
            <w:r w:rsidRPr="00A64CBF">
              <w:rPr>
                <w:rFonts w:ascii="Times New Roman" w:hAnsi="Times New Roman"/>
                <w:bCs/>
                <w:szCs w:val="20"/>
              </w:rPr>
              <w:t>syariah</w:t>
            </w:r>
            <w:proofErr w:type="spellEnd"/>
            <w:r w:rsidRPr="00A64CBF">
              <w:rPr>
                <w:rFonts w:ascii="Times New Roman" w:hAnsi="Times New Roman"/>
                <w:bCs/>
                <w:szCs w:val="20"/>
              </w:rPr>
              <w:t>.</w:t>
            </w:r>
          </w:p>
          <w:p w:rsidR="009B32D2" w:rsidRPr="00744857" w:rsidRDefault="009B32D2" w:rsidP="00CC397C">
            <w:pPr>
              <w:pStyle w:val="BasicParagraph"/>
              <w:spacing w:line="240" w:lineRule="auto"/>
              <w:jc w:val="both"/>
              <w:rPr>
                <w:rFonts w:ascii="Times New Roman" w:hAnsi="Times New Roman" w:cs="Times New Roman"/>
                <w:i/>
                <w:lang w:val="id-ID"/>
              </w:rPr>
            </w:pPr>
          </w:p>
          <w:p w:rsidR="009B32D2" w:rsidRPr="006E610C" w:rsidRDefault="009B32D2" w:rsidP="00CC397C">
            <w:pPr>
              <w:spacing w:line="360" w:lineRule="auto"/>
              <w:jc w:val="both"/>
              <w:rPr>
                <w:rFonts w:ascii="Times New Roman" w:hAnsi="Times New Roman"/>
                <w:b/>
                <w:bCs/>
                <w:sz w:val="24"/>
                <w:szCs w:val="24"/>
                <w:lang w:val="id-ID"/>
              </w:rPr>
            </w:pPr>
            <w:r w:rsidRPr="00744857">
              <w:rPr>
                <w:rFonts w:ascii="Times New Roman" w:hAnsi="Times New Roman"/>
                <w:b/>
                <w:lang w:val="id-ID"/>
              </w:rPr>
              <w:t xml:space="preserve">Kata Kunci: </w:t>
            </w:r>
            <w:proofErr w:type="spellStart"/>
            <w:r>
              <w:rPr>
                <w:rFonts w:ascii="Times New Roman" w:hAnsi="Times New Roman"/>
                <w:bCs/>
                <w:sz w:val="24"/>
                <w:szCs w:val="24"/>
              </w:rPr>
              <w:t>Penilaian</w:t>
            </w:r>
            <w:proofErr w:type="spellEnd"/>
            <w:r w:rsidRPr="006E610C">
              <w:rPr>
                <w:rFonts w:ascii="Times New Roman" w:hAnsi="Times New Roman"/>
                <w:bCs/>
                <w:szCs w:val="20"/>
                <w:lang w:val="id-ID"/>
              </w:rPr>
              <w:t>;</w:t>
            </w:r>
            <w:r w:rsidRPr="006E610C">
              <w:rPr>
                <w:rFonts w:ascii="Times New Roman" w:hAnsi="Times New Roman"/>
                <w:bCs/>
                <w:szCs w:val="20"/>
              </w:rPr>
              <w:t xml:space="preserve"> </w:t>
            </w:r>
            <w:proofErr w:type="spellStart"/>
            <w:r w:rsidRPr="006E610C">
              <w:rPr>
                <w:rFonts w:ascii="Times New Roman" w:hAnsi="Times New Roman"/>
                <w:bCs/>
                <w:szCs w:val="20"/>
              </w:rPr>
              <w:t>Perbankan</w:t>
            </w:r>
            <w:proofErr w:type="spellEnd"/>
            <w:r w:rsidRPr="006E610C">
              <w:rPr>
                <w:rFonts w:ascii="Times New Roman" w:hAnsi="Times New Roman"/>
                <w:bCs/>
                <w:szCs w:val="20"/>
              </w:rPr>
              <w:t xml:space="preserve"> </w:t>
            </w:r>
            <w:proofErr w:type="spellStart"/>
            <w:r w:rsidRPr="006E610C">
              <w:rPr>
                <w:rFonts w:ascii="Times New Roman" w:hAnsi="Times New Roman"/>
                <w:bCs/>
                <w:szCs w:val="20"/>
              </w:rPr>
              <w:t>Syariah</w:t>
            </w:r>
            <w:proofErr w:type="spellEnd"/>
            <w:r w:rsidRPr="006E610C">
              <w:rPr>
                <w:rFonts w:ascii="Times New Roman" w:hAnsi="Times New Roman"/>
                <w:bCs/>
                <w:szCs w:val="20"/>
              </w:rPr>
              <w:t xml:space="preserve">, </w:t>
            </w:r>
            <w:proofErr w:type="spellStart"/>
            <w:r w:rsidRPr="006E610C">
              <w:rPr>
                <w:rFonts w:ascii="Times New Roman" w:hAnsi="Times New Roman"/>
                <w:bCs/>
                <w:szCs w:val="20"/>
              </w:rPr>
              <w:t>Riba;Transaksi</w:t>
            </w:r>
            <w:proofErr w:type="spellEnd"/>
            <w:r w:rsidRPr="006E610C">
              <w:rPr>
                <w:rFonts w:ascii="Times New Roman" w:hAnsi="Times New Roman"/>
                <w:bCs/>
                <w:szCs w:val="20"/>
              </w:rPr>
              <w:t xml:space="preserve"> </w:t>
            </w:r>
            <w:proofErr w:type="spellStart"/>
            <w:r w:rsidRPr="006E610C">
              <w:rPr>
                <w:rFonts w:ascii="Times New Roman" w:hAnsi="Times New Roman"/>
                <w:bCs/>
                <w:szCs w:val="20"/>
              </w:rPr>
              <w:t>Berdenominasi</w:t>
            </w:r>
            <w:proofErr w:type="spellEnd"/>
            <w:r w:rsidRPr="006E610C">
              <w:rPr>
                <w:rFonts w:ascii="Times New Roman" w:hAnsi="Times New Roman"/>
                <w:bCs/>
                <w:szCs w:val="20"/>
              </w:rPr>
              <w:t xml:space="preserve"> Mata </w:t>
            </w:r>
            <w:proofErr w:type="spellStart"/>
            <w:r w:rsidRPr="006E610C">
              <w:rPr>
                <w:rFonts w:ascii="Times New Roman" w:hAnsi="Times New Roman"/>
                <w:bCs/>
                <w:szCs w:val="20"/>
              </w:rPr>
              <w:t>Uang</w:t>
            </w:r>
            <w:proofErr w:type="spellEnd"/>
            <w:r w:rsidRPr="006E610C">
              <w:rPr>
                <w:rFonts w:ascii="Times New Roman" w:hAnsi="Times New Roman"/>
                <w:bCs/>
                <w:szCs w:val="20"/>
              </w:rPr>
              <w:t xml:space="preserve"> </w:t>
            </w:r>
            <w:proofErr w:type="spellStart"/>
            <w:r w:rsidRPr="006E610C">
              <w:rPr>
                <w:rFonts w:ascii="Times New Roman" w:hAnsi="Times New Roman"/>
                <w:bCs/>
                <w:szCs w:val="20"/>
              </w:rPr>
              <w:t>Asing</w:t>
            </w:r>
            <w:proofErr w:type="spellEnd"/>
          </w:p>
        </w:tc>
      </w:tr>
    </w:tbl>
    <w:p w:rsidR="002F3CF9" w:rsidRDefault="002F3CF9" w:rsidP="00B31DBC">
      <w:pPr>
        <w:jc w:val="left"/>
        <w:rPr>
          <w:lang w:val="id-ID"/>
        </w:rPr>
      </w:pPr>
    </w:p>
    <w:p w:rsidR="00B31DBC" w:rsidRPr="00744857" w:rsidRDefault="00B31DBC" w:rsidP="00B31DBC">
      <w:pPr>
        <w:jc w:val="both"/>
        <w:rPr>
          <w:rFonts w:ascii="Times New Roman" w:hAnsi="Times New Roman"/>
          <w:color w:val="000000"/>
          <w:lang w:val="id-ID"/>
        </w:rPr>
      </w:pPr>
      <w:r w:rsidRPr="00744857">
        <w:rPr>
          <w:rFonts w:ascii="Times New Roman" w:hAnsi="Times New Roman"/>
          <w:b/>
          <w:i/>
          <w:color w:val="000000"/>
          <w:lang w:val="id-ID"/>
        </w:rPr>
        <w:t>Corresponding author.</w:t>
      </w:r>
      <w:r w:rsidRPr="00744857">
        <w:rPr>
          <w:rFonts w:ascii="Times New Roman" w:hAnsi="Times New Roman"/>
          <w:color w:val="000000"/>
          <w:lang w:val="id-ID"/>
        </w:rPr>
        <w:t xml:space="preserve"> </w:t>
      </w:r>
      <w:hyperlink r:id="rId4" w:history="1">
        <w:r w:rsidRPr="004423CC">
          <w:rPr>
            <w:rStyle w:val="Hyperlink"/>
            <w:rFonts w:ascii="Times New Roman" w:hAnsi="Times New Roman"/>
            <w:lang w:val="id-ID"/>
          </w:rPr>
          <w:t>sulhani@tazkia.ac.id</w:t>
        </w:r>
      </w:hyperlink>
    </w:p>
    <w:p w:rsidR="00B31DBC" w:rsidRPr="006E610C" w:rsidRDefault="00B31DBC" w:rsidP="00B31DBC">
      <w:pPr>
        <w:pStyle w:val="NormalWeb"/>
        <w:spacing w:before="0" w:beforeAutospacing="0" w:after="0" w:afterAutospacing="0"/>
        <w:jc w:val="both"/>
        <w:rPr>
          <w:color w:val="000000"/>
          <w:sz w:val="20"/>
          <w:szCs w:val="20"/>
          <w:lang w:val="id-ID"/>
        </w:rPr>
      </w:pPr>
      <w:r w:rsidRPr="00744857">
        <w:rPr>
          <w:b/>
          <w:i/>
          <w:color w:val="000000"/>
          <w:sz w:val="20"/>
          <w:szCs w:val="20"/>
          <w:lang w:val="id-ID"/>
        </w:rPr>
        <w:t xml:space="preserve">How to cite this article. </w:t>
      </w:r>
      <w:r>
        <w:rPr>
          <w:color w:val="000000"/>
          <w:sz w:val="20"/>
          <w:szCs w:val="20"/>
          <w:lang w:val="id-ID"/>
        </w:rPr>
        <w:t>Rohim, A. Sulhani. Dan Mugni, A (2018) Membedah Praktik Akuntansi Berdenominasi Mata Uang Asing Perbankan Syariah : Pendekatan Fikih Tematis. Jurnal ASET (Akuntansi Riset)</w:t>
      </w:r>
    </w:p>
    <w:p w:rsidR="00B31DBC" w:rsidRPr="00A35452" w:rsidRDefault="00B31DBC" w:rsidP="00B31DBC">
      <w:pPr>
        <w:pStyle w:val="NormalWeb"/>
        <w:spacing w:before="0" w:beforeAutospacing="0" w:after="0" w:afterAutospacing="0"/>
        <w:jc w:val="both"/>
        <w:rPr>
          <w:color w:val="000000"/>
          <w:sz w:val="20"/>
          <w:szCs w:val="20"/>
          <w:lang w:val="en-ID" w:eastAsia="id-ID"/>
        </w:rPr>
      </w:pPr>
      <w:r w:rsidRPr="00A35452">
        <w:rPr>
          <w:i/>
          <w:color w:val="000000"/>
          <w:sz w:val="18"/>
          <w:szCs w:val="18"/>
          <w:lang w:val="id-ID"/>
        </w:rPr>
        <w:t xml:space="preserve">Jurnal </w:t>
      </w:r>
      <w:r w:rsidRPr="00A35452">
        <w:rPr>
          <w:i/>
          <w:color w:val="000000"/>
          <w:sz w:val="18"/>
          <w:szCs w:val="18"/>
          <w:lang w:val="en-ID"/>
        </w:rPr>
        <w:t>ASET (</w:t>
      </w:r>
      <w:proofErr w:type="spellStart"/>
      <w:r w:rsidRPr="00A35452">
        <w:rPr>
          <w:i/>
          <w:color w:val="000000"/>
          <w:sz w:val="18"/>
          <w:szCs w:val="18"/>
          <w:lang w:val="en-ID"/>
        </w:rPr>
        <w:t>Akuntansi</w:t>
      </w:r>
      <w:proofErr w:type="spellEnd"/>
      <w:r w:rsidRPr="00A35452">
        <w:rPr>
          <w:i/>
          <w:color w:val="000000"/>
          <w:sz w:val="18"/>
          <w:szCs w:val="18"/>
          <w:lang w:val="en-ID"/>
        </w:rPr>
        <w:t xml:space="preserve"> </w:t>
      </w:r>
      <w:proofErr w:type="spellStart"/>
      <w:r w:rsidRPr="00A35452">
        <w:rPr>
          <w:i/>
          <w:color w:val="000000"/>
          <w:sz w:val="18"/>
          <w:szCs w:val="18"/>
          <w:lang w:val="en-ID"/>
        </w:rPr>
        <w:t>Riset</w:t>
      </w:r>
      <w:proofErr w:type="spellEnd"/>
      <w:r w:rsidRPr="00A35452">
        <w:rPr>
          <w:i/>
          <w:color w:val="000000"/>
          <w:sz w:val="18"/>
          <w:szCs w:val="18"/>
          <w:lang w:val="en-ID"/>
        </w:rPr>
        <w:t>)</w:t>
      </w:r>
      <w:r w:rsidRPr="00A35452">
        <w:rPr>
          <w:i/>
          <w:iCs/>
          <w:color w:val="000000"/>
          <w:sz w:val="18"/>
          <w:szCs w:val="18"/>
          <w:lang w:val="id-ID" w:eastAsia="id-ID"/>
        </w:rPr>
        <w:t>.</w:t>
      </w:r>
      <w:r w:rsidRPr="00744857">
        <w:rPr>
          <w:i/>
          <w:iCs/>
          <w:color w:val="000000"/>
          <w:sz w:val="20"/>
          <w:szCs w:val="20"/>
          <w:lang w:val="id-ID" w:eastAsia="id-ID"/>
        </w:rPr>
        <w:t xml:space="preserve"> Program Studi Akuntansi. Fakultas Pendidikan Ekonomi dan Bisnis Universitas Pendidikan Indonesia</w:t>
      </w:r>
      <w:r w:rsidRPr="00744857">
        <w:rPr>
          <w:color w:val="000000"/>
          <w:sz w:val="20"/>
          <w:szCs w:val="20"/>
          <w:lang w:val="id-ID" w:eastAsia="id-ID"/>
        </w:rPr>
        <w:t xml:space="preserve">, </w:t>
      </w:r>
      <w:r w:rsidRPr="00744857">
        <w:rPr>
          <w:i/>
          <w:iCs/>
          <w:color w:val="000000"/>
          <w:sz w:val="20"/>
          <w:szCs w:val="20"/>
          <w:lang w:val="id-ID" w:eastAsia="id-ID"/>
        </w:rPr>
        <w:t>4</w:t>
      </w:r>
      <w:r w:rsidRPr="00744857">
        <w:rPr>
          <w:color w:val="000000"/>
          <w:sz w:val="20"/>
          <w:szCs w:val="20"/>
          <w:lang w:val="id-ID" w:eastAsia="id-ID"/>
        </w:rPr>
        <w:t>(1), 859–872. Retrieved from http://ejournal.upi.edu/index.php/</w:t>
      </w:r>
      <w:proofErr w:type="spellStart"/>
      <w:r>
        <w:rPr>
          <w:color w:val="000000"/>
          <w:sz w:val="20"/>
          <w:szCs w:val="20"/>
          <w:lang w:val="en-ID" w:eastAsia="id-ID"/>
        </w:rPr>
        <w:t>aset</w:t>
      </w:r>
      <w:proofErr w:type="spellEnd"/>
      <w:r w:rsidRPr="00744857">
        <w:rPr>
          <w:color w:val="000000"/>
          <w:sz w:val="20"/>
          <w:szCs w:val="20"/>
          <w:lang w:val="id-ID" w:eastAsia="id-ID"/>
        </w:rPr>
        <w:t>/article/view/</w:t>
      </w:r>
      <w:r>
        <w:rPr>
          <w:color w:val="000000"/>
          <w:sz w:val="20"/>
          <w:szCs w:val="20"/>
          <w:lang w:val="en-ID" w:eastAsia="id-ID"/>
        </w:rPr>
        <w:t>9226</w:t>
      </w:r>
    </w:p>
    <w:p w:rsidR="00B31DBC" w:rsidRPr="00744857" w:rsidRDefault="00B31DBC" w:rsidP="00B31DBC">
      <w:pPr>
        <w:jc w:val="both"/>
        <w:rPr>
          <w:rFonts w:ascii="Times New Roman" w:hAnsi="Times New Roman"/>
          <w:color w:val="000000"/>
          <w:szCs w:val="20"/>
          <w:lang w:val="id-ID"/>
        </w:rPr>
      </w:pPr>
      <w:r w:rsidRPr="008001B0">
        <w:rPr>
          <w:rFonts w:ascii="Times New Roman" w:hAnsi="Times New Roman"/>
          <w:b/>
          <w:i/>
          <w:color w:val="000000"/>
          <w:szCs w:val="20"/>
          <w:lang w:val="id-ID"/>
        </w:rPr>
        <w:t>History of article.</w:t>
      </w:r>
      <w:r w:rsidRPr="008001B0">
        <w:rPr>
          <w:rFonts w:ascii="Times New Roman" w:hAnsi="Times New Roman"/>
          <w:b/>
          <w:color w:val="000000"/>
          <w:szCs w:val="20"/>
          <w:lang w:val="id-ID"/>
        </w:rPr>
        <w:t xml:space="preserve"> Received:</w:t>
      </w:r>
      <w:r w:rsidRPr="00744857">
        <w:rPr>
          <w:rFonts w:ascii="Times New Roman" w:hAnsi="Times New Roman"/>
          <w:color w:val="000000"/>
          <w:szCs w:val="20"/>
          <w:lang w:val="id-ID"/>
        </w:rPr>
        <w:t xml:space="preserve"> Janu</w:t>
      </w:r>
      <w:r>
        <w:rPr>
          <w:rFonts w:ascii="Times New Roman" w:hAnsi="Times New Roman"/>
          <w:color w:val="000000"/>
          <w:szCs w:val="20"/>
          <w:lang w:val="id-ID"/>
        </w:rPr>
        <w:t>ary 2017, Revision: Maret 2017, Published: April 2017</w:t>
      </w:r>
    </w:p>
    <w:p w:rsidR="00B31DBC" w:rsidRPr="00A35452" w:rsidRDefault="00B31DBC" w:rsidP="00B31DBC">
      <w:pPr>
        <w:jc w:val="both"/>
        <w:rPr>
          <w:rFonts w:ascii="Times New Roman" w:hAnsi="Times New Roman"/>
          <w:color w:val="111111"/>
          <w:szCs w:val="20"/>
          <w:shd w:val="clear" w:color="auto" w:fill="FFFFFF"/>
          <w:lang w:val="en-ID"/>
        </w:rPr>
      </w:pPr>
      <w:r w:rsidRPr="00744857">
        <w:rPr>
          <w:rFonts w:ascii="Times New Roman" w:hAnsi="Times New Roman"/>
          <w:color w:val="000000"/>
          <w:szCs w:val="20"/>
          <w:lang w:val="id-ID"/>
        </w:rPr>
        <w:t xml:space="preserve">Online ISSN: </w:t>
      </w:r>
      <w:r w:rsidRPr="007649FF">
        <w:rPr>
          <w:rFonts w:ascii="Times New Roman" w:hAnsi="Times New Roman"/>
          <w:sz w:val="18"/>
          <w:szCs w:val="18"/>
          <w:lang w:val="en-ID"/>
        </w:rPr>
        <w:t>2541-0342</w:t>
      </w:r>
      <w:r w:rsidRPr="00744857">
        <w:rPr>
          <w:rFonts w:ascii="Times New Roman" w:hAnsi="Times New Roman"/>
          <w:color w:val="000000"/>
          <w:szCs w:val="20"/>
          <w:lang w:val="id-ID"/>
        </w:rPr>
        <w:t xml:space="preserve">. Print ISSN: </w:t>
      </w:r>
      <w:r w:rsidRPr="007649FF">
        <w:rPr>
          <w:rFonts w:ascii="Times New Roman" w:hAnsi="Times New Roman"/>
          <w:sz w:val="18"/>
          <w:szCs w:val="18"/>
          <w:lang w:val="en-ID"/>
        </w:rPr>
        <w:t>2086-2563</w:t>
      </w:r>
      <w:r w:rsidRPr="00744857">
        <w:rPr>
          <w:rFonts w:ascii="Times New Roman" w:hAnsi="Times New Roman"/>
          <w:color w:val="000000"/>
          <w:szCs w:val="20"/>
          <w:lang w:val="id-ID"/>
        </w:rPr>
        <w:t xml:space="preserve">. DOI: </w:t>
      </w:r>
      <w:r w:rsidRPr="00744857">
        <w:rPr>
          <w:rFonts w:ascii="Times New Roman" w:hAnsi="Times New Roman"/>
          <w:color w:val="111111"/>
          <w:szCs w:val="20"/>
          <w:shd w:val="clear" w:color="auto" w:fill="FFFFFF"/>
          <w:lang w:val="id-ID"/>
        </w:rPr>
        <w:t xml:space="preserve">10.17509/jurnal </w:t>
      </w:r>
      <w:proofErr w:type="spellStart"/>
      <w:r>
        <w:rPr>
          <w:rFonts w:ascii="Times New Roman" w:hAnsi="Times New Roman"/>
          <w:color w:val="111111"/>
          <w:szCs w:val="20"/>
          <w:shd w:val="clear" w:color="auto" w:fill="FFFFFF"/>
          <w:lang w:val="en-ID"/>
        </w:rPr>
        <w:t>aset</w:t>
      </w:r>
      <w:proofErr w:type="spellEnd"/>
      <w:r w:rsidRPr="00744857">
        <w:rPr>
          <w:rFonts w:ascii="Times New Roman" w:hAnsi="Times New Roman"/>
          <w:color w:val="111111"/>
          <w:szCs w:val="20"/>
          <w:shd w:val="clear" w:color="auto" w:fill="FFFFFF"/>
          <w:lang w:val="id-ID"/>
        </w:rPr>
        <w:t>.v</w:t>
      </w:r>
      <w:r>
        <w:rPr>
          <w:rFonts w:ascii="Times New Roman" w:hAnsi="Times New Roman"/>
          <w:color w:val="111111"/>
          <w:szCs w:val="20"/>
          <w:shd w:val="clear" w:color="auto" w:fill="FFFFFF"/>
          <w:lang w:val="en-ID"/>
        </w:rPr>
        <w:t>9i2.9226</w:t>
      </w:r>
    </w:p>
    <w:p w:rsidR="00B31DBC" w:rsidRPr="00B31DBC" w:rsidRDefault="00B31DBC" w:rsidP="00B31DBC">
      <w:pPr>
        <w:jc w:val="left"/>
        <w:rPr>
          <w:lang w:val="id-ID"/>
        </w:rPr>
      </w:pPr>
      <w:r w:rsidRPr="00744857">
        <w:rPr>
          <w:rFonts w:ascii="Times New Roman" w:hAnsi="Times New Roman"/>
          <w:color w:val="000000"/>
          <w:lang w:val="id-ID"/>
        </w:rPr>
        <w:t>Copyright©</w:t>
      </w:r>
      <w:r>
        <w:rPr>
          <w:rFonts w:ascii="Times New Roman" w:hAnsi="Times New Roman"/>
          <w:color w:val="000000"/>
          <w:lang w:val="id-ID"/>
        </w:rPr>
        <w:t>2018</w:t>
      </w:r>
      <w:r w:rsidRPr="00744857">
        <w:rPr>
          <w:rFonts w:ascii="Times New Roman" w:hAnsi="Times New Roman"/>
          <w:color w:val="000000"/>
          <w:lang w:val="id-ID"/>
        </w:rPr>
        <w:t xml:space="preserve">. Jurnal </w:t>
      </w:r>
      <w:r>
        <w:rPr>
          <w:rFonts w:ascii="Times New Roman" w:hAnsi="Times New Roman"/>
          <w:color w:val="000000"/>
          <w:lang w:val="en-ID"/>
        </w:rPr>
        <w:t>ASET (</w:t>
      </w:r>
      <w:proofErr w:type="spellStart"/>
      <w:r>
        <w:rPr>
          <w:rFonts w:ascii="Times New Roman" w:hAnsi="Times New Roman"/>
          <w:color w:val="000000"/>
          <w:lang w:val="en-ID"/>
        </w:rPr>
        <w:t>Akuntansi</w:t>
      </w:r>
      <w:proofErr w:type="spellEnd"/>
      <w:r>
        <w:rPr>
          <w:rFonts w:ascii="Times New Roman" w:hAnsi="Times New Roman"/>
          <w:color w:val="000000"/>
          <w:lang w:val="en-ID"/>
        </w:rPr>
        <w:t xml:space="preserve"> </w:t>
      </w:r>
      <w:proofErr w:type="spellStart"/>
      <w:r>
        <w:rPr>
          <w:rFonts w:ascii="Times New Roman" w:hAnsi="Times New Roman"/>
          <w:color w:val="000000"/>
          <w:lang w:val="en-ID"/>
        </w:rPr>
        <w:t>Riset</w:t>
      </w:r>
      <w:proofErr w:type="spellEnd"/>
      <w:r>
        <w:rPr>
          <w:rFonts w:ascii="Times New Roman" w:hAnsi="Times New Roman"/>
          <w:color w:val="000000"/>
          <w:lang w:val="en-ID"/>
        </w:rPr>
        <w:t xml:space="preserve">) </w:t>
      </w:r>
      <w:r w:rsidRPr="00744857">
        <w:rPr>
          <w:rFonts w:ascii="Times New Roman" w:hAnsi="Times New Roman"/>
          <w:color w:val="000000"/>
          <w:lang w:val="id-ID"/>
        </w:rPr>
        <w:t>Program Studi Akuntansi FPEB UPI</w:t>
      </w:r>
    </w:p>
    <w:sectPr w:rsidR="00B31DBC" w:rsidRPr="00B31DBC" w:rsidSect="002F3C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no Pro">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compat/>
  <w:rsids>
    <w:rsidRoot w:val="009B32D2"/>
    <w:rsid w:val="002F3CF9"/>
    <w:rsid w:val="009B32D2"/>
    <w:rsid w:val="00B31DB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32D2"/>
    <w:pPr>
      <w:spacing w:after="0" w:line="240" w:lineRule="auto"/>
      <w:jc w:val="center"/>
    </w:pPr>
    <w:rPr>
      <w:rFonts w:ascii="Arno Pro" w:eastAsia="Calibri" w:hAnsi="Arno Pro"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B32D2"/>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9B32D2"/>
    <w:pPr>
      <w:spacing w:after="200" w:line="276" w:lineRule="auto"/>
      <w:ind w:left="720"/>
      <w:contextualSpacing/>
      <w:jc w:val="left"/>
    </w:pPr>
    <w:rPr>
      <w:rFonts w:ascii="Calibri" w:hAnsi="Calibri"/>
      <w:szCs w:val="20"/>
      <w:lang w:val="id-ID"/>
    </w:rPr>
  </w:style>
  <w:style w:type="character" w:customStyle="1" w:styleId="ListParagraphChar">
    <w:name w:val="List Paragraph Char"/>
    <w:aliases w:val="SUB SUB 32 Char,normal Char"/>
    <w:link w:val="ListParagraph"/>
    <w:uiPriority w:val="34"/>
    <w:locked/>
    <w:rsid w:val="009B32D2"/>
    <w:rPr>
      <w:rFonts w:ascii="Calibri" w:eastAsia="Calibri" w:hAnsi="Calibri" w:cs="Times New Roman"/>
      <w:sz w:val="20"/>
      <w:szCs w:val="20"/>
      <w:lang/>
    </w:rPr>
  </w:style>
  <w:style w:type="character" w:styleId="Hyperlink">
    <w:name w:val="Hyperlink"/>
    <w:uiPriority w:val="99"/>
    <w:unhideWhenUsed/>
    <w:rsid w:val="00B31DBC"/>
    <w:rPr>
      <w:color w:val="0563C1"/>
      <w:u w:val="single"/>
    </w:rPr>
  </w:style>
  <w:style w:type="paragraph" w:styleId="NormalWeb">
    <w:name w:val="Normal (Web)"/>
    <w:basedOn w:val="Normal"/>
    <w:uiPriority w:val="99"/>
    <w:unhideWhenUsed/>
    <w:rsid w:val="00B31DBC"/>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lhani@tazki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3285</Characters>
  <Application>Microsoft Office Word</Application>
  <DocSecurity>0</DocSecurity>
  <Lines>164</Lines>
  <Paragraphs>67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sulhani</dc:creator>
  <cp:lastModifiedBy>sulhani</cp:lastModifiedBy>
  <cp:revision>2</cp:revision>
  <dcterms:created xsi:type="dcterms:W3CDTF">2018-10-30T05:13:00Z</dcterms:created>
  <dcterms:modified xsi:type="dcterms:W3CDTF">2018-10-30T05:15:00Z</dcterms:modified>
</cp:coreProperties>
</file>