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8CA0A" w14:textId="48E68571" w:rsidR="001D32CB" w:rsidRPr="001D32CB" w:rsidRDefault="001D32CB" w:rsidP="005A45BD">
      <w:pPr>
        <w:jc w:val="center"/>
        <w:rPr>
          <w:rFonts w:ascii="Times New Roman" w:hAnsi="Times New Roman" w:cs="Times New Roman"/>
          <w:b/>
          <w:bCs/>
          <w:sz w:val="28"/>
          <w:szCs w:val="28"/>
          <w:lang w:val="en-US"/>
        </w:rPr>
      </w:pPr>
      <w:bookmarkStart w:id="0" w:name="_Hlk14182212"/>
      <w:r>
        <w:rPr>
          <w:rFonts w:ascii="Times New Roman" w:hAnsi="Times New Roman" w:cs="Times New Roman"/>
          <w:b/>
          <w:bCs/>
          <w:sz w:val="28"/>
          <w:szCs w:val="28"/>
          <w:lang w:val="en-US"/>
        </w:rPr>
        <w:t>Relevansi Nilai PSAK 73: Studi Pasar Modal Indonesia</w:t>
      </w:r>
    </w:p>
    <w:p w14:paraId="42E30CB0" w14:textId="0B67A331" w:rsidR="005A45BD" w:rsidRPr="00EA0121" w:rsidRDefault="005A45BD" w:rsidP="004F064A">
      <w:pPr>
        <w:jc w:val="center"/>
        <w:rPr>
          <w:rFonts w:ascii="Times New Roman" w:hAnsi="Times New Roman" w:cs="Times New Roman"/>
          <w:b/>
          <w:sz w:val="28"/>
          <w:szCs w:val="28"/>
          <w:lang w:eastAsia="zh-CN"/>
        </w:rPr>
      </w:pPr>
    </w:p>
    <w:p w14:paraId="11DEFE9F" w14:textId="5ADA70D7" w:rsidR="004F064A" w:rsidRPr="00EA0121" w:rsidRDefault="004F064A" w:rsidP="004F064A">
      <w:pPr>
        <w:jc w:val="center"/>
        <w:rPr>
          <w:rFonts w:ascii="Times New Roman" w:hAnsi="Times New Roman" w:cs="Times New Roman"/>
          <w:b/>
          <w:sz w:val="32"/>
          <w:szCs w:val="32"/>
          <w:lang w:eastAsia="zh-CN"/>
        </w:rPr>
      </w:pPr>
    </w:p>
    <w:bookmarkEnd w:id="0"/>
    <w:p w14:paraId="02FE7744" w14:textId="78FE46DD" w:rsidR="006C4D9F" w:rsidRPr="00274F26" w:rsidRDefault="00787F1B" w:rsidP="006C4D9F">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Author 1, Author 2</w:t>
      </w:r>
      <w:r w:rsidR="00274F26">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and Author 3</w:t>
      </w:r>
    </w:p>
    <w:p w14:paraId="6BFA78F0" w14:textId="77777777" w:rsidR="006C4D9F" w:rsidRPr="00EA0121" w:rsidRDefault="006C4D9F" w:rsidP="003E6256">
      <w:pPr>
        <w:ind w:firstLine="1078"/>
        <w:rPr>
          <w:rFonts w:ascii="Times New Roman" w:hAnsi="Times New Roman" w:cs="Times New Roman"/>
          <w:i/>
          <w:sz w:val="20"/>
        </w:rPr>
      </w:pPr>
    </w:p>
    <w:p w14:paraId="202F5CCD" w14:textId="77777777" w:rsidR="003D0F97" w:rsidRPr="00EA0121" w:rsidRDefault="003D0F97">
      <w:pPr>
        <w:jc w:val="both"/>
        <w:rPr>
          <w:rFonts w:ascii="Times New Roman" w:hAnsi="Times New Roman" w:cs="Times New Roman"/>
          <w:sz w:val="20"/>
        </w:rPr>
      </w:pPr>
    </w:p>
    <w:p w14:paraId="4215C7BD" w14:textId="0D31E175" w:rsidR="0055436A" w:rsidRPr="00D975F2" w:rsidRDefault="0055436A" w:rsidP="00B91EB1">
      <w:pPr>
        <w:jc w:val="both"/>
        <w:rPr>
          <w:rFonts w:ascii="Times New Roman" w:hAnsi="Times New Roman" w:cs="Times New Roman"/>
          <w:i/>
          <w:iCs/>
          <w:lang w:val="en-US"/>
        </w:rPr>
      </w:pPr>
      <w:bookmarkStart w:id="1" w:name="_Toc14121264"/>
      <w:r w:rsidRPr="00D975F2">
        <w:rPr>
          <w:rFonts w:ascii="Times New Roman" w:hAnsi="Times New Roman" w:cs="Times New Roman"/>
          <w:b/>
          <w:bCs/>
          <w:i/>
          <w:iCs/>
          <w:sz w:val="20"/>
          <w:szCs w:val="20"/>
        </w:rPr>
        <w:t>Abstract</w:t>
      </w:r>
      <w:bookmarkEnd w:id="1"/>
      <w:r w:rsidRPr="00D975F2">
        <w:rPr>
          <w:rFonts w:ascii="Times New Roman" w:hAnsi="Times New Roman" w:cs="Times New Roman"/>
          <w:b/>
          <w:bCs/>
          <w:i/>
          <w:iCs/>
          <w:sz w:val="20"/>
          <w:szCs w:val="20"/>
        </w:rPr>
        <w:t>.</w:t>
      </w:r>
      <w:r w:rsidRPr="00D975F2">
        <w:rPr>
          <w:rFonts w:ascii="Times New Roman" w:hAnsi="Times New Roman" w:cs="Times New Roman"/>
          <w:i/>
          <w:iCs/>
          <w:sz w:val="20"/>
          <w:szCs w:val="20"/>
        </w:rPr>
        <w:t xml:space="preserve"> </w:t>
      </w:r>
      <w:r w:rsidR="00D975F2">
        <w:rPr>
          <w:rFonts w:ascii="Times New Roman" w:hAnsi="Times New Roman" w:cs="Times New Roman"/>
          <w:i/>
          <w:iCs/>
          <w:lang w:val="en-US"/>
        </w:rPr>
        <w:t xml:space="preserve">Accounting standard and treatment for leasing is one that draws a lot of debate. Accounting treatment for leasing in PSAK 30 causes off-balance sheet transactions, where assets and liabilities of a leasing transaction are not recorded on financial statements. PSAK 73 introduces Right-of-Use model that could reflect leasing transactions on financial statements. This introduction is expected to increase the value relevance of financial statement for its users. Does PSAK 73 truly increase value relevance of financial statements? The authors answered the question by performing empirical research of value relevance in Indonesian Stock Exchange, especially constituents of Kompas 100 index, using Ohlson (1995) model. </w:t>
      </w:r>
      <w:r w:rsidR="00ED54BA" w:rsidRPr="00ED54BA">
        <w:rPr>
          <w:rFonts w:ascii="Times New Roman" w:hAnsi="Times New Roman" w:cs="Times New Roman"/>
          <w:i/>
          <w:iCs/>
          <w:lang w:val="en-US"/>
        </w:rPr>
        <w:t>Authors found that contrary to expectation, PSAK 73 does not necessarily increase value relevance of financial statements for its users</w:t>
      </w:r>
      <w:r w:rsidR="007D510D">
        <w:rPr>
          <w:rFonts w:ascii="Times New Roman" w:hAnsi="Times New Roman" w:cs="Times New Roman"/>
          <w:i/>
          <w:iCs/>
          <w:lang w:val="en-US"/>
        </w:rPr>
        <w:t xml:space="preserve"> Although, </w:t>
      </w:r>
      <w:r w:rsidR="00C26952">
        <w:rPr>
          <w:rFonts w:ascii="Times New Roman" w:hAnsi="Times New Roman" w:cs="Times New Roman"/>
          <w:i/>
          <w:iCs/>
          <w:lang w:val="en-US"/>
        </w:rPr>
        <w:t>it’s</w:t>
      </w:r>
      <w:r w:rsidR="007D510D">
        <w:rPr>
          <w:rFonts w:ascii="Times New Roman" w:hAnsi="Times New Roman" w:cs="Times New Roman"/>
          <w:i/>
          <w:iCs/>
          <w:lang w:val="en-US"/>
        </w:rPr>
        <w:t xml:space="preserve"> </w:t>
      </w:r>
      <w:r w:rsidR="00C26952">
        <w:rPr>
          <w:rFonts w:ascii="Times New Roman" w:hAnsi="Times New Roman" w:cs="Times New Roman"/>
          <w:i/>
          <w:iCs/>
          <w:lang w:val="en-US"/>
        </w:rPr>
        <w:t xml:space="preserve">indicated </w:t>
      </w:r>
      <w:r w:rsidR="007D510D">
        <w:rPr>
          <w:rFonts w:ascii="Times New Roman" w:hAnsi="Times New Roman" w:cs="Times New Roman"/>
          <w:i/>
          <w:iCs/>
          <w:lang w:val="en-US"/>
        </w:rPr>
        <w:t xml:space="preserve">that its relevance depend on the intensity of lease transactions to </w:t>
      </w:r>
      <w:r w:rsidR="00C26952">
        <w:rPr>
          <w:rFonts w:ascii="Times New Roman" w:hAnsi="Times New Roman" w:cs="Times New Roman"/>
          <w:i/>
          <w:iCs/>
          <w:lang w:val="en-US"/>
        </w:rPr>
        <w:t>the</w:t>
      </w:r>
      <w:r w:rsidR="007D510D">
        <w:rPr>
          <w:rFonts w:ascii="Times New Roman" w:hAnsi="Times New Roman" w:cs="Times New Roman"/>
          <w:i/>
          <w:iCs/>
          <w:lang w:val="en-US"/>
        </w:rPr>
        <w:t xml:space="preserve"> </w:t>
      </w:r>
      <w:r w:rsidR="00C26952">
        <w:rPr>
          <w:rFonts w:ascii="Times New Roman" w:hAnsi="Times New Roman" w:cs="Times New Roman"/>
          <w:i/>
          <w:iCs/>
          <w:lang w:val="en-US"/>
        </w:rPr>
        <w:t>company’s</w:t>
      </w:r>
      <w:r w:rsidR="007D510D">
        <w:rPr>
          <w:rFonts w:ascii="Times New Roman" w:hAnsi="Times New Roman" w:cs="Times New Roman"/>
          <w:i/>
          <w:iCs/>
          <w:lang w:val="en-US"/>
        </w:rPr>
        <w:t xml:space="preserve"> business. </w:t>
      </w:r>
      <w:r w:rsidR="00C26952">
        <w:rPr>
          <w:rFonts w:ascii="Times New Roman" w:hAnsi="Times New Roman" w:cs="Times New Roman"/>
          <w:i/>
          <w:iCs/>
          <w:lang w:val="en-US"/>
        </w:rPr>
        <w:t>Authors</w:t>
      </w:r>
      <w:r w:rsidR="007D510D">
        <w:rPr>
          <w:rFonts w:ascii="Times New Roman" w:hAnsi="Times New Roman" w:cs="Times New Roman"/>
          <w:i/>
          <w:iCs/>
          <w:lang w:val="en-US"/>
        </w:rPr>
        <w:t xml:space="preserve"> discussed findings, along with recommendations for future research.</w:t>
      </w:r>
    </w:p>
    <w:p w14:paraId="56F5748D" w14:textId="77777777" w:rsidR="0065499B" w:rsidRPr="00274F26" w:rsidRDefault="0065499B" w:rsidP="00B91EB1">
      <w:pPr>
        <w:jc w:val="both"/>
        <w:rPr>
          <w:rFonts w:ascii="Times New Roman" w:hAnsi="Times New Roman" w:cs="Times New Roman"/>
          <w:bCs/>
          <w:i/>
          <w:iCs/>
          <w:sz w:val="20"/>
          <w:szCs w:val="20"/>
          <w:highlight w:val="yellow"/>
        </w:rPr>
      </w:pPr>
    </w:p>
    <w:p w14:paraId="08C28ADE" w14:textId="0007845B" w:rsidR="0055436A" w:rsidRPr="00D0462F" w:rsidRDefault="0055436A" w:rsidP="003E6256">
      <w:pPr>
        <w:jc w:val="both"/>
        <w:rPr>
          <w:rFonts w:ascii="Times New Roman" w:hAnsi="Times New Roman" w:cs="Times New Roman"/>
          <w:i/>
          <w:iCs/>
          <w:lang w:val="en-US"/>
        </w:rPr>
      </w:pPr>
      <w:r w:rsidRPr="00D0462F">
        <w:rPr>
          <w:rFonts w:ascii="Times New Roman" w:hAnsi="Times New Roman"/>
          <w:b/>
          <w:bCs/>
          <w:i/>
          <w:iCs/>
          <w:sz w:val="20"/>
          <w:szCs w:val="20"/>
        </w:rPr>
        <w:t>Keywords.</w:t>
      </w:r>
      <w:r w:rsidRPr="00D0462F">
        <w:rPr>
          <w:rFonts w:ascii="Times New Roman" w:hAnsi="Times New Roman"/>
          <w:i/>
          <w:iCs/>
          <w:sz w:val="20"/>
          <w:szCs w:val="20"/>
        </w:rPr>
        <w:t xml:space="preserve"> </w:t>
      </w:r>
      <w:r w:rsidR="00D0462F">
        <w:rPr>
          <w:rFonts w:ascii="Times New Roman" w:hAnsi="Times New Roman" w:cs="Times New Roman"/>
          <w:i/>
          <w:iCs/>
          <w:lang w:val="en-US"/>
        </w:rPr>
        <w:t>Value Relevance</w:t>
      </w:r>
      <w:r w:rsidR="00D0462F" w:rsidRPr="00D0462F">
        <w:rPr>
          <w:rFonts w:ascii="Times New Roman" w:hAnsi="Times New Roman" w:cs="Times New Roman"/>
          <w:i/>
          <w:iCs/>
          <w:lang w:val="en-US"/>
        </w:rPr>
        <w:t xml:space="preserve">; </w:t>
      </w:r>
      <w:r w:rsidR="00D0462F">
        <w:rPr>
          <w:rFonts w:ascii="Times New Roman" w:hAnsi="Times New Roman" w:cs="Times New Roman"/>
          <w:i/>
          <w:iCs/>
          <w:lang w:val="en-US"/>
        </w:rPr>
        <w:t>Efficient Market Theory</w:t>
      </w:r>
      <w:r w:rsidR="00D0462F" w:rsidRPr="00D0462F">
        <w:rPr>
          <w:rFonts w:ascii="Times New Roman" w:hAnsi="Times New Roman" w:cs="Times New Roman"/>
          <w:i/>
          <w:iCs/>
          <w:lang w:val="en-US"/>
        </w:rPr>
        <w:t xml:space="preserve">; </w:t>
      </w:r>
      <w:r w:rsidR="00D0462F">
        <w:rPr>
          <w:rFonts w:ascii="Times New Roman" w:hAnsi="Times New Roman" w:cs="Times New Roman"/>
          <w:i/>
          <w:iCs/>
          <w:lang w:val="en-US"/>
        </w:rPr>
        <w:t>Leases</w:t>
      </w:r>
      <w:r w:rsidR="00D0462F" w:rsidRPr="00D0462F">
        <w:rPr>
          <w:rFonts w:ascii="Times New Roman" w:hAnsi="Times New Roman" w:cs="Times New Roman"/>
          <w:i/>
          <w:iCs/>
          <w:lang w:val="en-US"/>
        </w:rPr>
        <w:t>; PSAK 73</w:t>
      </w:r>
    </w:p>
    <w:p w14:paraId="2DFAF6F8" w14:textId="24AE55CD" w:rsidR="00FC50E8" w:rsidRPr="00274F26" w:rsidRDefault="00FC50E8" w:rsidP="003E6256">
      <w:pPr>
        <w:jc w:val="both"/>
        <w:rPr>
          <w:rFonts w:ascii="Times New Roman" w:eastAsia="Times New Roman" w:hAnsi="Times New Roman" w:cs="Times New Roman"/>
          <w:b/>
          <w:sz w:val="20"/>
          <w:szCs w:val="20"/>
          <w:highlight w:val="yellow"/>
        </w:rPr>
      </w:pPr>
    </w:p>
    <w:p w14:paraId="4F1E4D3F" w14:textId="77777777" w:rsidR="00F60666" w:rsidRPr="00274F26" w:rsidRDefault="00F60666" w:rsidP="003E6256">
      <w:pPr>
        <w:jc w:val="both"/>
        <w:rPr>
          <w:rFonts w:ascii="Times New Roman" w:eastAsia="Times New Roman" w:hAnsi="Times New Roman" w:cs="Times New Roman"/>
          <w:b/>
          <w:sz w:val="20"/>
          <w:szCs w:val="20"/>
          <w:highlight w:val="yellow"/>
        </w:rPr>
      </w:pPr>
    </w:p>
    <w:p w14:paraId="211661D7" w14:textId="1EF9FA73" w:rsidR="0055436A" w:rsidRPr="00F10596" w:rsidRDefault="00765D9B" w:rsidP="001D1942">
      <w:pPr>
        <w:jc w:val="both"/>
        <w:rPr>
          <w:rFonts w:ascii="Times New Roman" w:hAnsi="Times New Roman" w:cs="Times New Roman"/>
          <w:iCs/>
          <w:lang w:val="en-US"/>
        </w:rPr>
      </w:pPr>
      <w:r w:rsidRPr="001D1942">
        <w:rPr>
          <w:rFonts w:ascii="Times New Roman" w:eastAsia="Times New Roman" w:hAnsi="Times New Roman" w:cs="Times New Roman"/>
          <w:b/>
          <w:sz w:val="20"/>
          <w:szCs w:val="20"/>
        </w:rPr>
        <w:t>Abstrak</w:t>
      </w:r>
      <w:r w:rsidRPr="001D1942">
        <w:rPr>
          <w:rFonts w:ascii="Times New Roman" w:eastAsia="Times New Roman" w:hAnsi="Times New Roman" w:cs="Times New Roman"/>
          <w:sz w:val="20"/>
          <w:szCs w:val="20"/>
        </w:rPr>
        <w:t>.</w:t>
      </w:r>
      <w:r w:rsidR="003E6256" w:rsidRPr="001D1942">
        <w:rPr>
          <w:rFonts w:ascii="Times New Roman" w:hAnsi="Times New Roman"/>
          <w:sz w:val="24"/>
          <w:szCs w:val="24"/>
        </w:rPr>
        <w:t xml:space="preserve"> </w:t>
      </w:r>
      <w:bookmarkStart w:id="2" w:name="_gjdgxs" w:colFirst="0" w:colLast="0"/>
      <w:bookmarkEnd w:id="2"/>
      <w:r w:rsidR="001D1942" w:rsidRPr="001D1942">
        <w:rPr>
          <w:rFonts w:ascii="Times New Roman" w:hAnsi="Times New Roman" w:cs="Times New Roman"/>
          <w:iCs/>
        </w:rPr>
        <w:t xml:space="preserve">Standar dan perlakuan akuntansi sewa adalah standar yang menuai banyak perdebatan. Perlakuan akuntansi sewa dalam </w:t>
      </w:r>
      <w:r w:rsidR="00F10596">
        <w:rPr>
          <w:rFonts w:ascii="Times New Roman" w:hAnsi="Times New Roman" w:cs="Times New Roman"/>
          <w:iCs/>
          <w:lang w:val="en-US"/>
        </w:rPr>
        <w:t>PSAK 30</w:t>
      </w:r>
      <w:r w:rsidR="001D1942" w:rsidRPr="001D1942">
        <w:rPr>
          <w:rFonts w:ascii="Times New Roman" w:hAnsi="Times New Roman" w:cs="Times New Roman"/>
          <w:iCs/>
        </w:rPr>
        <w:t xml:space="preserve"> membuat adanya transaksi </w:t>
      </w:r>
      <w:r w:rsidR="001D1942" w:rsidRPr="00F10596">
        <w:rPr>
          <w:rFonts w:ascii="Times New Roman" w:hAnsi="Times New Roman" w:cs="Times New Roman"/>
          <w:i/>
          <w:iCs/>
        </w:rPr>
        <w:t>off-balance sheet</w:t>
      </w:r>
      <w:r w:rsidR="001D1942" w:rsidRPr="001D1942">
        <w:rPr>
          <w:rFonts w:ascii="Times New Roman" w:hAnsi="Times New Roman" w:cs="Times New Roman"/>
          <w:iCs/>
        </w:rPr>
        <w:t xml:space="preserve"> dimana </w:t>
      </w:r>
      <w:r w:rsidR="001D1942" w:rsidRPr="001D1942">
        <w:rPr>
          <w:rFonts w:ascii="Times New Roman" w:hAnsi="Times New Roman" w:cs="Times New Roman"/>
          <w:iCs/>
          <w:lang w:val="en-US"/>
        </w:rPr>
        <w:t xml:space="preserve">aset </w:t>
      </w:r>
      <w:r w:rsidR="001D1942" w:rsidRPr="001D1942">
        <w:rPr>
          <w:rFonts w:ascii="Times New Roman" w:hAnsi="Times New Roman" w:cs="Times New Roman"/>
          <w:iCs/>
        </w:rPr>
        <w:t>dan liabilitas dari suatu transaksi tidak tercata</w:t>
      </w:r>
      <w:r w:rsidR="00F10596">
        <w:rPr>
          <w:rFonts w:ascii="Times New Roman" w:hAnsi="Times New Roman" w:cs="Times New Roman"/>
          <w:iCs/>
          <w:lang w:val="en-US"/>
        </w:rPr>
        <w:t>t dalam laporan keuangan</w:t>
      </w:r>
      <w:r w:rsidR="001D1942" w:rsidRPr="001D1942">
        <w:rPr>
          <w:rFonts w:ascii="Times New Roman" w:hAnsi="Times New Roman" w:cs="Times New Roman"/>
          <w:iCs/>
        </w:rPr>
        <w:t xml:space="preserve">. </w:t>
      </w:r>
      <w:r w:rsidR="00F10596">
        <w:rPr>
          <w:rFonts w:ascii="Times New Roman" w:hAnsi="Times New Roman" w:cs="Times New Roman"/>
          <w:iCs/>
          <w:lang w:val="en-US"/>
        </w:rPr>
        <w:t>PSAK 73</w:t>
      </w:r>
      <w:r w:rsidR="001D1942" w:rsidRPr="001D1942">
        <w:rPr>
          <w:rFonts w:ascii="Times New Roman" w:hAnsi="Times New Roman" w:cs="Times New Roman"/>
          <w:iCs/>
        </w:rPr>
        <w:t xml:space="preserve"> </w:t>
      </w:r>
      <w:r w:rsidR="00F10596">
        <w:rPr>
          <w:rFonts w:ascii="Times New Roman" w:hAnsi="Times New Roman" w:cs="Times New Roman"/>
          <w:iCs/>
          <w:lang w:val="en-US"/>
        </w:rPr>
        <w:t xml:space="preserve">memperkenalkan model </w:t>
      </w:r>
      <w:r w:rsidR="00F10596" w:rsidRPr="00F10596">
        <w:rPr>
          <w:rFonts w:ascii="Times New Roman" w:hAnsi="Times New Roman" w:cs="Times New Roman"/>
          <w:i/>
          <w:iCs/>
        </w:rPr>
        <w:t>Right-of-Use</w:t>
      </w:r>
      <w:r w:rsidR="00F10596" w:rsidRPr="001D1942">
        <w:rPr>
          <w:rFonts w:ascii="Times New Roman" w:hAnsi="Times New Roman" w:cs="Times New Roman"/>
          <w:iCs/>
        </w:rPr>
        <w:t xml:space="preserve"> </w:t>
      </w:r>
      <w:r w:rsidR="00F10596">
        <w:rPr>
          <w:rFonts w:ascii="Times New Roman" w:hAnsi="Times New Roman" w:cs="Times New Roman"/>
          <w:iCs/>
          <w:lang w:val="en-US"/>
        </w:rPr>
        <w:t xml:space="preserve">yang dapat </w:t>
      </w:r>
      <w:r w:rsidR="001D1942" w:rsidRPr="001D1942">
        <w:rPr>
          <w:rFonts w:ascii="Times New Roman" w:hAnsi="Times New Roman" w:cs="Times New Roman"/>
          <w:iCs/>
        </w:rPr>
        <w:t xml:space="preserve">merefleksikan transaksi sewa dalam laporan keuangan. Hal ini diharapkan akan meningkatkan relevansi laporan keuangan bagi penggunanya. Apakah </w:t>
      </w:r>
      <w:r w:rsidR="00022397">
        <w:rPr>
          <w:rFonts w:ascii="Times New Roman" w:hAnsi="Times New Roman" w:cs="Times New Roman"/>
          <w:iCs/>
          <w:lang w:val="en-US"/>
        </w:rPr>
        <w:t>PSAK 73</w:t>
      </w:r>
      <w:r w:rsidR="001D1942" w:rsidRPr="001D1942">
        <w:rPr>
          <w:rFonts w:ascii="Times New Roman" w:hAnsi="Times New Roman" w:cs="Times New Roman"/>
          <w:iCs/>
        </w:rPr>
        <w:t xml:space="preserve"> benar meningkatkan relevansi laporan keuangan? </w:t>
      </w:r>
      <w:r w:rsidR="00F10596">
        <w:rPr>
          <w:rFonts w:ascii="Times New Roman" w:hAnsi="Times New Roman" w:cs="Times New Roman"/>
          <w:iCs/>
          <w:lang w:val="en-US"/>
        </w:rPr>
        <w:t xml:space="preserve">Penulis </w:t>
      </w:r>
      <w:r w:rsidR="001D1942" w:rsidRPr="001D1942">
        <w:rPr>
          <w:rFonts w:ascii="Times New Roman" w:hAnsi="Times New Roman" w:cs="Times New Roman"/>
          <w:iCs/>
        </w:rPr>
        <w:t xml:space="preserve">menjawab hal tersebut </w:t>
      </w:r>
      <w:r w:rsidR="00F10596">
        <w:rPr>
          <w:rFonts w:ascii="Times New Roman" w:hAnsi="Times New Roman" w:cs="Times New Roman"/>
          <w:iCs/>
          <w:lang w:val="en-US"/>
        </w:rPr>
        <w:t xml:space="preserve">dengan </w:t>
      </w:r>
      <w:r w:rsidR="001D1942" w:rsidRPr="001D1942">
        <w:rPr>
          <w:rFonts w:ascii="Times New Roman" w:hAnsi="Times New Roman" w:cs="Times New Roman"/>
          <w:iCs/>
        </w:rPr>
        <w:t xml:space="preserve">melakukan penelitian empiris </w:t>
      </w:r>
      <w:r w:rsidR="00F10596">
        <w:rPr>
          <w:rFonts w:ascii="Times New Roman" w:hAnsi="Times New Roman" w:cs="Times New Roman"/>
          <w:iCs/>
          <w:lang w:val="en-US"/>
        </w:rPr>
        <w:t>relevansi nilai di pasar modal Indonesia</w:t>
      </w:r>
      <w:r w:rsidR="00022397">
        <w:rPr>
          <w:rFonts w:ascii="Times New Roman" w:hAnsi="Times New Roman" w:cs="Times New Roman"/>
          <w:iCs/>
          <w:lang w:val="en-US"/>
        </w:rPr>
        <w:t xml:space="preserve">, terutama perusahaan konstituen Kompas 100, </w:t>
      </w:r>
      <w:r w:rsidR="001D1942" w:rsidRPr="001D1942">
        <w:rPr>
          <w:rFonts w:ascii="Times New Roman" w:hAnsi="Times New Roman" w:cs="Times New Roman"/>
          <w:iCs/>
        </w:rPr>
        <w:t>menggunakan model Ohlson</w:t>
      </w:r>
      <w:r w:rsidR="00F10596">
        <w:rPr>
          <w:rFonts w:ascii="Times New Roman" w:hAnsi="Times New Roman" w:cs="Times New Roman"/>
          <w:iCs/>
          <w:lang w:val="en-US"/>
        </w:rPr>
        <w:t xml:space="preserve"> (1995)</w:t>
      </w:r>
      <w:r w:rsidR="001D1942" w:rsidRPr="001D1942">
        <w:rPr>
          <w:rFonts w:ascii="Times New Roman" w:hAnsi="Times New Roman" w:cs="Times New Roman"/>
          <w:iCs/>
        </w:rPr>
        <w:t>.</w:t>
      </w:r>
      <w:r w:rsidR="00F10596">
        <w:rPr>
          <w:rFonts w:ascii="Times New Roman" w:hAnsi="Times New Roman" w:cs="Times New Roman"/>
          <w:iCs/>
          <w:lang w:val="en-US"/>
        </w:rPr>
        <w:t xml:space="preserve"> </w:t>
      </w:r>
      <w:r w:rsidR="00ED54BA" w:rsidRPr="00ED54BA">
        <w:rPr>
          <w:rFonts w:ascii="Times New Roman" w:hAnsi="Times New Roman" w:cs="Times New Roman"/>
          <w:iCs/>
          <w:lang w:val="en-US"/>
        </w:rPr>
        <w:t>Penulis menemukan bahwa bertentangan dengan ekspektasi, PSAK 73 tidak serta merta meningkatkan relevansi nilai laporan keuangan bagi penggunany</w:t>
      </w:r>
      <w:r w:rsidR="00C26952">
        <w:rPr>
          <w:rFonts w:ascii="Times New Roman" w:hAnsi="Times New Roman" w:cs="Times New Roman"/>
          <w:iCs/>
          <w:lang w:val="en-US"/>
        </w:rPr>
        <w:t xml:space="preserve">a. Meski begitu, terindikasikan bahwa relevansi nilai PSAK 73 bergantung pada intensitas transaksi sewa bagi bisnis perusahaan. Penulis mendiskusikan temuannya, beserta dengan rekomendasi untuk penelitian selanjutnya. </w:t>
      </w:r>
    </w:p>
    <w:p w14:paraId="43F2AF4B" w14:textId="77777777" w:rsidR="001D1942" w:rsidRPr="00274F26" w:rsidRDefault="001D1942" w:rsidP="001D1942">
      <w:pPr>
        <w:jc w:val="both"/>
        <w:rPr>
          <w:rFonts w:ascii="Times New Roman" w:eastAsia="Times New Roman" w:hAnsi="Times New Roman" w:cs="Times New Roman"/>
          <w:b/>
          <w:color w:val="000000"/>
          <w:sz w:val="20"/>
          <w:szCs w:val="20"/>
          <w:highlight w:val="yellow"/>
        </w:rPr>
      </w:pPr>
    </w:p>
    <w:p w14:paraId="5D94658C" w14:textId="455CBC9E" w:rsidR="00CA01B7" w:rsidRDefault="00765D9B" w:rsidP="00D0462F">
      <w:pPr>
        <w:jc w:val="both"/>
        <w:rPr>
          <w:rFonts w:ascii="Times New Roman" w:hAnsi="Times New Roman" w:cs="Times New Roman"/>
          <w:i/>
          <w:iCs/>
          <w:lang w:val="en-US"/>
        </w:rPr>
      </w:pPr>
      <w:r w:rsidRPr="00D0462F">
        <w:rPr>
          <w:rFonts w:ascii="Times New Roman" w:eastAsia="Times New Roman" w:hAnsi="Times New Roman" w:cs="Times New Roman"/>
          <w:b/>
          <w:color w:val="000000"/>
          <w:sz w:val="20"/>
          <w:szCs w:val="20"/>
        </w:rPr>
        <w:t>Kata kunci</w:t>
      </w:r>
      <w:r w:rsidRPr="00D0462F">
        <w:rPr>
          <w:rFonts w:ascii="Times New Roman" w:eastAsia="Times New Roman" w:hAnsi="Times New Roman" w:cs="Times New Roman"/>
          <w:color w:val="000000"/>
          <w:sz w:val="20"/>
          <w:szCs w:val="20"/>
        </w:rPr>
        <w:t xml:space="preserve">. </w:t>
      </w:r>
      <w:r w:rsidR="00D0462F" w:rsidRPr="00D0462F">
        <w:rPr>
          <w:rFonts w:ascii="Times New Roman" w:hAnsi="Times New Roman" w:cs="Times New Roman"/>
          <w:i/>
          <w:iCs/>
        </w:rPr>
        <w:t>Relevansi Nilai; Teori Pasar Efisien; Sewa; PSAK 73</w:t>
      </w:r>
    </w:p>
    <w:p w14:paraId="2D99C3A4" w14:textId="77777777" w:rsidR="00D0462F" w:rsidRPr="00EA0121" w:rsidRDefault="00D0462F" w:rsidP="00D0462F">
      <w:pPr>
        <w:jc w:val="both"/>
        <w:rPr>
          <w:rFonts w:ascii="Times New Roman" w:eastAsia="Times New Roman" w:hAnsi="Times New Roman" w:cs="Times New Roman"/>
          <w:b/>
          <w:i/>
          <w:color w:val="000000"/>
        </w:rPr>
      </w:pPr>
    </w:p>
    <w:p w14:paraId="1837929A" w14:textId="2EEE1AAE" w:rsidR="000A3D4F" w:rsidRPr="00504D89" w:rsidRDefault="00765D9B" w:rsidP="00FB14B0">
      <w:pPr>
        <w:jc w:val="both"/>
        <w:rPr>
          <w:rFonts w:ascii="Times New Roman" w:eastAsia="Times New Roman" w:hAnsi="Times New Roman" w:cs="Times New Roman"/>
          <w:b/>
          <w:iCs/>
          <w:color w:val="000000"/>
          <w:sz w:val="20"/>
          <w:szCs w:val="20"/>
          <w:highlight w:val="yellow"/>
          <w:lang w:val="en-US"/>
        </w:rPr>
      </w:pPr>
      <w:r w:rsidRPr="00D0462F">
        <w:rPr>
          <w:rFonts w:ascii="Times New Roman" w:eastAsia="Times New Roman" w:hAnsi="Times New Roman" w:cs="Times New Roman"/>
          <w:b/>
          <w:i/>
          <w:color w:val="000000"/>
          <w:sz w:val="20"/>
          <w:szCs w:val="20"/>
          <w:highlight w:val="yellow"/>
        </w:rPr>
        <w:t>History of article.</w:t>
      </w:r>
      <w:r w:rsidRPr="00D0462F">
        <w:rPr>
          <w:rFonts w:ascii="Times New Roman" w:eastAsia="Times New Roman" w:hAnsi="Times New Roman" w:cs="Times New Roman"/>
          <w:color w:val="000000"/>
          <w:sz w:val="20"/>
          <w:szCs w:val="20"/>
          <w:highlight w:val="yellow"/>
        </w:rPr>
        <w:t xml:space="preserve"> Received: </w:t>
      </w:r>
      <w:r w:rsidR="0055436A" w:rsidRPr="00D0462F">
        <w:rPr>
          <w:rFonts w:ascii="Times New Roman" w:eastAsia="Times New Roman" w:hAnsi="Times New Roman" w:cs="Times New Roman"/>
          <w:color w:val="000000"/>
          <w:sz w:val="20"/>
          <w:szCs w:val="20"/>
          <w:highlight w:val="yellow"/>
        </w:rPr>
        <w:t xml:space="preserve">April </w:t>
      </w:r>
      <w:r w:rsidRPr="00D0462F">
        <w:rPr>
          <w:rFonts w:ascii="Times New Roman" w:eastAsia="Times New Roman" w:hAnsi="Times New Roman" w:cs="Times New Roman"/>
          <w:color w:val="000000"/>
          <w:sz w:val="20"/>
          <w:szCs w:val="20"/>
          <w:highlight w:val="yellow"/>
        </w:rPr>
        <w:t>20</w:t>
      </w:r>
      <w:r w:rsidR="00D0462F" w:rsidRPr="00D0462F">
        <w:rPr>
          <w:rFonts w:ascii="Times New Roman" w:eastAsia="Times New Roman" w:hAnsi="Times New Roman" w:cs="Times New Roman"/>
          <w:color w:val="000000"/>
          <w:sz w:val="20"/>
          <w:szCs w:val="20"/>
          <w:highlight w:val="yellow"/>
          <w:lang w:val="en-US"/>
        </w:rPr>
        <w:t>21</w:t>
      </w:r>
      <w:r w:rsidRPr="00D0462F">
        <w:rPr>
          <w:rFonts w:ascii="Times New Roman" w:eastAsia="Times New Roman" w:hAnsi="Times New Roman" w:cs="Times New Roman"/>
          <w:color w:val="000000"/>
          <w:sz w:val="20"/>
          <w:szCs w:val="20"/>
          <w:highlight w:val="yellow"/>
        </w:rPr>
        <w:t xml:space="preserve">, Revision: </w:t>
      </w:r>
      <w:r w:rsidR="00504D89">
        <w:rPr>
          <w:rFonts w:ascii="Times New Roman" w:eastAsia="Times New Roman" w:hAnsi="Times New Roman" w:cs="Times New Roman"/>
          <w:color w:val="000000"/>
          <w:sz w:val="20"/>
          <w:szCs w:val="20"/>
          <w:highlight w:val="yellow"/>
          <w:lang w:val="en-US"/>
        </w:rPr>
        <w:t>May</w:t>
      </w:r>
      <w:r w:rsidR="00D0462F" w:rsidRPr="00D0462F">
        <w:rPr>
          <w:rFonts w:ascii="Times New Roman" w:eastAsia="Times New Roman" w:hAnsi="Times New Roman" w:cs="Times New Roman"/>
          <w:color w:val="000000"/>
          <w:sz w:val="20"/>
          <w:szCs w:val="20"/>
          <w:highlight w:val="yellow"/>
          <w:lang w:val="en-US"/>
        </w:rPr>
        <w:t xml:space="preserve"> 2021</w:t>
      </w:r>
      <w:r w:rsidRPr="00D0462F">
        <w:rPr>
          <w:rFonts w:ascii="Times New Roman" w:eastAsia="Times New Roman" w:hAnsi="Times New Roman" w:cs="Times New Roman"/>
          <w:color w:val="000000"/>
          <w:sz w:val="20"/>
          <w:szCs w:val="20"/>
          <w:highlight w:val="yellow"/>
        </w:rPr>
        <w:t xml:space="preserve">, Published: </w:t>
      </w:r>
      <w:r w:rsidR="00504D89">
        <w:rPr>
          <w:rFonts w:ascii="Times New Roman" w:eastAsia="Times New Roman" w:hAnsi="Times New Roman" w:cs="Times New Roman"/>
          <w:color w:val="000000"/>
          <w:sz w:val="20"/>
          <w:szCs w:val="20"/>
          <w:highlight w:val="yellow"/>
          <w:lang w:val="en-US"/>
        </w:rPr>
        <w:t>April 2020</w:t>
      </w:r>
    </w:p>
    <w:p w14:paraId="26FFCE20" w14:textId="42C850B6" w:rsidR="000A3D4F" w:rsidRPr="00D0462F" w:rsidRDefault="00765D9B" w:rsidP="004563FF">
      <w:pPr>
        <w:jc w:val="both"/>
        <w:rPr>
          <w:rFonts w:ascii="Times New Roman" w:eastAsia="Times New Roman" w:hAnsi="Times New Roman" w:cs="Times New Roman"/>
          <w:sz w:val="18"/>
          <w:szCs w:val="18"/>
          <w:highlight w:val="yellow"/>
        </w:rPr>
      </w:pPr>
      <w:r w:rsidRPr="00D0462F">
        <w:rPr>
          <w:rFonts w:ascii="Times New Roman" w:eastAsia="Times New Roman" w:hAnsi="Times New Roman" w:cs="Times New Roman"/>
          <w:color w:val="000000"/>
          <w:sz w:val="20"/>
          <w:szCs w:val="20"/>
          <w:highlight w:val="yellow"/>
        </w:rPr>
        <w:t>Online ISSN: 2541-061X.Print ISSN: 2338-1507. DOI:</w:t>
      </w:r>
      <w:r w:rsidR="0055436A" w:rsidRPr="00D0462F">
        <w:rPr>
          <w:rFonts w:ascii="Times New Roman" w:eastAsia="Times New Roman" w:hAnsi="Times New Roman" w:cs="Times New Roman"/>
          <w:color w:val="000000"/>
          <w:sz w:val="20"/>
          <w:szCs w:val="20"/>
          <w:highlight w:val="yellow"/>
        </w:rPr>
        <w:t xml:space="preserve"> </w:t>
      </w:r>
      <w:hyperlink r:id="rId8" w:history="1">
        <w:r w:rsidR="0055436A" w:rsidRPr="00D0462F">
          <w:rPr>
            <w:rStyle w:val="Hyperlink"/>
            <w:rFonts w:ascii="Times New Roman" w:hAnsi="Times New Roman" w:cs="Times New Roman"/>
            <w:color w:val="auto"/>
            <w:sz w:val="20"/>
            <w:szCs w:val="20"/>
            <w:highlight w:val="yellow"/>
            <w:u w:val="none"/>
          </w:rPr>
          <w:t>10.17509/jrak.v7i2.17239</w:t>
        </w:r>
      </w:hyperlink>
    </w:p>
    <w:p w14:paraId="3E937399" w14:textId="6B90EC23" w:rsidR="000A3D4F" w:rsidRPr="00EA0121" w:rsidRDefault="00765D9B" w:rsidP="00E834EA">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D0462F">
        <w:rPr>
          <w:rFonts w:ascii="Times New Roman" w:eastAsia="Times New Roman" w:hAnsi="Times New Roman" w:cs="Times New Roman"/>
          <w:color w:val="000000"/>
          <w:sz w:val="20"/>
          <w:szCs w:val="20"/>
          <w:highlight w:val="yellow"/>
        </w:rPr>
        <w:t>Copyright©20</w:t>
      </w:r>
      <w:r w:rsidR="00D0462F" w:rsidRPr="00D0462F">
        <w:rPr>
          <w:rFonts w:ascii="Times New Roman" w:eastAsia="Times New Roman" w:hAnsi="Times New Roman" w:cs="Times New Roman"/>
          <w:color w:val="000000"/>
          <w:sz w:val="20"/>
          <w:szCs w:val="20"/>
          <w:highlight w:val="yellow"/>
          <w:lang w:val="en-US"/>
        </w:rPr>
        <w:t>2</w:t>
      </w:r>
      <w:r w:rsidR="00D721FC">
        <w:rPr>
          <w:rFonts w:ascii="Times New Roman" w:eastAsia="Times New Roman" w:hAnsi="Times New Roman" w:cs="Times New Roman"/>
          <w:color w:val="000000"/>
          <w:sz w:val="20"/>
          <w:szCs w:val="20"/>
          <w:highlight w:val="yellow"/>
          <w:lang w:val="en-US"/>
        </w:rPr>
        <w:t>2</w:t>
      </w:r>
      <w:r w:rsidRPr="00D0462F">
        <w:rPr>
          <w:rFonts w:ascii="Times New Roman" w:eastAsia="Times New Roman" w:hAnsi="Times New Roman" w:cs="Times New Roman"/>
          <w:color w:val="000000"/>
          <w:sz w:val="20"/>
          <w:szCs w:val="20"/>
          <w:highlight w:val="yellow"/>
        </w:rPr>
        <w:t>. Published by Jurnal Riset Akuntansi dan Keuangan. Pro</w:t>
      </w:r>
      <w:bookmarkStart w:id="3" w:name="_GoBack"/>
      <w:bookmarkEnd w:id="3"/>
      <w:r w:rsidRPr="00D0462F">
        <w:rPr>
          <w:rFonts w:ascii="Times New Roman" w:eastAsia="Times New Roman" w:hAnsi="Times New Roman" w:cs="Times New Roman"/>
          <w:color w:val="000000"/>
          <w:sz w:val="20"/>
          <w:szCs w:val="20"/>
          <w:highlight w:val="yellow"/>
        </w:rPr>
        <w:t>gram Studi Akuntansi. FPEB. UPI</w:t>
      </w:r>
    </w:p>
    <w:p w14:paraId="39C6837B" w14:textId="77777777" w:rsidR="000A3D4F" w:rsidRPr="00EA0121" w:rsidRDefault="000A3D4F" w:rsidP="004563FF">
      <w:pPr>
        <w:ind w:firstLine="567"/>
        <w:jc w:val="both"/>
        <w:rPr>
          <w:rFonts w:ascii="Times New Roman" w:eastAsia="Times New Roman" w:hAnsi="Times New Roman" w:cs="Times New Roman"/>
          <w:b/>
          <w:sz w:val="24"/>
          <w:szCs w:val="24"/>
        </w:rPr>
      </w:pPr>
    </w:p>
    <w:p w14:paraId="0FAEE9CB" w14:textId="77777777" w:rsidR="000A3D4F" w:rsidRPr="00EA0121" w:rsidRDefault="000A3D4F" w:rsidP="004563FF">
      <w:pPr>
        <w:jc w:val="both"/>
        <w:rPr>
          <w:rFonts w:ascii="Times New Roman" w:eastAsia="Times New Roman" w:hAnsi="Times New Roman" w:cs="Times New Roman"/>
          <w:b/>
          <w:sz w:val="24"/>
          <w:szCs w:val="24"/>
        </w:rPr>
        <w:sectPr w:rsidR="000A3D4F" w:rsidRPr="00EA0121" w:rsidSect="00185525">
          <w:headerReference w:type="even" r:id="rId9"/>
          <w:headerReference w:type="default" r:id="rId10"/>
          <w:footerReference w:type="even" r:id="rId11"/>
          <w:footerReference w:type="default" r:id="rId12"/>
          <w:headerReference w:type="first" r:id="rId13"/>
          <w:footerReference w:type="first" r:id="rId14"/>
          <w:pgSz w:w="11906" w:h="16838"/>
          <w:pgMar w:top="1418" w:right="1276" w:bottom="1418" w:left="1276" w:header="709" w:footer="709" w:gutter="0"/>
          <w:pgNumType w:start="203"/>
          <w:cols w:space="720"/>
        </w:sectPr>
      </w:pPr>
    </w:p>
    <w:p w14:paraId="4630768A" w14:textId="77777777" w:rsidR="008B5449" w:rsidRPr="00EA0121" w:rsidRDefault="008B5449" w:rsidP="004563FF">
      <w:pPr>
        <w:jc w:val="both"/>
        <w:rPr>
          <w:rFonts w:ascii="Times New Roman" w:eastAsia="Times New Roman" w:hAnsi="Times New Roman" w:cs="Times New Roman"/>
          <w:b/>
          <w:sz w:val="24"/>
          <w:szCs w:val="24"/>
        </w:rPr>
        <w:sectPr w:rsidR="008B5449" w:rsidRPr="00EA0121" w:rsidSect="002E7FBB">
          <w:type w:val="continuous"/>
          <w:pgSz w:w="11906" w:h="16838"/>
          <w:pgMar w:top="1418" w:right="1276" w:bottom="1418" w:left="1276" w:header="709" w:footer="709" w:gutter="0"/>
          <w:cols w:space="432"/>
        </w:sectPr>
      </w:pPr>
    </w:p>
    <w:p w14:paraId="444BB7A2" w14:textId="5BBDD9BE" w:rsidR="000A3D4F" w:rsidRDefault="00765D9B" w:rsidP="004563FF">
      <w:pPr>
        <w:jc w:val="both"/>
        <w:rPr>
          <w:rFonts w:ascii="Times New Roman" w:eastAsia="Times New Roman" w:hAnsi="Times New Roman" w:cs="Times New Roman"/>
          <w:b/>
          <w:sz w:val="24"/>
          <w:szCs w:val="24"/>
        </w:rPr>
      </w:pPr>
      <w:r w:rsidRPr="00EA0121">
        <w:rPr>
          <w:rFonts w:ascii="Times New Roman" w:eastAsia="Times New Roman" w:hAnsi="Times New Roman" w:cs="Times New Roman"/>
          <w:b/>
          <w:sz w:val="24"/>
          <w:szCs w:val="24"/>
        </w:rPr>
        <w:t>PENDAHULUAN</w:t>
      </w:r>
    </w:p>
    <w:p w14:paraId="1D5726D1" w14:textId="3378DCC5" w:rsidR="00645C4F" w:rsidRDefault="00645C4F" w:rsidP="004563FF">
      <w:pPr>
        <w:jc w:val="both"/>
        <w:rPr>
          <w:rFonts w:ascii="Times New Roman" w:eastAsia="Times New Roman" w:hAnsi="Times New Roman" w:cs="Times New Roman"/>
          <w:b/>
          <w:sz w:val="24"/>
          <w:szCs w:val="24"/>
        </w:rPr>
      </w:pPr>
    </w:p>
    <w:p w14:paraId="3EBA37ED" w14:textId="4FB56749" w:rsidR="00645C4F" w:rsidRPr="00EA0121" w:rsidRDefault="00645C4F" w:rsidP="004563FF">
      <w:pPr>
        <w:jc w:val="both"/>
        <w:rPr>
          <w:rFonts w:ascii="Times New Roman" w:eastAsia="Times New Roman" w:hAnsi="Times New Roman" w:cs="Times New Roman"/>
          <w:b/>
          <w:sz w:val="24"/>
          <w:szCs w:val="24"/>
        </w:rPr>
      </w:pPr>
      <w:r>
        <w:rPr>
          <w:rFonts w:ascii="Times New Roman" w:hAnsi="Times New Roman" w:cs="Times New Roman"/>
          <w:b/>
          <w:sz w:val="24"/>
          <w:szCs w:val="24"/>
          <w:lang w:val="en-US"/>
        </w:rPr>
        <w:t>Latar Belakang</w:t>
      </w:r>
    </w:p>
    <w:p w14:paraId="6E8D464B" w14:textId="59B1302C" w:rsidR="00697445" w:rsidRPr="009A0601" w:rsidRDefault="00FB630C" w:rsidP="00FB630C">
      <w:pPr>
        <w:pBdr>
          <w:top w:val="nil"/>
          <w:left w:val="nil"/>
          <w:bottom w:val="nil"/>
          <w:right w:val="nil"/>
          <w:between w:val="nil"/>
        </w:pBdr>
        <w:jc w:val="both"/>
        <w:rPr>
          <w:rFonts w:ascii="Times New Roman" w:hAnsi="Times New Roman" w:cs="Times New Roman"/>
          <w:bCs/>
          <w:iCs/>
          <w:color w:val="000000"/>
          <w:sz w:val="24"/>
          <w:szCs w:val="24"/>
          <w:lang w:val="en-US"/>
        </w:rPr>
      </w:pPr>
      <w:r w:rsidRPr="009A0601">
        <w:rPr>
          <w:rFonts w:ascii="Times New Roman" w:hAnsi="Times New Roman" w:cs="Times New Roman"/>
          <w:bCs/>
          <w:iCs/>
          <w:color w:val="000000"/>
          <w:sz w:val="24"/>
          <w:szCs w:val="24"/>
        </w:rPr>
        <w:t xml:space="preserve">Ada satu perkataan yang diatribusikan kepada Aristotle berbunyi “Harta tidak terletak pada kepemilikan, namun terletak pada penggunaan barang tersebut”. Sepertinya saat ini banyak pelaku bisnis yang setuju dengan Aristotle, dengan bertambah maraknya opsi sewa baik itu sewa operasi atau sewa pembiayaan. Dapat terlihat dari volume penyewaan global yang cukup besar. </w:t>
      </w:r>
      <w:r w:rsidR="004B1E1B">
        <w:rPr>
          <w:rFonts w:ascii="Times New Roman" w:hAnsi="Times New Roman" w:cs="Times New Roman"/>
          <w:bCs/>
          <w:iCs/>
          <w:color w:val="000000"/>
          <w:sz w:val="24"/>
          <w:szCs w:val="24"/>
          <w:lang w:val="en-US"/>
        </w:rPr>
        <w:t xml:space="preserve">Publikasi Statista </w:t>
      </w:r>
      <w:r w:rsidR="004B1E1B">
        <w:rPr>
          <w:rFonts w:ascii="Times New Roman" w:hAnsi="Times New Roman" w:cs="Times New Roman"/>
          <w:bCs/>
          <w:iCs/>
          <w:color w:val="000000"/>
          <w:sz w:val="24"/>
          <w:szCs w:val="24"/>
        </w:rPr>
        <w:fldChar w:fldCharType="begin" w:fldLock="1"/>
      </w:r>
      <w:r w:rsidR="004B1E1B">
        <w:rPr>
          <w:rFonts w:ascii="Times New Roman" w:hAnsi="Times New Roman" w:cs="Times New Roman"/>
          <w:bCs/>
          <w:iCs/>
          <w:color w:val="000000"/>
          <w:sz w:val="24"/>
          <w:szCs w:val="24"/>
        </w:rPr>
        <w:instrText>ADDIN CSL_CITATION {"citationItems":[{"id":"ITEM-1","itemData":{"URL":"https://www.statista.com/statistics/607386/leasing-volume-by-country/","author":[{"dropping-particle":"","family":"Best","given":"Raynor","non-dropping-particle":"de","parse-names":false,"suffix":""}],"container-title":"Statista","id":"ITEM-1","issued":{"date-parts":[["2021"]]},"page":"1","title":"Volume of leasing in selected countries worldwide in 2017","type":"webpage"},"uris":["http://www.mendeley.com/documents/?uuid=ea9e9a63-a7a9-4e55-a3a9-794b0a3b5807"]}],"mendeley":{"formattedCitation":"(de Best, 2021)","plainTextFormattedCitation":"(de Best, 2021)","previouslyFormattedCitation":"(de Best, 2021)"},"properties":{"noteIndex":0},"schema":"https://github.com/citation-style-language/schema/raw/master/csl-citation.json"}</w:instrText>
      </w:r>
      <w:r w:rsidR="004B1E1B">
        <w:rPr>
          <w:rFonts w:ascii="Times New Roman" w:hAnsi="Times New Roman" w:cs="Times New Roman"/>
          <w:bCs/>
          <w:iCs/>
          <w:color w:val="000000"/>
          <w:sz w:val="24"/>
          <w:szCs w:val="24"/>
        </w:rPr>
        <w:fldChar w:fldCharType="separate"/>
      </w:r>
      <w:r w:rsidR="004B1E1B" w:rsidRPr="004B1E1B">
        <w:rPr>
          <w:rFonts w:ascii="Times New Roman" w:hAnsi="Times New Roman" w:cs="Times New Roman"/>
          <w:bCs/>
          <w:iCs/>
          <w:noProof/>
          <w:color w:val="000000"/>
          <w:sz w:val="24"/>
          <w:szCs w:val="24"/>
        </w:rPr>
        <w:t>(de Best, 2021)</w:t>
      </w:r>
      <w:r w:rsidR="004B1E1B">
        <w:rPr>
          <w:rFonts w:ascii="Times New Roman" w:hAnsi="Times New Roman" w:cs="Times New Roman"/>
          <w:bCs/>
          <w:iCs/>
          <w:color w:val="000000"/>
          <w:sz w:val="24"/>
          <w:szCs w:val="24"/>
        </w:rPr>
        <w:fldChar w:fldCharType="end"/>
      </w:r>
      <w:r w:rsidRPr="009A0601">
        <w:rPr>
          <w:rFonts w:ascii="Times New Roman" w:hAnsi="Times New Roman" w:cs="Times New Roman"/>
          <w:bCs/>
          <w:iCs/>
          <w:color w:val="000000"/>
          <w:sz w:val="24"/>
          <w:szCs w:val="24"/>
        </w:rPr>
        <w:t xml:space="preserve"> melakukan survey volume sewa di tahun 2017 </w:t>
      </w:r>
      <w:r w:rsidRPr="009A0601">
        <w:rPr>
          <w:rFonts w:ascii="Times New Roman" w:hAnsi="Times New Roman" w:cs="Times New Roman"/>
          <w:bCs/>
          <w:iCs/>
          <w:color w:val="000000"/>
          <w:sz w:val="24"/>
          <w:szCs w:val="24"/>
        </w:rPr>
        <w:t>dan menemukan bahwa nilai volume leasing di 10 negara dengan penyewaan terbesar adalah USD 1.07 Trilliun..</w:t>
      </w:r>
    </w:p>
    <w:p w14:paraId="149C32EF" w14:textId="46789112" w:rsidR="00FB630C" w:rsidRPr="009A0601" w:rsidRDefault="00FB630C" w:rsidP="00697445">
      <w:pPr>
        <w:pBdr>
          <w:top w:val="nil"/>
          <w:left w:val="nil"/>
          <w:bottom w:val="nil"/>
          <w:right w:val="nil"/>
          <w:between w:val="nil"/>
        </w:pBdr>
        <w:ind w:firstLine="425"/>
        <w:jc w:val="both"/>
        <w:rPr>
          <w:rFonts w:ascii="Times New Roman" w:hAnsi="Times New Roman" w:cs="Times New Roman"/>
          <w:bCs/>
          <w:iCs/>
          <w:color w:val="000000"/>
          <w:sz w:val="24"/>
          <w:szCs w:val="24"/>
          <w:lang w:val="en-US"/>
        </w:rPr>
      </w:pPr>
      <w:r w:rsidRPr="009A0601">
        <w:rPr>
          <w:rFonts w:ascii="Times New Roman" w:hAnsi="Times New Roman" w:cs="Times New Roman"/>
          <w:bCs/>
          <w:iCs/>
          <w:color w:val="000000"/>
          <w:sz w:val="24"/>
          <w:szCs w:val="24"/>
        </w:rPr>
        <w:t>Sewa sendiri dapat dibagi menjadi dua bagian, yakni sewa pembiayaan dan sewa operasi. Perbedaan signifikan adalah titel kepemilikan aset, nilai residu dan tanggung jawab biaya perawatan. Sewa pembiayaan pada umumnya memberikan penyewa (</w:t>
      </w:r>
      <w:r w:rsidRPr="004B1E1B">
        <w:rPr>
          <w:rFonts w:ascii="Times New Roman" w:hAnsi="Times New Roman" w:cs="Times New Roman"/>
          <w:bCs/>
          <w:i/>
          <w:iCs/>
          <w:color w:val="000000"/>
          <w:sz w:val="24"/>
          <w:szCs w:val="24"/>
        </w:rPr>
        <w:t>lessee</w:t>
      </w:r>
      <w:r w:rsidRPr="009A0601">
        <w:rPr>
          <w:rFonts w:ascii="Times New Roman" w:hAnsi="Times New Roman" w:cs="Times New Roman"/>
          <w:bCs/>
          <w:iCs/>
          <w:color w:val="000000"/>
          <w:sz w:val="24"/>
          <w:szCs w:val="24"/>
        </w:rPr>
        <w:t>) hal-hal tersebut berikut dengan hak guna. Sewa operasi hanya memberikan hak guna, sementara pemberi sewa (</w:t>
      </w:r>
      <w:r w:rsidRPr="004B1E1B">
        <w:rPr>
          <w:rFonts w:ascii="Times New Roman" w:hAnsi="Times New Roman" w:cs="Times New Roman"/>
          <w:bCs/>
          <w:i/>
          <w:iCs/>
          <w:color w:val="000000"/>
          <w:sz w:val="24"/>
          <w:szCs w:val="24"/>
        </w:rPr>
        <w:t>lessor</w:t>
      </w:r>
      <w:r w:rsidRPr="009A0601">
        <w:rPr>
          <w:rFonts w:ascii="Times New Roman" w:hAnsi="Times New Roman" w:cs="Times New Roman"/>
          <w:bCs/>
          <w:iCs/>
          <w:color w:val="000000"/>
          <w:sz w:val="24"/>
          <w:szCs w:val="24"/>
        </w:rPr>
        <w:t xml:space="preserve">) masih memegang hal-hal tersebut. Perlakuan </w:t>
      </w:r>
      <w:r w:rsidRPr="009A0601">
        <w:rPr>
          <w:rFonts w:ascii="Times New Roman" w:hAnsi="Times New Roman" w:cs="Times New Roman"/>
          <w:bCs/>
          <w:iCs/>
          <w:color w:val="000000"/>
          <w:sz w:val="24"/>
          <w:szCs w:val="24"/>
        </w:rPr>
        <w:lastRenderedPageBreak/>
        <w:t>akuntansi dari kedua jenis sewa ini juga sedikit berbeda, dan hal ini</w:t>
      </w:r>
      <w:r w:rsidR="004B1E1B">
        <w:rPr>
          <w:rFonts w:ascii="Times New Roman" w:hAnsi="Times New Roman" w:cs="Times New Roman"/>
          <w:bCs/>
          <w:iCs/>
          <w:color w:val="000000"/>
          <w:sz w:val="24"/>
          <w:szCs w:val="24"/>
          <w:lang w:val="en-US"/>
        </w:rPr>
        <w:t xml:space="preserve"> yang</w:t>
      </w:r>
      <w:r w:rsidRPr="009A0601">
        <w:rPr>
          <w:rFonts w:ascii="Times New Roman" w:hAnsi="Times New Roman" w:cs="Times New Roman"/>
          <w:bCs/>
          <w:iCs/>
          <w:color w:val="000000"/>
          <w:sz w:val="24"/>
          <w:szCs w:val="24"/>
        </w:rPr>
        <w:t xml:space="preserve"> menjadi perdebatan panjang dari penyusun standar akuntansi.</w:t>
      </w:r>
      <w:r w:rsidR="009A0601" w:rsidRPr="009A0601">
        <w:rPr>
          <w:rFonts w:ascii="Times New Roman" w:hAnsi="Times New Roman" w:cs="Times New Roman"/>
          <w:bCs/>
          <w:iCs/>
          <w:color w:val="000000"/>
          <w:sz w:val="24"/>
          <w:szCs w:val="24"/>
          <w:lang w:val="en-US"/>
        </w:rPr>
        <w:t xml:space="preserve"> </w:t>
      </w:r>
    </w:p>
    <w:p w14:paraId="1A54EB69" w14:textId="1F75CA6B" w:rsidR="00FB630C" w:rsidRPr="009A0601" w:rsidRDefault="00FB630C" w:rsidP="00697445">
      <w:pPr>
        <w:pBdr>
          <w:top w:val="nil"/>
          <w:left w:val="nil"/>
          <w:bottom w:val="nil"/>
          <w:right w:val="nil"/>
          <w:between w:val="nil"/>
        </w:pBdr>
        <w:ind w:firstLine="425"/>
        <w:jc w:val="both"/>
        <w:rPr>
          <w:rFonts w:ascii="Times New Roman" w:hAnsi="Times New Roman" w:cs="Times New Roman"/>
          <w:bCs/>
          <w:iCs/>
          <w:color w:val="000000"/>
          <w:sz w:val="24"/>
          <w:szCs w:val="24"/>
        </w:rPr>
      </w:pPr>
      <w:r w:rsidRPr="009A0601">
        <w:rPr>
          <w:rFonts w:ascii="Times New Roman" w:hAnsi="Times New Roman" w:cs="Times New Roman"/>
          <w:bCs/>
          <w:iCs/>
          <w:color w:val="000000"/>
          <w:sz w:val="24"/>
          <w:szCs w:val="24"/>
        </w:rPr>
        <w:t xml:space="preserve">Standar akuntansi sewa, adalah </w:t>
      </w:r>
      <w:r w:rsidR="009A0601" w:rsidRPr="009A0601">
        <w:rPr>
          <w:rFonts w:ascii="Times New Roman" w:hAnsi="Times New Roman" w:cs="Times New Roman"/>
          <w:bCs/>
          <w:iCs/>
          <w:color w:val="000000"/>
          <w:sz w:val="24"/>
          <w:szCs w:val="24"/>
          <w:lang w:val="en-US"/>
        </w:rPr>
        <w:t>PSAK 30</w:t>
      </w:r>
      <w:r w:rsidRPr="009A0601">
        <w:rPr>
          <w:rFonts w:ascii="Times New Roman" w:hAnsi="Times New Roman" w:cs="Times New Roman"/>
          <w:bCs/>
          <w:iCs/>
          <w:color w:val="000000"/>
          <w:sz w:val="24"/>
          <w:szCs w:val="24"/>
        </w:rPr>
        <w:t xml:space="preserve"> dan </w:t>
      </w:r>
      <w:r w:rsidR="009A0601" w:rsidRPr="009A0601">
        <w:rPr>
          <w:rFonts w:ascii="Times New Roman" w:hAnsi="Times New Roman" w:cs="Times New Roman"/>
          <w:bCs/>
          <w:iCs/>
          <w:color w:val="000000"/>
          <w:sz w:val="24"/>
          <w:szCs w:val="24"/>
          <w:lang w:val="en-US"/>
        </w:rPr>
        <w:t>PSAK 73</w:t>
      </w:r>
      <w:r w:rsidR="00761F30">
        <w:rPr>
          <w:rFonts w:ascii="Times New Roman" w:hAnsi="Times New Roman" w:cs="Times New Roman"/>
          <w:bCs/>
          <w:iCs/>
          <w:color w:val="000000"/>
          <w:sz w:val="24"/>
          <w:szCs w:val="24"/>
          <w:lang w:val="en-US"/>
        </w:rPr>
        <w:t xml:space="preserve"> (IFRS 16)</w:t>
      </w:r>
      <w:r w:rsidRPr="009A0601">
        <w:rPr>
          <w:rFonts w:ascii="Times New Roman" w:hAnsi="Times New Roman" w:cs="Times New Roman"/>
          <w:bCs/>
          <w:iCs/>
          <w:color w:val="000000"/>
          <w:sz w:val="24"/>
          <w:szCs w:val="24"/>
        </w:rPr>
        <w:t xml:space="preserve">. PSAK 73 </w:t>
      </w:r>
      <w:r w:rsidR="009A0601" w:rsidRPr="009A0601">
        <w:rPr>
          <w:rFonts w:ascii="Times New Roman" w:hAnsi="Times New Roman" w:cs="Times New Roman"/>
          <w:bCs/>
          <w:iCs/>
          <w:color w:val="000000"/>
          <w:sz w:val="24"/>
          <w:szCs w:val="24"/>
          <w:lang w:val="en-US"/>
        </w:rPr>
        <w:t xml:space="preserve">merupakan standar akuntansi sewa baru yang </w:t>
      </w:r>
      <w:r w:rsidRPr="009A0601">
        <w:rPr>
          <w:rFonts w:ascii="Times New Roman" w:hAnsi="Times New Roman" w:cs="Times New Roman"/>
          <w:bCs/>
          <w:iCs/>
          <w:color w:val="000000"/>
          <w:sz w:val="24"/>
          <w:szCs w:val="24"/>
        </w:rPr>
        <w:t xml:space="preserve">menggantikan beberapa standar yakni </w:t>
      </w:r>
      <w:r w:rsidR="00B121E7">
        <w:rPr>
          <w:rFonts w:ascii="Times New Roman" w:hAnsi="Times New Roman" w:cs="Times New Roman"/>
          <w:bCs/>
          <w:iCs/>
          <w:color w:val="000000"/>
          <w:sz w:val="24"/>
          <w:szCs w:val="24"/>
        </w:rPr>
        <w:br/>
      </w:r>
      <w:r w:rsidRPr="009A0601">
        <w:rPr>
          <w:rFonts w:ascii="Times New Roman" w:hAnsi="Times New Roman" w:cs="Times New Roman"/>
          <w:bCs/>
          <w:iCs/>
          <w:color w:val="000000"/>
          <w:sz w:val="24"/>
          <w:szCs w:val="24"/>
        </w:rPr>
        <w:t>PSAK 30</w:t>
      </w:r>
      <w:r w:rsidR="009A0601" w:rsidRPr="009A0601">
        <w:rPr>
          <w:rFonts w:ascii="Times New Roman" w:hAnsi="Times New Roman" w:cs="Times New Roman"/>
          <w:bCs/>
          <w:iCs/>
          <w:color w:val="000000"/>
          <w:sz w:val="24"/>
          <w:szCs w:val="24"/>
          <w:lang w:val="en-US"/>
        </w:rPr>
        <w:t xml:space="preserve">, </w:t>
      </w:r>
      <w:r w:rsidRPr="009A0601">
        <w:rPr>
          <w:rFonts w:ascii="Times New Roman" w:hAnsi="Times New Roman" w:cs="Times New Roman"/>
          <w:bCs/>
          <w:iCs/>
          <w:color w:val="000000"/>
          <w:sz w:val="24"/>
          <w:szCs w:val="24"/>
        </w:rPr>
        <w:t>ISAK 8, ISAK 23</w:t>
      </w:r>
      <w:r w:rsidR="009A0601" w:rsidRPr="009A0601">
        <w:rPr>
          <w:rFonts w:ascii="Times New Roman" w:hAnsi="Times New Roman" w:cs="Times New Roman"/>
          <w:bCs/>
          <w:iCs/>
          <w:color w:val="000000"/>
          <w:sz w:val="24"/>
          <w:szCs w:val="24"/>
          <w:lang w:val="en-US"/>
        </w:rPr>
        <w:t xml:space="preserve">, </w:t>
      </w:r>
      <w:r w:rsidRPr="009A0601">
        <w:rPr>
          <w:rFonts w:ascii="Times New Roman" w:hAnsi="Times New Roman" w:cs="Times New Roman"/>
          <w:bCs/>
          <w:iCs/>
          <w:color w:val="000000"/>
          <w:sz w:val="24"/>
          <w:szCs w:val="24"/>
        </w:rPr>
        <w:t xml:space="preserve">ISAK 24, dan ISAK 25. Hal ini diterapkan untuk laporan keuangan </w:t>
      </w:r>
      <w:r w:rsidR="009A0601" w:rsidRPr="009A0601">
        <w:rPr>
          <w:rFonts w:ascii="Times New Roman" w:hAnsi="Times New Roman" w:cs="Times New Roman"/>
          <w:bCs/>
          <w:iCs/>
          <w:color w:val="000000"/>
          <w:sz w:val="24"/>
          <w:szCs w:val="24"/>
          <w:lang w:val="en-US"/>
        </w:rPr>
        <w:t xml:space="preserve">yang dimulai </w:t>
      </w:r>
      <w:r w:rsidRPr="009A0601">
        <w:rPr>
          <w:rFonts w:ascii="Times New Roman" w:hAnsi="Times New Roman" w:cs="Times New Roman"/>
          <w:bCs/>
          <w:iCs/>
          <w:color w:val="000000"/>
          <w:sz w:val="24"/>
          <w:szCs w:val="24"/>
        </w:rPr>
        <w:t xml:space="preserve">sejak 1 Januari 2020. </w:t>
      </w:r>
    </w:p>
    <w:p w14:paraId="6D0B00D6" w14:textId="66F2FD54" w:rsidR="00FB630C" w:rsidRPr="009A0601" w:rsidRDefault="009A0601" w:rsidP="009A0601">
      <w:pPr>
        <w:pBdr>
          <w:top w:val="nil"/>
          <w:left w:val="nil"/>
          <w:bottom w:val="nil"/>
          <w:right w:val="nil"/>
          <w:between w:val="nil"/>
        </w:pBdr>
        <w:ind w:firstLine="425"/>
        <w:jc w:val="both"/>
        <w:rPr>
          <w:rFonts w:ascii="Times New Roman" w:hAnsi="Times New Roman" w:cs="Times New Roman"/>
          <w:bCs/>
          <w:iCs/>
          <w:color w:val="000000"/>
          <w:sz w:val="24"/>
          <w:szCs w:val="24"/>
        </w:rPr>
      </w:pPr>
      <w:r w:rsidRPr="009A0601">
        <w:rPr>
          <w:rFonts w:ascii="Times New Roman" w:hAnsi="Times New Roman" w:cs="Times New Roman"/>
          <w:bCs/>
          <w:iCs/>
          <w:color w:val="000000"/>
          <w:sz w:val="24"/>
          <w:szCs w:val="24"/>
          <w:lang w:val="en-US"/>
        </w:rPr>
        <w:t>D</w:t>
      </w:r>
      <w:r w:rsidR="00FB630C" w:rsidRPr="009A0601">
        <w:rPr>
          <w:rFonts w:ascii="Times New Roman" w:hAnsi="Times New Roman" w:cs="Times New Roman"/>
          <w:bCs/>
          <w:iCs/>
          <w:color w:val="000000"/>
          <w:sz w:val="24"/>
          <w:szCs w:val="24"/>
        </w:rPr>
        <w:t xml:space="preserve">ari segi konsep, </w:t>
      </w:r>
      <w:r w:rsidR="00761F30">
        <w:rPr>
          <w:rFonts w:ascii="Times New Roman" w:hAnsi="Times New Roman" w:cs="Times New Roman"/>
          <w:bCs/>
          <w:iCs/>
          <w:color w:val="000000"/>
          <w:sz w:val="24"/>
          <w:szCs w:val="24"/>
          <w:lang w:val="en-US"/>
        </w:rPr>
        <w:t>PSAK 73</w:t>
      </w:r>
      <w:r w:rsidR="00FB630C" w:rsidRPr="009A0601">
        <w:rPr>
          <w:rFonts w:ascii="Times New Roman" w:hAnsi="Times New Roman" w:cs="Times New Roman"/>
          <w:bCs/>
          <w:iCs/>
          <w:color w:val="000000"/>
          <w:sz w:val="24"/>
          <w:szCs w:val="24"/>
        </w:rPr>
        <w:t xml:space="preserve"> tidak berdampak banyak terhadap </w:t>
      </w:r>
      <w:r w:rsidR="00FB630C" w:rsidRPr="009A0601">
        <w:rPr>
          <w:rFonts w:ascii="Times New Roman" w:hAnsi="Times New Roman" w:cs="Times New Roman"/>
          <w:bCs/>
          <w:i/>
          <w:iCs/>
          <w:color w:val="000000"/>
          <w:sz w:val="24"/>
          <w:szCs w:val="24"/>
        </w:rPr>
        <w:t>lessor</w:t>
      </w:r>
      <w:r w:rsidR="00FB630C" w:rsidRPr="009A0601">
        <w:rPr>
          <w:rFonts w:ascii="Times New Roman" w:hAnsi="Times New Roman" w:cs="Times New Roman"/>
          <w:bCs/>
          <w:iCs/>
          <w:color w:val="000000"/>
          <w:sz w:val="24"/>
          <w:szCs w:val="24"/>
        </w:rPr>
        <w:t xml:space="preserve">, namun dampak yang signifikan terdapat dalam akuntansi untuk </w:t>
      </w:r>
      <w:r w:rsidR="00FB630C" w:rsidRPr="009A0601">
        <w:rPr>
          <w:rFonts w:ascii="Times New Roman" w:hAnsi="Times New Roman" w:cs="Times New Roman"/>
          <w:bCs/>
          <w:i/>
          <w:iCs/>
          <w:color w:val="000000"/>
          <w:sz w:val="24"/>
          <w:szCs w:val="24"/>
        </w:rPr>
        <w:t>lessee</w:t>
      </w:r>
      <w:r w:rsidR="00FB630C" w:rsidRPr="009A0601">
        <w:rPr>
          <w:rFonts w:ascii="Times New Roman" w:hAnsi="Times New Roman" w:cs="Times New Roman"/>
          <w:bCs/>
          <w:iCs/>
          <w:color w:val="000000"/>
          <w:sz w:val="24"/>
          <w:szCs w:val="24"/>
        </w:rPr>
        <w:t xml:space="preserve">. </w:t>
      </w:r>
      <w:r w:rsidR="002E5296">
        <w:rPr>
          <w:rFonts w:ascii="Times New Roman" w:hAnsi="Times New Roman" w:cs="Times New Roman"/>
          <w:bCs/>
          <w:iCs/>
          <w:color w:val="000000"/>
          <w:sz w:val="24"/>
          <w:szCs w:val="24"/>
          <w:lang w:val="en-US"/>
        </w:rPr>
        <w:t>PSAK 73</w:t>
      </w:r>
      <w:r w:rsidR="00FB630C" w:rsidRPr="009A0601">
        <w:rPr>
          <w:rFonts w:ascii="Times New Roman" w:hAnsi="Times New Roman" w:cs="Times New Roman"/>
          <w:bCs/>
          <w:iCs/>
          <w:color w:val="000000"/>
          <w:sz w:val="24"/>
          <w:szCs w:val="24"/>
        </w:rPr>
        <w:t xml:space="preserve"> memperkenalkan model </w:t>
      </w:r>
      <w:r w:rsidR="00FB630C" w:rsidRPr="009A0601">
        <w:rPr>
          <w:rFonts w:ascii="Times New Roman" w:hAnsi="Times New Roman" w:cs="Times New Roman"/>
          <w:bCs/>
          <w:i/>
          <w:iCs/>
          <w:color w:val="000000"/>
          <w:sz w:val="24"/>
          <w:szCs w:val="24"/>
        </w:rPr>
        <w:t>right-of-use</w:t>
      </w:r>
      <w:r w:rsidR="00FB630C" w:rsidRPr="009A0601">
        <w:rPr>
          <w:rFonts w:ascii="Times New Roman" w:hAnsi="Times New Roman" w:cs="Times New Roman"/>
          <w:bCs/>
          <w:iCs/>
          <w:color w:val="000000"/>
          <w:sz w:val="24"/>
          <w:szCs w:val="24"/>
        </w:rPr>
        <w:t xml:space="preserve"> (ROU) di mana suatu aset yang disewakan dapat didentifikasikan sebagai aset berdasarkan hak guna dari aset tersebut. Model </w:t>
      </w:r>
      <w:r w:rsidR="00FB630C" w:rsidRPr="009A0601">
        <w:rPr>
          <w:rFonts w:ascii="Times New Roman" w:hAnsi="Times New Roman" w:cs="Times New Roman"/>
          <w:bCs/>
          <w:i/>
          <w:iCs/>
          <w:color w:val="000000"/>
          <w:sz w:val="24"/>
          <w:szCs w:val="24"/>
        </w:rPr>
        <w:t>right-of use</w:t>
      </w:r>
      <w:r w:rsidR="00FB630C" w:rsidRPr="009A0601">
        <w:rPr>
          <w:rFonts w:ascii="Times New Roman" w:hAnsi="Times New Roman" w:cs="Times New Roman"/>
          <w:bCs/>
          <w:iCs/>
          <w:color w:val="000000"/>
          <w:sz w:val="24"/>
          <w:szCs w:val="24"/>
        </w:rPr>
        <w:t xml:space="preserve"> juga membuat perusahaan mengakui kewajiban terkait dengan aset hak guna tersebut. </w:t>
      </w:r>
    </w:p>
    <w:p w14:paraId="5A2BF159" w14:textId="1E7D6A7E" w:rsidR="00FB630C" w:rsidRPr="009A0601" w:rsidRDefault="00FB630C" w:rsidP="00697445">
      <w:pPr>
        <w:pBdr>
          <w:top w:val="nil"/>
          <w:left w:val="nil"/>
          <w:bottom w:val="nil"/>
          <w:right w:val="nil"/>
          <w:between w:val="nil"/>
        </w:pBdr>
        <w:ind w:firstLine="425"/>
        <w:jc w:val="both"/>
        <w:rPr>
          <w:rFonts w:ascii="Times New Roman" w:hAnsi="Times New Roman" w:cs="Times New Roman"/>
          <w:bCs/>
          <w:iCs/>
          <w:color w:val="000000"/>
          <w:sz w:val="24"/>
          <w:szCs w:val="24"/>
        </w:rPr>
      </w:pPr>
      <w:r w:rsidRPr="009A0601">
        <w:rPr>
          <w:rFonts w:ascii="Times New Roman" w:hAnsi="Times New Roman" w:cs="Times New Roman"/>
          <w:bCs/>
          <w:iCs/>
          <w:color w:val="000000"/>
          <w:sz w:val="24"/>
          <w:szCs w:val="24"/>
        </w:rPr>
        <w:t xml:space="preserve">Mengapa terjadi perubahan ini? </w:t>
      </w:r>
      <w:r w:rsidR="009A0601" w:rsidRPr="009A0601">
        <w:rPr>
          <w:rFonts w:ascii="Times New Roman" w:hAnsi="Times New Roman" w:cs="Times New Roman"/>
          <w:bCs/>
          <w:iCs/>
          <w:color w:val="000000"/>
          <w:sz w:val="24"/>
          <w:szCs w:val="24"/>
          <w:lang w:val="en-US"/>
        </w:rPr>
        <w:t>Hal ini ditujukan</w:t>
      </w:r>
      <w:r w:rsidRPr="009A0601">
        <w:rPr>
          <w:rFonts w:ascii="Times New Roman" w:hAnsi="Times New Roman" w:cs="Times New Roman"/>
          <w:bCs/>
          <w:iCs/>
          <w:color w:val="000000"/>
          <w:sz w:val="24"/>
          <w:szCs w:val="24"/>
        </w:rPr>
        <w:t xml:space="preserve"> untuk menghilangkan transaksi </w:t>
      </w:r>
      <w:r w:rsidRPr="009A0601">
        <w:rPr>
          <w:rFonts w:ascii="Times New Roman" w:hAnsi="Times New Roman" w:cs="Times New Roman"/>
          <w:bCs/>
          <w:i/>
          <w:iCs/>
          <w:color w:val="000000"/>
          <w:sz w:val="24"/>
          <w:szCs w:val="24"/>
        </w:rPr>
        <w:t>off-balance-sheet</w:t>
      </w:r>
      <w:r w:rsidRPr="009A0601">
        <w:rPr>
          <w:rFonts w:ascii="Times New Roman" w:hAnsi="Times New Roman" w:cs="Times New Roman"/>
          <w:bCs/>
          <w:iCs/>
          <w:color w:val="000000"/>
          <w:sz w:val="24"/>
          <w:szCs w:val="24"/>
        </w:rPr>
        <w:t xml:space="preserve">. Hal ini diungkapkan oleh </w:t>
      </w:r>
      <w:r w:rsidR="004B1E1B">
        <w:rPr>
          <w:rFonts w:ascii="Times New Roman" w:hAnsi="Times New Roman" w:cs="Times New Roman"/>
          <w:bCs/>
          <w:iCs/>
          <w:color w:val="000000"/>
          <w:sz w:val="24"/>
          <w:szCs w:val="24"/>
          <w:lang w:val="en-US"/>
        </w:rPr>
        <w:t xml:space="preserve">organisasi ACCA </w:t>
      </w:r>
      <w:r w:rsidR="004B1E1B">
        <w:rPr>
          <w:rFonts w:ascii="Times New Roman" w:hAnsi="Times New Roman" w:cs="Times New Roman"/>
          <w:bCs/>
          <w:iCs/>
          <w:color w:val="000000"/>
          <w:sz w:val="24"/>
          <w:szCs w:val="24"/>
        </w:rPr>
        <w:fldChar w:fldCharType="begin" w:fldLock="1"/>
      </w:r>
      <w:r w:rsidR="005944EE">
        <w:rPr>
          <w:rFonts w:ascii="Times New Roman" w:hAnsi="Times New Roman" w:cs="Times New Roman"/>
          <w:bCs/>
          <w:iCs/>
          <w:color w:val="000000"/>
          <w:sz w:val="24"/>
          <w:szCs w:val="24"/>
        </w:rPr>
        <w:instrText>ADDIN CSL_CITATION {"citationItems":[{"id":"ITEM-1","itemData":{"author":[{"dropping-particle":"","family":"ACCA","given":"","non-dropping-particle":"","parse-names":false,"suffix":""}],"id":"ITEM-1","issued":{"date-parts":[["2014"]]},"title":"Lease accounting : an update on the international proposed amendments About ACCA","type":"article-journal"},"uris":["http://www.mendeley.com/documents/?uuid=ab2395dc-5ac9-4259-8cf5-ed06a6fe59c3"]}],"mendeley":{"formattedCitation":"(ACCA, 2014)","plainTextFormattedCitation":"(ACCA, 2014)","previouslyFormattedCitation":"(ACCA, 2014)"},"properties":{"noteIndex":0},"schema":"https://github.com/citation-style-language/schema/raw/master/csl-citation.json"}</w:instrText>
      </w:r>
      <w:r w:rsidR="004B1E1B">
        <w:rPr>
          <w:rFonts w:ascii="Times New Roman" w:hAnsi="Times New Roman" w:cs="Times New Roman"/>
          <w:bCs/>
          <w:iCs/>
          <w:color w:val="000000"/>
          <w:sz w:val="24"/>
          <w:szCs w:val="24"/>
        </w:rPr>
        <w:fldChar w:fldCharType="separate"/>
      </w:r>
      <w:r w:rsidR="004B1E1B" w:rsidRPr="004B1E1B">
        <w:rPr>
          <w:rFonts w:ascii="Times New Roman" w:hAnsi="Times New Roman" w:cs="Times New Roman"/>
          <w:bCs/>
          <w:iCs/>
          <w:noProof/>
          <w:color w:val="000000"/>
          <w:sz w:val="24"/>
          <w:szCs w:val="24"/>
        </w:rPr>
        <w:t>(ACCA, 2014)</w:t>
      </w:r>
      <w:r w:rsidR="004B1E1B">
        <w:rPr>
          <w:rFonts w:ascii="Times New Roman" w:hAnsi="Times New Roman" w:cs="Times New Roman"/>
          <w:bCs/>
          <w:iCs/>
          <w:color w:val="000000"/>
          <w:sz w:val="24"/>
          <w:szCs w:val="24"/>
        </w:rPr>
        <w:fldChar w:fldCharType="end"/>
      </w:r>
      <w:r w:rsidR="004B1E1B">
        <w:rPr>
          <w:rFonts w:ascii="Times New Roman" w:hAnsi="Times New Roman" w:cs="Times New Roman"/>
          <w:bCs/>
          <w:iCs/>
          <w:color w:val="000000"/>
          <w:sz w:val="24"/>
          <w:szCs w:val="24"/>
          <w:lang w:val="en-US"/>
        </w:rPr>
        <w:t xml:space="preserve"> </w:t>
      </w:r>
      <w:r w:rsidRPr="009A0601">
        <w:rPr>
          <w:rFonts w:ascii="Times New Roman" w:hAnsi="Times New Roman" w:cs="Times New Roman"/>
          <w:bCs/>
          <w:iCs/>
          <w:color w:val="000000"/>
          <w:sz w:val="24"/>
          <w:szCs w:val="24"/>
        </w:rPr>
        <w:t xml:space="preserve">dalam </w:t>
      </w:r>
      <w:r w:rsidR="009A0601" w:rsidRPr="009A0601">
        <w:rPr>
          <w:rFonts w:ascii="Times New Roman" w:hAnsi="Times New Roman" w:cs="Times New Roman"/>
          <w:bCs/>
          <w:iCs/>
          <w:color w:val="000000"/>
          <w:sz w:val="24"/>
          <w:szCs w:val="24"/>
          <w:lang w:val="en-US"/>
        </w:rPr>
        <w:t>laporannya</w:t>
      </w:r>
      <w:r w:rsidRPr="009A0601">
        <w:rPr>
          <w:rFonts w:ascii="Times New Roman" w:hAnsi="Times New Roman" w:cs="Times New Roman"/>
          <w:bCs/>
          <w:iCs/>
          <w:color w:val="000000"/>
          <w:sz w:val="24"/>
          <w:szCs w:val="24"/>
        </w:rPr>
        <w:t xml:space="preserve"> bahwa terdapat kekhawatiran di mana aset dan kewajiban sewa-sewa, terutama sewa operasi, tidak terefleksikan dalam laporan keuangan. Hal ini mempunyai dampak yang signifikan. Dampaknya seperti dinyatakan oleh salah satu dewan pengurus nasional Ikatan Akuntan Indonesia (IAI), Rosita Uli Sinaga, bahwa perlakuan akuntansi IAS 17 / PSAK 30 seakan membiarkan perusahaan menipu diri sendiri (</w:t>
      </w:r>
      <w:r w:rsidR="005944EE">
        <w:rPr>
          <w:rFonts w:ascii="Times New Roman" w:hAnsi="Times New Roman" w:cs="Times New Roman"/>
          <w:bCs/>
          <w:iCs/>
          <w:color w:val="000000"/>
          <w:sz w:val="24"/>
          <w:szCs w:val="24"/>
        </w:rPr>
        <w:fldChar w:fldCharType="begin" w:fldLock="1"/>
      </w:r>
      <w:r w:rsidR="00BF661F">
        <w:rPr>
          <w:rFonts w:ascii="Times New Roman" w:hAnsi="Times New Roman" w:cs="Times New Roman"/>
          <w:bCs/>
          <w:iCs/>
          <w:color w:val="000000"/>
          <w:sz w:val="24"/>
          <w:szCs w:val="24"/>
        </w:rPr>
        <w:instrText>ADDIN CSL_CITATION {"citationItems":[{"id":"ITEM-1","itemData":{"author":[{"dropping-particle":"","family":"Brama","given":"Aloysius","non-dropping-particle":"","parse-names":false,"suffix":""},{"dropping-particle":"","family":"Wahyana","given":"Cipta","non-dropping-particle":"","parse-names":false,"suffix":""}],"container-title":"Kontan","id":"ITEM-1","issued":{"date-parts":[["2019"]]},"page":"4","title":"Standar akuntansi baru PSAK 71, 72, dan 73 berlaku 2020, ini perbedaannya","type":"article-newspaper"},"uris":["http://www.mendeley.com/documents/?uuid=198265e4-4d5b-477d-91da-f6a1874500b5"]}],"mendeley":{"formattedCitation":"(Brama &amp; Wahyana, 2019)","plainTextFormattedCitation":"(Brama &amp; Wahyana, 2019)","previouslyFormattedCitation":"(Brama &amp; Wahyana, 2019)"},"properties":{"noteIndex":0},"schema":"https://github.com/citation-style-language/schema/raw/master/csl-citation.json"}</w:instrText>
      </w:r>
      <w:r w:rsidR="005944EE">
        <w:rPr>
          <w:rFonts w:ascii="Times New Roman" w:hAnsi="Times New Roman" w:cs="Times New Roman"/>
          <w:bCs/>
          <w:iCs/>
          <w:color w:val="000000"/>
          <w:sz w:val="24"/>
          <w:szCs w:val="24"/>
        </w:rPr>
        <w:fldChar w:fldCharType="separate"/>
      </w:r>
      <w:r w:rsidR="005944EE" w:rsidRPr="005944EE">
        <w:rPr>
          <w:rFonts w:ascii="Times New Roman" w:hAnsi="Times New Roman" w:cs="Times New Roman"/>
          <w:bCs/>
          <w:iCs/>
          <w:noProof/>
          <w:color w:val="000000"/>
          <w:sz w:val="24"/>
          <w:szCs w:val="24"/>
        </w:rPr>
        <w:t>(Brama &amp; Wahyana, 2019)</w:t>
      </w:r>
      <w:r w:rsidR="005944EE">
        <w:rPr>
          <w:rFonts w:ascii="Times New Roman" w:hAnsi="Times New Roman" w:cs="Times New Roman"/>
          <w:bCs/>
          <w:iCs/>
          <w:color w:val="000000"/>
          <w:sz w:val="24"/>
          <w:szCs w:val="24"/>
        </w:rPr>
        <w:fldChar w:fldCharType="end"/>
      </w:r>
      <w:r w:rsidRPr="009A0601">
        <w:rPr>
          <w:rFonts w:ascii="Times New Roman" w:hAnsi="Times New Roman" w:cs="Times New Roman"/>
          <w:bCs/>
          <w:iCs/>
          <w:color w:val="000000"/>
          <w:sz w:val="24"/>
          <w:szCs w:val="24"/>
        </w:rPr>
        <w:t>. Dengan mengatasi hal ini</w:t>
      </w:r>
      <w:r w:rsidR="005944EE">
        <w:rPr>
          <w:rFonts w:ascii="Times New Roman" w:hAnsi="Times New Roman" w:cs="Times New Roman"/>
          <w:bCs/>
          <w:iCs/>
          <w:color w:val="000000"/>
          <w:sz w:val="24"/>
          <w:szCs w:val="24"/>
          <w:lang w:val="en-US"/>
        </w:rPr>
        <w:t>,</w:t>
      </w:r>
      <w:r w:rsidRPr="009A0601">
        <w:rPr>
          <w:rFonts w:ascii="Times New Roman" w:hAnsi="Times New Roman" w:cs="Times New Roman"/>
          <w:bCs/>
          <w:iCs/>
          <w:color w:val="000000"/>
          <w:sz w:val="24"/>
          <w:szCs w:val="24"/>
        </w:rPr>
        <w:t xml:space="preserve"> informasi akuntansi dapat memberikan pengguna laporan keuangan informasi yang lebih akurat dalam pengambilan keputusan.</w:t>
      </w:r>
    </w:p>
    <w:p w14:paraId="62D6DAD7" w14:textId="4C2635C8" w:rsidR="00FB630C" w:rsidRPr="009A0601" w:rsidRDefault="00F866A7" w:rsidP="00697445">
      <w:pPr>
        <w:pBdr>
          <w:top w:val="nil"/>
          <w:left w:val="nil"/>
          <w:bottom w:val="nil"/>
          <w:right w:val="nil"/>
          <w:between w:val="nil"/>
        </w:pBdr>
        <w:ind w:firstLine="425"/>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lang w:val="en-US"/>
        </w:rPr>
        <w:t>PSAK 73</w:t>
      </w:r>
      <w:r w:rsidR="00FB630C" w:rsidRPr="009A0601">
        <w:rPr>
          <w:rFonts w:ascii="Times New Roman" w:hAnsi="Times New Roman" w:cs="Times New Roman"/>
          <w:bCs/>
          <w:iCs/>
          <w:color w:val="000000"/>
          <w:sz w:val="24"/>
          <w:szCs w:val="24"/>
        </w:rPr>
        <w:t xml:space="preserve"> diterbitkan dengan tujuan agar standar baru ini dapat memberikan gambaran keseluruhan</w:t>
      </w:r>
      <w:r w:rsidR="009A0601" w:rsidRPr="009A0601">
        <w:rPr>
          <w:rFonts w:ascii="Times New Roman" w:hAnsi="Times New Roman" w:cs="Times New Roman"/>
          <w:bCs/>
          <w:iCs/>
          <w:color w:val="000000"/>
          <w:sz w:val="24"/>
          <w:szCs w:val="24"/>
          <w:lang w:val="en-US"/>
        </w:rPr>
        <w:t xml:space="preserve"> </w:t>
      </w:r>
      <w:r w:rsidR="00FB630C" w:rsidRPr="009A0601">
        <w:rPr>
          <w:rFonts w:ascii="Times New Roman" w:hAnsi="Times New Roman" w:cs="Times New Roman"/>
          <w:bCs/>
          <w:iCs/>
          <w:color w:val="000000"/>
          <w:sz w:val="24"/>
          <w:szCs w:val="24"/>
        </w:rPr>
        <w:t>lebih baik kepada pengguna laporan keuangan. Hal ini dikenal dengan konsep “</w:t>
      </w:r>
      <w:r w:rsidR="00FB630C" w:rsidRPr="009A0601">
        <w:rPr>
          <w:rFonts w:ascii="Times New Roman" w:hAnsi="Times New Roman" w:cs="Times New Roman"/>
          <w:bCs/>
          <w:i/>
          <w:iCs/>
          <w:color w:val="000000"/>
          <w:sz w:val="24"/>
          <w:szCs w:val="24"/>
        </w:rPr>
        <w:t>value relevance</w:t>
      </w:r>
      <w:r w:rsidR="00FB630C" w:rsidRPr="009A0601">
        <w:rPr>
          <w:rFonts w:ascii="Times New Roman" w:hAnsi="Times New Roman" w:cs="Times New Roman"/>
          <w:bCs/>
          <w:iCs/>
          <w:color w:val="000000"/>
          <w:sz w:val="24"/>
          <w:szCs w:val="24"/>
        </w:rPr>
        <w:t xml:space="preserve">”, seperti dijelaskan dalam </w:t>
      </w:r>
      <w:r w:rsidR="009A0601" w:rsidRPr="009A0601">
        <w:rPr>
          <w:rFonts w:ascii="Times New Roman" w:hAnsi="Times New Roman" w:cs="Times New Roman"/>
          <w:bCs/>
          <w:iCs/>
          <w:color w:val="000000"/>
          <w:sz w:val="24"/>
          <w:szCs w:val="24"/>
          <w:lang w:val="en-US"/>
        </w:rPr>
        <w:t>kerangka konseptual laporan keuangan</w:t>
      </w:r>
      <w:r w:rsidR="00FB630C" w:rsidRPr="009A0601">
        <w:rPr>
          <w:rFonts w:ascii="Times New Roman" w:hAnsi="Times New Roman" w:cs="Times New Roman"/>
          <w:bCs/>
          <w:iCs/>
          <w:color w:val="000000"/>
          <w:sz w:val="24"/>
          <w:szCs w:val="24"/>
        </w:rPr>
        <w:t xml:space="preserve"> </w:t>
      </w:r>
      <w:r w:rsidR="00BF661F">
        <w:rPr>
          <w:rFonts w:ascii="Times New Roman" w:hAnsi="Times New Roman" w:cs="Times New Roman"/>
          <w:bCs/>
          <w:iCs/>
          <w:color w:val="000000"/>
          <w:sz w:val="24"/>
          <w:szCs w:val="24"/>
        </w:rPr>
        <w:fldChar w:fldCharType="begin" w:fldLock="1"/>
      </w:r>
      <w:r w:rsidR="00BF661F">
        <w:rPr>
          <w:rFonts w:ascii="Times New Roman" w:hAnsi="Times New Roman" w:cs="Times New Roman"/>
          <w:bCs/>
          <w:iCs/>
          <w:color w:val="000000"/>
          <w:sz w:val="24"/>
          <w:szCs w:val="24"/>
        </w:rPr>
        <w:instrText>ADDIN CSL_CITATION {"citationItems":[{"id":"ITEM-1","itemData":{"author":[{"dropping-particle":"","family":"IFRS Foundation","given":"","non-dropping-particle":"","parse-names":false,"suffix":""}],"container-title":"IFRS Foundation","id":"ITEM-1","issued":{"date-parts":[["2018"]]},"title":"Conceptual Framework for Financial Reporting","type":"article"},"uris":["http://www.mendeley.com/documents/?uuid=e0ca976f-df4b-455e-b9d9-0c2b8f9762fa"]}],"mendeley":{"formattedCitation":"(IFRS Foundation, 2018)","plainTextFormattedCitation":"(IFRS Foundation, 2018)","previouslyFormattedCitation":"(IFRS Foundation, 2018)"},"properties":{"noteIndex":0},"schema":"https://github.com/citation-style-language/schema/raw/master/csl-citation.json"}</w:instrText>
      </w:r>
      <w:r w:rsidR="00BF661F">
        <w:rPr>
          <w:rFonts w:ascii="Times New Roman" w:hAnsi="Times New Roman" w:cs="Times New Roman"/>
          <w:bCs/>
          <w:iCs/>
          <w:color w:val="000000"/>
          <w:sz w:val="24"/>
          <w:szCs w:val="24"/>
        </w:rPr>
        <w:fldChar w:fldCharType="separate"/>
      </w:r>
      <w:r w:rsidR="00BF661F" w:rsidRPr="00BF661F">
        <w:rPr>
          <w:rFonts w:ascii="Times New Roman" w:hAnsi="Times New Roman" w:cs="Times New Roman"/>
          <w:bCs/>
          <w:iCs/>
          <w:noProof/>
          <w:color w:val="000000"/>
          <w:sz w:val="24"/>
          <w:szCs w:val="24"/>
        </w:rPr>
        <w:t>(IFRS Foundation, 2018)</w:t>
      </w:r>
      <w:r w:rsidR="00BF661F">
        <w:rPr>
          <w:rFonts w:ascii="Times New Roman" w:hAnsi="Times New Roman" w:cs="Times New Roman"/>
          <w:bCs/>
          <w:iCs/>
          <w:color w:val="000000"/>
          <w:sz w:val="24"/>
          <w:szCs w:val="24"/>
        </w:rPr>
        <w:fldChar w:fldCharType="end"/>
      </w:r>
      <w:r w:rsidR="00FB630C" w:rsidRPr="009A0601">
        <w:rPr>
          <w:rFonts w:ascii="Times New Roman" w:hAnsi="Times New Roman" w:cs="Times New Roman"/>
          <w:bCs/>
          <w:iCs/>
          <w:color w:val="000000"/>
          <w:sz w:val="24"/>
          <w:szCs w:val="24"/>
        </w:rPr>
        <w:t xml:space="preserve">, </w:t>
      </w:r>
      <w:r w:rsidR="009A0601" w:rsidRPr="009A0601">
        <w:rPr>
          <w:rFonts w:ascii="Times New Roman" w:hAnsi="Times New Roman" w:cs="Times New Roman"/>
          <w:bCs/>
          <w:iCs/>
          <w:color w:val="000000"/>
          <w:sz w:val="24"/>
          <w:szCs w:val="24"/>
          <w:lang w:val="en-US"/>
        </w:rPr>
        <w:t xml:space="preserve">dimana </w:t>
      </w:r>
      <w:r w:rsidR="00FB630C" w:rsidRPr="009A0601">
        <w:rPr>
          <w:rFonts w:ascii="Times New Roman" w:hAnsi="Times New Roman" w:cs="Times New Roman"/>
          <w:bCs/>
          <w:iCs/>
          <w:color w:val="000000"/>
          <w:sz w:val="24"/>
          <w:szCs w:val="24"/>
        </w:rPr>
        <w:t>informasi keuangan relevan bila informasi tersebut dapat membuat perubahan dalam keputusan pengguna, dan mempunyai nilai prediktif atau konfirmatif. Omokhudu &amp; Ibadin</w:t>
      </w:r>
      <w:r w:rsidR="00BF661F">
        <w:rPr>
          <w:rFonts w:ascii="Times New Roman" w:hAnsi="Times New Roman" w:cs="Times New Roman"/>
          <w:bCs/>
          <w:iCs/>
          <w:color w:val="000000"/>
          <w:sz w:val="24"/>
          <w:szCs w:val="24"/>
          <w:lang w:val="en-US"/>
        </w:rPr>
        <w:t xml:space="preserve"> </w:t>
      </w:r>
      <w:r w:rsidR="00BF661F">
        <w:rPr>
          <w:rFonts w:ascii="Times New Roman" w:hAnsi="Times New Roman" w:cs="Times New Roman"/>
          <w:bCs/>
          <w:iCs/>
          <w:color w:val="000000"/>
          <w:sz w:val="24"/>
          <w:szCs w:val="24"/>
          <w:lang w:val="en-US"/>
        </w:rPr>
        <w:fldChar w:fldCharType="begin" w:fldLock="1"/>
      </w:r>
      <w:r w:rsidR="00C83FCE">
        <w:rPr>
          <w:rFonts w:ascii="Times New Roman" w:hAnsi="Times New Roman" w:cs="Times New Roman"/>
          <w:bCs/>
          <w:iCs/>
          <w:color w:val="000000"/>
          <w:sz w:val="24"/>
          <w:szCs w:val="24"/>
          <w:lang w:val="en-US"/>
        </w:rPr>
        <w:instrText>ADDIN CSL_CITATION {"citationItems":[{"id":"ITEM-1","itemData":{"DOI":"10.5430/afr.v4n3p20","ISSN":"1927-5986","abstract":"Value relevance of accounting information addresses the degree to which accounting information summarizes the information that is impounded in share prices. Therefore, the purpose of this paper is to contribute to the empirical literature on value relevance by examining the extent to which accounting information is associated with firm value, from an emerging market context. The paper uses the basic Ohlson (1995) model and the modification of the model that includes cash flow from operation, and dividends, to ascertain the value relevance of accounting information in Nigeria. The paper accommodates the documented relative inefficiency of the market by using stock price at three months and six months after year end as dependent variable. The study employs a pooled and panel data in the regression of share price and returns on accounting numbers. The ordinary least square (OLS) estimation and dynamic model estimation, with the Random and Fixed effects variants were used in the regression. We find that earnings, cash flow and dividends were statistically significantly associated with firm value but book value was related but not statistically significant. Based on these findings, it is suggested that the focus of investors should be on earnings, dividends","author":[{"dropping-particle":"","family":"Omokhudu","given":"Okuns Omokhoje","non-dropping-particle":"","parse-names":false,"suffix":""},{"dropping-particle":"","family":"Ibadin","given":"Peter Okoeguale","non-dropping-particle":"","parse-names":false,"suffix":""}],"container-title":"Accounting and Finance Research","id":"ITEM-1","issue":"3","issued":{"date-parts":[["2015"]]},"page":"20-30","title":"The Value Relevance of Accounting Information: Evidence from Nigeria","type":"article-journal","volume":"4"},"suppress-author":1,"uris":["http://www.mendeley.com/documents/?uuid=1847b664-55c1-4ebd-802e-5936c5cc9178"]}],"mendeley":{"formattedCitation":"(2015)","plainTextFormattedCitation":"(2015)","previouslyFormattedCitation":"(2015)"},"properties":{"noteIndex":0},"schema":"https://github.com/citation-style-language/schema/raw/master/csl-citation.json"}</w:instrText>
      </w:r>
      <w:r w:rsidR="00BF661F">
        <w:rPr>
          <w:rFonts w:ascii="Times New Roman" w:hAnsi="Times New Roman" w:cs="Times New Roman"/>
          <w:bCs/>
          <w:iCs/>
          <w:color w:val="000000"/>
          <w:sz w:val="24"/>
          <w:szCs w:val="24"/>
          <w:lang w:val="en-US"/>
        </w:rPr>
        <w:fldChar w:fldCharType="separate"/>
      </w:r>
      <w:r w:rsidR="00BF661F" w:rsidRPr="00BF661F">
        <w:rPr>
          <w:rFonts w:ascii="Times New Roman" w:hAnsi="Times New Roman" w:cs="Times New Roman"/>
          <w:bCs/>
          <w:iCs/>
          <w:noProof/>
          <w:color w:val="000000"/>
          <w:sz w:val="24"/>
          <w:szCs w:val="24"/>
          <w:lang w:val="en-US"/>
        </w:rPr>
        <w:t>(2015)</w:t>
      </w:r>
      <w:r w:rsidR="00BF661F">
        <w:rPr>
          <w:rFonts w:ascii="Times New Roman" w:hAnsi="Times New Roman" w:cs="Times New Roman"/>
          <w:bCs/>
          <w:iCs/>
          <w:color w:val="000000"/>
          <w:sz w:val="24"/>
          <w:szCs w:val="24"/>
          <w:lang w:val="en-US"/>
        </w:rPr>
        <w:fldChar w:fldCharType="end"/>
      </w:r>
      <w:r w:rsidR="00BF661F">
        <w:rPr>
          <w:rFonts w:ascii="Times New Roman" w:hAnsi="Times New Roman" w:cs="Times New Roman"/>
          <w:bCs/>
          <w:iCs/>
          <w:color w:val="000000"/>
          <w:sz w:val="24"/>
          <w:szCs w:val="24"/>
          <w:lang w:val="en-US"/>
        </w:rPr>
        <w:t xml:space="preserve"> </w:t>
      </w:r>
      <w:r w:rsidR="009A0601" w:rsidRPr="009A0601">
        <w:rPr>
          <w:rFonts w:ascii="Times New Roman" w:hAnsi="Times New Roman" w:cs="Times New Roman"/>
          <w:bCs/>
          <w:iCs/>
          <w:color w:val="000000"/>
          <w:sz w:val="24"/>
          <w:szCs w:val="24"/>
          <w:lang w:val="en-US"/>
        </w:rPr>
        <w:t>menjelaskan</w:t>
      </w:r>
      <w:r w:rsidR="00FB630C" w:rsidRPr="009A0601">
        <w:rPr>
          <w:rFonts w:ascii="Times New Roman" w:hAnsi="Times New Roman" w:cs="Times New Roman"/>
          <w:bCs/>
          <w:iCs/>
          <w:color w:val="000000"/>
          <w:sz w:val="24"/>
          <w:szCs w:val="24"/>
        </w:rPr>
        <w:t xml:space="preserve"> bahwa </w:t>
      </w:r>
      <w:r w:rsidR="00BF661F">
        <w:rPr>
          <w:rFonts w:ascii="Times New Roman" w:hAnsi="Times New Roman" w:cs="Times New Roman"/>
          <w:bCs/>
          <w:iCs/>
          <w:color w:val="000000"/>
          <w:sz w:val="24"/>
          <w:szCs w:val="24"/>
          <w:lang w:val="en-US"/>
        </w:rPr>
        <w:t>relevansi nilai</w:t>
      </w:r>
      <w:r w:rsidR="00FB630C" w:rsidRPr="009A0601">
        <w:rPr>
          <w:rFonts w:ascii="Times New Roman" w:hAnsi="Times New Roman" w:cs="Times New Roman"/>
          <w:bCs/>
          <w:iCs/>
          <w:color w:val="000000"/>
          <w:sz w:val="24"/>
          <w:szCs w:val="24"/>
        </w:rPr>
        <w:t xml:space="preserve"> dari </w:t>
      </w:r>
      <w:r w:rsidR="00FB630C" w:rsidRPr="009A0601">
        <w:rPr>
          <w:rFonts w:ascii="Times New Roman" w:hAnsi="Times New Roman" w:cs="Times New Roman"/>
          <w:bCs/>
          <w:iCs/>
          <w:color w:val="000000"/>
          <w:sz w:val="24"/>
          <w:szCs w:val="24"/>
        </w:rPr>
        <w:t>informasi akuntansi berkenaan dengan keterkaitan informasi akuntansi di dalam penentuan harga saham.</w:t>
      </w:r>
    </w:p>
    <w:p w14:paraId="67965F71" w14:textId="6070A342" w:rsidR="00FB630C" w:rsidRPr="002E1E0C" w:rsidRDefault="00FB630C" w:rsidP="00697445">
      <w:pPr>
        <w:pBdr>
          <w:top w:val="nil"/>
          <w:left w:val="nil"/>
          <w:bottom w:val="nil"/>
          <w:right w:val="nil"/>
          <w:between w:val="nil"/>
        </w:pBdr>
        <w:ind w:firstLine="425"/>
        <w:jc w:val="both"/>
        <w:rPr>
          <w:rFonts w:ascii="Times New Roman" w:hAnsi="Times New Roman" w:cs="Times New Roman"/>
          <w:bCs/>
          <w:iCs/>
          <w:color w:val="000000"/>
          <w:sz w:val="24"/>
          <w:szCs w:val="24"/>
          <w:lang w:val="en-US"/>
        </w:rPr>
      </w:pPr>
      <w:r w:rsidRPr="009E4862">
        <w:rPr>
          <w:rFonts w:ascii="Times New Roman" w:hAnsi="Times New Roman" w:cs="Times New Roman"/>
          <w:bCs/>
          <w:iCs/>
          <w:color w:val="000000"/>
          <w:sz w:val="24"/>
          <w:szCs w:val="24"/>
        </w:rPr>
        <w:t>Apakah IFRS 16 benar-benar menjadikan informasi laporan keuangan menjadi lebih relevan? Hal inilah yang menarik perhatian penulis dalam menyusun penelitian ini. Penelitian-penelitian sebelumnya, seperti, Branswijck, Longueville &amp; Everaert</w:t>
      </w:r>
      <w:r w:rsidR="002B41FA">
        <w:rPr>
          <w:rFonts w:ascii="Times New Roman" w:hAnsi="Times New Roman" w:cs="Times New Roman"/>
          <w:bCs/>
          <w:iCs/>
          <w:color w:val="000000"/>
          <w:sz w:val="24"/>
          <w:szCs w:val="24"/>
          <w:lang w:val="en-US"/>
        </w:rPr>
        <w:t xml:space="preserve"> </w:t>
      </w:r>
      <w:r w:rsidR="002B41FA">
        <w:rPr>
          <w:rFonts w:ascii="Times New Roman" w:hAnsi="Times New Roman" w:cs="Times New Roman"/>
          <w:bCs/>
          <w:iCs/>
          <w:color w:val="000000"/>
          <w:sz w:val="24"/>
          <w:szCs w:val="24"/>
        </w:rPr>
        <w:fldChar w:fldCharType="begin" w:fldLock="1"/>
      </w:r>
      <w:r w:rsidR="002B41FA">
        <w:rPr>
          <w:rFonts w:ascii="Times New Roman" w:hAnsi="Times New Roman" w:cs="Times New Roman"/>
          <w:bCs/>
          <w:iCs/>
          <w:color w:val="000000"/>
          <w:sz w:val="24"/>
          <w:szCs w:val="24"/>
        </w:rPr>
        <w:instrText>ADDIN CSL_CITATION {"citationItems":[{"id":"ITEM-1","itemData":{"ISSN":"1843-8105","abstract":"Prior literature examined the financial impact of capitalizing operating leases by using the constructive lease capitalization method of Imhoff et al. (1991). The empirical evidence of these studies results in the perception that operating leases lead to off-balance financing, improvements of financial ratios and earnings enhancement in the U.K. (e.g. Beattie et al., 1998) and in the U.S.(e.g. Ely, 1995). Therefore, the IASB published in 2010 the exposure draft for the new standard on lease accounting (IAS 17). The most striking change is the elimination of the difference between finance and operating lease. Our study investigates the impact of the proposed adaptation for listed companies in Belgium and the Netherlands for 2008. Our results indicate that debt to equity ratio, return on assets and the current ratio are significantly affected by capitalizing operating leases. Furthermore, the results show that the impact on financial ratios differs among industries.","author":[{"dropping-particle":"","family":"Branswijck","given":"Deborah","non-dropping-particle":"","parse-names":false,"suffix":""},{"dropping-particle":"","family":"Gent","given":"Hogeschool","non-dropping-particle":"","parse-names":false,"suffix":""},{"dropping-particle":"","family":"Everaert","given":"Patricia","non-dropping-particle":"","parse-names":false,"suffix":""}],"container-title":"Accounting and Management Information Systems","id":"ITEM-1","issue":"2","issued":{"date-parts":[["2011"]]},"page":"275-295","title":"The Financial Impact of the Proposed Amendments to IAS 17: Evidence from Belgium and the Netherlands","type":"article-journal","volume":"10"},"suppress-author":1,"uris":["http://www.mendeley.com/documents/?uuid=dc7723fb-f5be-4c75-a8cc-a166961785db"]}],"mendeley":{"formattedCitation":"(2011)","plainTextFormattedCitation":"(2011)","previouslyFormattedCitation":"(2011)"},"properties":{"noteIndex":0},"schema":"https://github.com/citation-style-language/schema/raw/master/csl-citation.json"}</w:instrText>
      </w:r>
      <w:r w:rsidR="002B41FA">
        <w:rPr>
          <w:rFonts w:ascii="Times New Roman" w:hAnsi="Times New Roman" w:cs="Times New Roman"/>
          <w:bCs/>
          <w:iCs/>
          <w:color w:val="000000"/>
          <w:sz w:val="24"/>
          <w:szCs w:val="24"/>
        </w:rPr>
        <w:fldChar w:fldCharType="separate"/>
      </w:r>
      <w:r w:rsidR="002B41FA" w:rsidRPr="002B41FA">
        <w:rPr>
          <w:rFonts w:ascii="Times New Roman" w:hAnsi="Times New Roman" w:cs="Times New Roman"/>
          <w:bCs/>
          <w:iCs/>
          <w:noProof/>
          <w:color w:val="000000"/>
          <w:sz w:val="24"/>
          <w:szCs w:val="24"/>
        </w:rPr>
        <w:t>(2011)</w:t>
      </w:r>
      <w:r w:rsidR="002B41FA">
        <w:rPr>
          <w:rFonts w:ascii="Times New Roman" w:hAnsi="Times New Roman" w:cs="Times New Roman"/>
          <w:bCs/>
          <w:iCs/>
          <w:color w:val="000000"/>
          <w:sz w:val="24"/>
          <w:szCs w:val="24"/>
        </w:rPr>
        <w:fldChar w:fldCharType="end"/>
      </w:r>
      <w:r w:rsidRPr="009E4862">
        <w:rPr>
          <w:rFonts w:ascii="Times New Roman" w:hAnsi="Times New Roman" w:cs="Times New Roman"/>
          <w:bCs/>
          <w:iCs/>
          <w:color w:val="000000"/>
          <w:sz w:val="24"/>
          <w:szCs w:val="24"/>
        </w:rPr>
        <w:t>, Kostolansky &amp; Stanko</w:t>
      </w:r>
      <w:r w:rsidR="002B41FA">
        <w:rPr>
          <w:rFonts w:ascii="Times New Roman" w:hAnsi="Times New Roman" w:cs="Times New Roman"/>
          <w:bCs/>
          <w:iCs/>
          <w:color w:val="000000"/>
          <w:sz w:val="24"/>
          <w:szCs w:val="24"/>
          <w:lang w:val="en-US"/>
        </w:rPr>
        <w:t xml:space="preserve"> </w:t>
      </w:r>
      <w:r w:rsidR="002B41FA">
        <w:rPr>
          <w:rFonts w:ascii="Times New Roman" w:hAnsi="Times New Roman" w:cs="Times New Roman"/>
          <w:bCs/>
          <w:iCs/>
          <w:color w:val="000000"/>
          <w:sz w:val="24"/>
          <w:szCs w:val="24"/>
          <w:lang w:val="en-US"/>
        </w:rPr>
        <w:fldChar w:fldCharType="begin" w:fldLock="1"/>
      </w:r>
      <w:r w:rsidR="002B41FA">
        <w:rPr>
          <w:rFonts w:ascii="Times New Roman" w:hAnsi="Times New Roman" w:cs="Times New Roman"/>
          <w:bCs/>
          <w:iCs/>
          <w:color w:val="000000"/>
          <w:sz w:val="24"/>
          <w:szCs w:val="24"/>
          <w:lang w:val="en-US"/>
        </w:rPr>
        <w:instrText>ADDIN CSL_CITATION {"citationItems":[{"id":"ITEM-1","itemData":{"DOI":"10.19030/jber.v9i9.5633","ISSN":"1542-4448","abstract":"&lt;span style=\"font-family: Times New Roman; font-size: small;\"&gt; &lt;/span&gt;&lt;p style=\"margin: 0in 0.5in 0pt; text-align: justify; mso-pagination: none;\" class=\"MsoNormal\"&gt;&lt;span style=\"color: black; font-size: 10pt; mso-themecolor: text1;\"&gt;&lt;span style=\"font-family: Times New Roman;\"&gt;Over several decades, the Financial Accounting Standards Board and International Accounting Standards Board have enacted numerous changes to the controversial lease accounting rules. As currently prescribed, operating leases are treated as rental arrangements whereby the lessee does not record a liability - a situation generally referred to as off-balance sheet financing. In an attempt to increase transparency and comparability, the FASB and IASB will soon require all leases to be capitalized. This paper quantifies the impact of the new leasing standard on the financial statements and ratios of the firms and industries represented in the S&amp;amp;P 100 under a variety of discount rates. &lt;/span&gt;&lt;/span&gt;&lt;/p&gt;&lt;span style=\"font-family: Times New Roman; font-size: small;\"&gt; &lt;/span&gt;","author":[{"dropping-particle":"","family":"Kostolansky","given":"John","non-dropping-particle":"","parse-names":false,"suffix":""},{"dropping-particle":"","family":"Stanko","given":"Brian","non-dropping-particle":"","parse-names":false,"suffix":""}],"container-title":"Journal of Business &amp; Economics Research (JBER)","id":"ITEM-1","issue":"9","issued":{"date-parts":[["2011"]]},"page":"29","title":"The Joint FASB/IASB Lease Project: Discussion And Industry Implications","type":"article-journal","volume":"9"},"suppress-author":1,"uris":["http://www.mendeley.com/documents/?uuid=686f1950-bfc1-44e8-a279-0a2c8044525e"]}],"mendeley":{"formattedCitation":"(2011)","plainTextFormattedCitation":"(2011)","previouslyFormattedCitation":"(2011)"},"properties":{"noteIndex":0},"schema":"https://github.com/citation-style-language/schema/raw/master/csl-citation.json"}</w:instrText>
      </w:r>
      <w:r w:rsidR="002B41FA">
        <w:rPr>
          <w:rFonts w:ascii="Times New Roman" w:hAnsi="Times New Roman" w:cs="Times New Roman"/>
          <w:bCs/>
          <w:iCs/>
          <w:color w:val="000000"/>
          <w:sz w:val="24"/>
          <w:szCs w:val="24"/>
          <w:lang w:val="en-US"/>
        </w:rPr>
        <w:fldChar w:fldCharType="separate"/>
      </w:r>
      <w:r w:rsidR="002B41FA" w:rsidRPr="002B41FA">
        <w:rPr>
          <w:rFonts w:ascii="Times New Roman" w:hAnsi="Times New Roman" w:cs="Times New Roman"/>
          <w:bCs/>
          <w:iCs/>
          <w:noProof/>
          <w:color w:val="000000"/>
          <w:sz w:val="24"/>
          <w:szCs w:val="24"/>
          <w:lang w:val="en-US"/>
        </w:rPr>
        <w:t>(2011)</w:t>
      </w:r>
      <w:r w:rsidR="002B41FA">
        <w:rPr>
          <w:rFonts w:ascii="Times New Roman" w:hAnsi="Times New Roman" w:cs="Times New Roman"/>
          <w:bCs/>
          <w:iCs/>
          <w:color w:val="000000"/>
          <w:sz w:val="24"/>
          <w:szCs w:val="24"/>
          <w:lang w:val="en-US"/>
        </w:rPr>
        <w:fldChar w:fldCharType="end"/>
      </w:r>
      <w:r w:rsidRPr="009E4862">
        <w:rPr>
          <w:rFonts w:ascii="Times New Roman" w:hAnsi="Times New Roman" w:cs="Times New Roman"/>
          <w:bCs/>
          <w:iCs/>
          <w:color w:val="000000"/>
          <w:sz w:val="24"/>
          <w:szCs w:val="24"/>
        </w:rPr>
        <w:t>, Lee, Paik &amp; Sung</w:t>
      </w:r>
      <w:r w:rsidR="002B41FA">
        <w:rPr>
          <w:rFonts w:ascii="Times New Roman" w:hAnsi="Times New Roman" w:cs="Times New Roman"/>
          <w:bCs/>
          <w:iCs/>
          <w:color w:val="000000"/>
          <w:sz w:val="24"/>
          <w:szCs w:val="24"/>
          <w:lang w:val="en-US"/>
        </w:rPr>
        <w:t xml:space="preserve"> </w:t>
      </w:r>
      <w:r w:rsidR="002B41FA">
        <w:rPr>
          <w:rFonts w:ascii="Times New Roman" w:hAnsi="Times New Roman" w:cs="Times New Roman"/>
          <w:bCs/>
          <w:iCs/>
          <w:color w:val="000000"/>
          <w:sz w:val="24"/>
          <w:szCs w:val="24"/>
          <w:lang w:val="en-US"/>
        </w:rPr>
        <w:fldChar w:fldCharType="begin" w:fldLock="1"/>
      </w:r>
      <w:r w:rsidR="002B41FA">
        <w:rPr>
          <w:rFonts w:ascii="Times New Roman" w:hAnsi="Times New Roman" w:cs="Times New Roman"/>
          <w:bCs/>
          <w:iCs/>
          <w:color w:val="000000"/>
          <w:sz w:val="24"/>
          <w:szCs w:val="24"/>
          <w:lang w:val="en-US"/>
        </w:rPr>
        <w:instrText>ADDIN CSL_CITATION {"citationItems":[{"id":"ITEM-1","itemData":{"ISSN":"21583625","abstract":"We investigate the effect of capitalizing operating leases on firms' immediacy to their debt covenant violations. The results of our analysis of U.S. companies indicate that the capitalization of operating leases will cause significant changes in the various financial ratios contained within firms' debt covenants. We find that, for some firms, capitalization deteriorates their financial ratios significantly and to the extent that firms will likely violate their debt covenants after such capitalization. However, our results also indicate that, for other firms, capitalizing operating leases results in the improvement of financial ratios and will help firms reduce their risk of debt covenant violation. [ABSTRACT FROM AUTHOR]","author":[{"dropping-particle":"","family":"Lee","given":"Byunghwan","non-dropping-particle":"","parse-names":false,"suffix":""},{"dropping-particle":"","family":"Gyung Paik","given":"Daniel","non-dropping-particle":"","parse-names":false,"suffix":""},{"dropping-particle":"","family":"Yoon","given":"Sung Wook","non-dropping-particle":"","parse-names":false,"suffix":""}],"container-title":"Journal of Accounting &amp; Finance (2158-3625)","id":"ITEM-1","issue":"6","issued":{"date-parts":[["2014"]]},"page":"44-70","title":"The Effect of Capitalizing Operating Leases on the Immediacy to Debt Covenant Violations.","type":"article-journal","volume":"14"},"suppress-author":1,"uris":["http://www.mendeley.com/documents/?uuid=c3cb0c3b-ed59-4ab2-9048-b69ad08afbfc"]}],"mendeley":{"formattedCitation":"(2014)","plainTextFormattedCitation":"(2014)","previouslyFormattedCitation":"(2014)"},"properties":{"noteIndex":0},"schema":"https://github.com/citation-style-language/schema/raw/master/csl-citation.json"}</w:instrText>
      </w:r>
      <w:r w:rsidR="002B41FA">
        <w:rPr>
          <w:rFonts w:ascii="Times New Roman" w:hAnsi="Times New Roman" w:cs="Times New Roman"/>
          <w:bCs/>
          <w:iCs/>
          <w:color w:val="000000"/>
          <w:sz w:val="24"/>
          <w:szCs w:val="24"/>
          <w:lang w:val="en-US"/>
        </w:rPr>
        <w:fldChar w:fldCharType="separate"/>
      </w:r>
      <w:r w:rsidR="002B41FA" w:rsidRPr="002B41FA">
        <w:rPr>
          <w:rFonts w:ascii="Times New Roman" w:hAnsi="Times New Roman" w:cs="Times New Roman"/>
          <w:bCs/>
          <w:iCs/>
          <w:noProof/>
          <w:color w:val="000000"/>
          <w:sz w:val="24"/>
          <w:szCs w:val="24"/>
          <w:lang w:val="en-US"/>
        </w:rPr>
        <w:t>(2014)</w:t>
      </w:r>
      <w:r w:rsidR="002B41FA">
        <w:rPr>
          <w:rFonts w:ascii="Times New Roman" w:hAnsi="Times New Roman" w:cs="Times New Roman"/>
          <w:bCs/>
          <w:iCs/>
          <w:color w:val="000000"/>
          <w:sz w:val="24"/>
          <w:szCs w:val="24"/>
          <w:lang w:val="en-US"/>
        </w:rPr>
        <w:fldChar w:fldCharType="end"/>
      </w:r>
      <w:r w:rsidRPr="009E4862">
        <w:rPr>
          <w:rFonts w:ascii="Times New Roman" w:hAnsi="Times New Roman" w:cs="Times New Roman"/>
          <w:bCs/>
          <w:iCs/>
          <w:color w:val="000000"/>
          <w:sz w:val="24"/>
          <w:szCs w:val="24"/>
        </w:rPr>
        <w:t>, Tahtah &amp; Roelofsen</w:t>
      </w:r>
      <w:r w:rsidR="002B41FA">
        <w:rPr>
          <w:rFonts w:ascii="Times New Roman" w:hAnsi="Times New Roman" w:cs="Times New Roman"/>
          <w:bCs/>
          <w:iCs/>
          <w:color w:val="000000"/>
          <w:sz w:val="24"/>
          <w:szCs w:val="24"/>
          <w:lang w:val="en-US"/>
        </w:rPr>
        <w:t xml:space="preserve"> </w:t>
      </w:r>
      <w:r w:rsidR="002B41FA">
        <w:rPr>
          <w:rFonts w:ascii="Times New Roman" w:hAnsi="Times New Roman" w:cs="Times New Roman"/>
          <w:bCs/>
          <w:iCs/>
          <w:color w:val="000000"/>
          <w:sz w:val="24"/>
          <w:szCs w:val="24"/>
          <w:lang w:val="en-US"/>
        </w:rPr>
        <w:fldChar w:fldCharType="begin" w:fldLock="1"/>
      </w:r>
      <w:r w:rsidR="002B41FA">
        <w:rPr>
          <w:rFonts w:ascii="Times New Roman" w:hAnsi="Times New Roman" w:cs="Times New Roman"/>
          <w:bCs/>
          <w:iCs/>
          <w:color w:val="000000"/>
          <w:sz w:val="24"/>
          <w:szCs w:val="24"/>
          <w:lang w:val="en-US"/>
        </w:rPr>
        <w:instrText>ADDIN CSL_CITATION {"citationItems":[{"id":"ITEM-1","itemData":{"abstract":"In collaboration with the RotterdamSchool of Management, in the Netherlands, we have conducted a global study to assess the impact of the new leases standard on the financial statements, key financial ratios and performancemeasures on a sample of 3,199 listed IFRS reporting organisations across a range of industries and countries (excluding the United States). The study identifies theminimumimpact of capitalising the operating lease commitments as disclosed in the published financial statements for 2014. In view of organisations assessment of the lease termunder the new standard, the inclusion of amongst others in-substance fixed payments and variable payments linked to an index or rate, the eventual impactmay bemuch greater. Furthermore, the study takes no account of transitional reliefs that are available upon adoption of the new leases standard on 1 January 2019.","author":[{"dropping-particle":"","family":"Tahtah","given":"Jay","non-dropping-particle":"","parse-names":false,"suffix":""},{"dropping-particle":"","family":"Roelofsen","given":"Erik","non-dropping-particle":"","parse-names":false,"suffix":""}],"container-title":"PwC report","id":"ITEM-1","issue":"February","issued":{"date-parts":[["2016"]]},"page":"14","title":"A study on the impact of lease capitalisation IFRS 16 : The new leases standard","type":"article-journal"},"suppress-author":1,"uris":["http://www.mendeley.com/documents/?uuid=46c01c49-cb88-4f82-be1c-ad2cda2e6232"]}],"mendeley":{"formattedCitation":"(2016)","plainTextFormattedCitation":"(2016)","previouslyFormattedCitation":"(2016)"},"properties":{"noteIndex":0},"schema":"https://github.com/citation-style-language/schema/raw/master/csl-citation.json"}</w:instrText>
      </w:r>
      <w:r w:rsidR="002B41FA">
        <w:rPr>
          <w:rFonts w:ascii="Times New Roman" w:hAnsi="Times New Roman" w:cs="Times New Roman"/>
          <w:bCs/>
          <w:iCs/>
          <w:color w:val="000000"/>
          <w:sz w:val="24"/>
          <w:szCs w:val="24"/>
          <w:lang w:val="en-US"/>
        </w:rPr>
        <w:fldChar w:fldCharType="separate"/>
      </w:r>
      <w:r w:rsidR="002B41FA" w:rsidRPr="002B41FA">
        <w:rPr>
          <w:rFonts w:ascii="Times New Roman" w:hAnsi="Times New Roman" w:cs="Times New Roman"/>
          <w:bCs/>
          <w:iCs/>
          <w:noProof/>
          <w:color w:val="000000"/>
          <w:sz w:val="24"/>
          <w:szCs w:val="24"/>
          <w:lang w:val="en-US"/>
        </w:rPr>
        <w:t>(2016)</w:t>
      </w:r>
      <w:r w:rsidR="002B41FA">
        <w:rPr>
          <w:rFonts w:ascii="Times New Roman" w:hAnsi="Times New Roman" w:cs="Times New Roman"/>
          <w:bCs/>
          <w:iCs/>
          <w:color w:val="000000"/>
          <w:sz w:val="24"/>
          <w:szCs w:val="24"/>
          <w:lang w:val="en-US"/>
        </w:rPr>
        <w:fldChar w:fldCharType="end"/>
      </w:r>
      <w:r w:rsidRPr="009E4862">
        <w:rPr>
          <w:rFonts w:ascii="Times New Roman" w:hAnsi="Times New Roman" w:cs="Times New Roman"/>
          <w:bCs/>
          <w:iCs/>
          <w:color w:val="000000"/>
          <w:sz w:val="24"/>
          <w:szCs w:val="24"/>
        </w:rPr>
        <w:t xml:space="preserve">, Diaz &amp; Ramirez </w:t>
      </w:r>
      <w:r w:rsidR="002B41FA">
        <w:rPr>
          <w:rFonts w:ascii="Times New Roman" w:hAnsi="Times New Roman" w:cs="Times New Roman"/>
          <w:bCs/>
          <w:iCs/>
          <w:color w:val="000000"/>
          <w:sz w:val="24"/>
          <w:szCs w:val="24"/>
        </w:rPr>
        <w:fldChar w:fldCharType="begin" w:fldLock="1"/>
      </w:r>
      <w:r w:rsidR="00786A91">
        <w:rPr>
          <w:rFonts w:ascii="Times New Roman" w:hAnsi="Times New Roman" w:cs="Times New Roman"/>
          <w:bCs/>
          <w:iCs/>
          <w:color w:val="000000"/>
          <w:sz w:val="24"/>
          <w:szCs w:val="24"/>
        </w:rPr>
        <w:instrText>ADDIN CSL_CITATION {"citationItems":[{"id":"ITEM-1","itemData":{"DOI":"10.1080/17449480.2018.1433307","ISSN":"17449499","abstract":"In January 2016, the International Accounting Standards Board issued a new standard for lease accounting: International Financial Reporting Starndard (IFRS) 16. IFRS 16 will lead to the capitalisation of the majority of current operating leases by lessees. We analyse the impact of the new accounting model on entity’s key financial, contributing to research by making significant changes in the Imhoff et al. [(1991). Operating leases: Impact of constructive capitalization. Accounting Horizons, 5(1), 51–63. Retrieved from http://search.ebscohost.com/login.aspx?direct=true&amp;db=buh&amp;AN=9604010111&amp;site=ehost-live; (1997). Operating leases: Income effects of constructive capitalization. Accounting Horizons, 11(2), 12–32. Retrieved from http://0-search.proquest.com.fama.us.es/docview/208896121?accountid=14744] methodology used by previous authors. We change how the lease term is estimated (more aligned with the final approved standard), and how the discount rate is obtained. Furthermore, we use a more comprehensive sample (646 quoted European companies). In line with previous research we find important systematic impacts on key balance sheet financial ratios (mainly leverage ratios), on a magnitude that depends on the operating lease intensity of the sector in which the entity operates. Our estimated impact is generally higher than that obtained in previous studies. The most affected sectors are retail, hotels and transportation. We do not find a consistent result with regard to the effect on profitability ratios.","author":[{"dropping-particle":"","family":"Morales-Díaz","given":"José","non-dropping-particle":"","parse-names":false,"suffix":""},{"dropping-particle":"","family":"Zamora-Ramírez","given":"Constancio","non-dropping-particle":"","parse-names":false,"suffix":""}],"container-title":"Accounting in Europe","id":"ITEM-1","issue":"1","issued":{"date-parts":[["2018"]]},"page":"105-133","publisher":"Taylor &amp; Francis","title":"The Impact of IFRS 16 on Key Financial Ratios: A New Methodological Approach","type":"article-journal","volume":"15"},"suppress-author":1,"uris":["http://www.mendeley.com/documents/?uuid=8bbe9ccc-f8b1-4fe3-87c7-19ede5bad7fb"]}],"mendeley":{"formattedCitation":"(2018)","plainTextFormattedCitation":"(2018)","previouslyFormattedCitation":"(2018)"},"properties":{"noteIndex":0},"schema":"https://github.com/citation-style-language/schema/raw/master/csl-citation.json"}</w:instrText>
      </w:r>
      <w:r w:rsidR="002B41FA">
        <w:rPr>
          <w:rFonts w:ascii="Times New Roman" w:hAnsi="Times New Roman" w:cs="Times New Roman"/>
          <w:bCs/>
          <w:iCs/>
          <w:color w:val="000000"/>
          <w:sz w:val="24"/>
          <w:szCs w:val="24"/>
        </w:rPr>
        <w:fldChar w:fldCharType="separate"/>
      </w:r>
      <w:r w:rsidR="002B41FA" w:rsidRPr="002B41FA">
        <w:rPr>
          <w:rFonts w:ascii="Times New Roman" w:hAnsi="Times New Roman" w:cs="Times New Roman"/>
          <w:bCs/>
          <w:iCs/>
          <w:noProof/>
          <w:color w:val="000000"/>
          <w:sz w:val="24"/>
          <w:szCs w:val="24"/>
        </w:rPr>
        <w:t>(2018)</w:t>
      </w:r>
      <w:r w:rsidR="002B41FA">
        <w:rPr>
          <w:rFonts w:ascii="Times New Roman" w:hAnsi="Times New Roman" w:cs="Times New Roman"/>
          <w:bCs/>
          <w:iCs/>
          <w:color w:val="000000"/>
          <w:sz w:val="24"/>
          <w:szCs w:val="24"/>
        </w:rPr>
        <w:fldChar w:fldCharType="end"/>
      </w:r>
      <w:r w:rsidRPr="009E4862">
        <w:rPr>
          <w:rFonts w:ascii="Times New Roman" w:hAnsi="Times New Roman" w:cs="Times New Roman"/>
          <w:bCs/>
          <w:iCs/>
          <w:color w:val="000000"/>
          <w:sz w:val="24"/>
          <w:szCs w:val="24"/>
        </w:rPr>
        <w:t xml:space="preserve">, telah melakukan penelitian </w:t>
      </w:r>
      <w:r w:rsidRPr="00152937">
        <w:rPr>
          <w:rFonts w:ascii="Times New Roman" w:hAnsi="Times New Roman" w:cs="Times New Roman"/>
          <w:bCs/>
          <w:i/>
          <w:iCs/>
          <w:color w:val="000000"/>
          <w:sz w:val="24"/>
          <w:szCs w:val="24"/>
        </w:rPr>
        <w:t>ex-ante</w:t>
      </w:r>
      <w:r w:rsidRPr="009E4862">
        <w:rPr>
          <w:rFonts w:ascii="Times New Roman" w:hAnsi="Times New Roman" w:cs="Times New Roman"/>
          <w:bCs/>
          <w:iCs/>
          <w:color w:val="000000"/>
          <w:sz w:val="24"/>
          <w:szCs w:val="24"/>
        </w:rPr>
        <w:t xml:space="preserve">, dengan menggunakan simulasi </w:t>
      </w:r>
      <w:r w:rsidR="009A0601" w:rsidRPr="009E4862">
        <w:rPr>
          <w:rFonts w:ascii="Times New Roman" w:hAnsi="Times New Roman" w:cs="Times New Roman"/>
          <w:bCs/>
          <w:iCs/>
          <w:color w:val="000000"/>
          <w:sz w:val="24"/>
          <w:szCs w:val="24"/>
          <w:lang w:val="en-US"/>
        </w:rPr>
        <w:t>kapitalisasi</w:t>
      </w:r>
      <w:r w:rsidRPr="009E4862">
        <w:rPr>
          <w:rFonts w:ascii="Times New Roman" w:hAnsi="Times New Roman" w:cs="Times New Roman"/>
          <w:bCs/>
          <w:iCs/>
          <w:color w:val="000000"/>
          <w:sz w:val="24"/>
          <w:szCs w:val="24"/>
        </w:rPr>
        <w:t xml:space="preserve"> sewa operasi menyerupai model ROU. Mereka berkesimpulan bahwa kapitalisasi sewa operasi dapat merubah beberapa akun dalam laporan keuangan dan rasio-rasio keuangan signifikan</w:t>
      </w:r>
      <w:r w:rsidR="00B07AF1" w:rsidRPr="009E4862">
        <w:rPr>
          <w:rFonts w:ascii="Times New Roman" w:hAnsi="Times New Roman" w:cs="Times New Roman"/>
          <w:bCs/>
          <w:iCs/>
          <w:color w:val="000000"/>
          <w:sz w:val="24"/>
          <w:szCs w:val="24"/>
          <w:lang w:val="en-US"/>
        </w:rPr>
        <w:t xml:space="preserve">. </w:t>
      </w:r>
      <w:r w:rsidRPr="009E4862">
        <w:rPr>
          <w:rFonts w:ascii="Times New Roman" w:hAnsi="Times New Roman" w:cs="Times New Roman"/>
          <w:bCs/>
          <w:iCs/>
          <w:color w:val="000000"/>
          <w:sz w:val="24"/>
          <w:szCs w:val="24"/>
        </w:rPr>
        <w:t xml:space="preserve">Hal ini pun dapat berdampak pada penilaian rating kredit, seperti dinyatakan oleh Kusano </w:t>
      </w:r>
      <w:r w:rsidR="00786A91">
        <w:rPr>
          <w:rFonts w:ascii="Times New Roman" w:hAnsi="Times New Roman" w:cs="Times New Roman"/>
          <w:bCs/>
          <w:iCs/>
          <w:color w:val="000000"/>
          <w:sz w:val="24"/>
          <w:szCs w:val="24"/>
        </w:rPr>
        <w:fldChar w:fldCharType="begin" w:fldLock="1"/>
      </w:r>
      <w:r w:rsidR="00DE03B0">
        <w:rPr>
          <w:rFonts w:ascii="Times New Roman" w:hAnsi="Times New Roman" w:cs="Times New Roman"/>
          <w:bCs/>
          <w:iCs/>
          <w:color w:val="000000"/>
          <w:sz w:val="24"/>
          <w:szCs w:val="24"/>
        </w:rPr>
        <w:instrText>ADDIN CSL_CITATION {"citationItems":[{"id":"ITEM-1","itemData":{"DOI":"10.1016/j.intaccaudtax.2017.12.008","ISSN":"10619518","abstract":"The purpose of this study is to examine the effects of constructively capitalizing operating leases on credit ratings in Japan. In particular, this study investigates whether and how a credit rating agency considers operating lease information when determining credit ratings. First, this study shows that constructively capitalized operating leases are associated with credit ratings. Second, this study finds that the associations between operating leases versus finance leases and credit ratings are not substantially different. However, when operating lease disclosures are less reliable, this study finds that operating leases are not associated with credit ratings and that the risk relevance of operating leases is substantially different from that of finance leases. This study reports that the reliability of accounting information has significant effects on the risk relevance of operating leases. These results indicate that a credit rating agency considers operating lease information in determining credit ratings to the extent that this information is reliable. This study contributes to the literature on the usefulness of operating lease disclosures and to the discussions on the global convergence of accounting standards.","author":[{"dropping-particle":"","family":"Kusano","given":"Masaki","non-dropping-particle":"","parse-names":false,"suffix":""}],"container-title":"Journal of International Accounting, Auditing and Taxation","id":"ITEM-1","issued":{"date-parts":[["2018"]]},"page":"45-56","publisher":"Elsevier Inc.","title":"Effect of capitalizing operating leases on credit ratings: Evidence from Japan","type":"article-journal","volume":"30"},"suppress-author":1,"uris":["http://www.mendeley.com/documents/?uuid=4276b5e2-757e-4fa2-b5eb-e99d9617f091"]}],"mendeley":{"formattedCitation":"(2018)","plainTextFormattedCitation":"(2018)","previouslyFormattedCitation":"(2018)"},"properties":{"noteIndex":0},"schema":"https://github.com/citation-style-language/schema/raw/master/csl-citation.json"}</w:instrText>
      </w:r>
      <w:r w:rsidR="00786A91">
        <w:rPr>
          <w:rFonts w:ascii="Times New Roman" w:hAnsi="Times New Roman" w:cs="Times New Roman"/>
          <w:bCs/>
          <w:iCs/>
          <w:color w:val="000000"/>
          <w:sz w:val="24"/>
          <w:szCs w:val="24"/>
        </w:rPr>
        <w:fldChar w:fldCharType="separate"/>
      </w:r>
      <w:r w:rsidR="00786A91" w:rsidRPr="00786A91">
        <w:rPr>
          <w:rFonts w:ascii="Times New Roman" w:hAnsi="Times New Roman" w:cs="Times New Roman"/>
          <w:bCs/>
          <w:iCs/>
          <w:noProof/>
          <w:color w:val="000000"/>
          <w:sz w:val="24"/>
          <w:szCs w:val="24"/>
        </w:rPr>
        <w:t>(2018)</w:t>
      </w:r>
      <w:r w:rsidR="00786A91">
        <w:rPr>
          <w:rFonts w:ascii="Times New Roman" w:hAnsi="Times New Roman" w:cs="Times New Roman"/>
          <w:bCs/>
          <w:iCs/>
          <w:color w:val="000000"/>
          <w:sz w:val="24"/>
          <w:szCs w:val="24"/>
        </w:rPr>
        <w:fldChar w:fldCharType="end"/>
      </w:r>
      <w:r w:rsidRPr="009E4862">
        <w:rPr>
          <w:rFonts w:ascii="Times New Roman" w:hAnsi="Times New Roman" w:cs="Times New Roman"/>
          <w:bCs/>
          <w:iCs/>
          <w:color w:val="000000"/>
          <w:sz w:val="24"/>
          <w:szCs w:val="24"/>
        </w:rPr>
        <w:t>.</w:t>
      </w:r>
      <w:r w:rsidR="002E1E0C">
        <w:rPr>
          <w:rFonts w:ascii="Times New Roman" w:hAnsi="Times New Roman" w:cs="Times New Roman"/>
          <w:bCs/>
          <w:iCs/>
          <w:color w:val="000000"/>
          <w:sz w:val="24"/>
          <w:szCs w:val="24"/>
          <w:lang w:val="en-US"/>
        </w:rPr>
        <w:t xml:space="preserve"> Sementara, Altamuro, et al</w:t>
      </w:r>
      <w:r w:rsidR="002E1E0C">
        <w:rPr>
          <w:rFonts w:ascii="Times New Roman" w:hAnsi="Times New Roman" w:cs="Times New Roman"/>
          <w:sz w:val="24"/>
          <w:lang w:val="en-US"/>
        </w:rPr>
        <w:t xml:space="preserve"> </w:t>
      </w:r>
      <w:r w:rsidR="002E1E0C">
        <w:rPr>
          <w:rFonts w:ascii="Times New Roman" w:hAnsi="Times New Roman" w:cs="Times New Roman"/>
          <w:sz w:val="24"/>
          <w:lang w:val="en-US"/>
        </w:rPr>
        <w:fldChar w:fldCharType="begin" w:fldLock="1"/>
      </w:r>
      <w:r w:rsidR="002E1E0C">
        <w:rPr>
          <w:rFonts w:ascii="Times New Roman" w:hAnsi="Times New Roman" w:cs="Times New Roman"/>
          <w:sz w:val="24"/>
          <w:lang w:val="en-US"/>
        </w:rPr>
        <w:instrText>ADDIN CSL_CITATION {"citationItems":[{"id":"ITEM-1","itemData":{"DOI":"10.1111/1911-3846.12033","ISSN":"19113846","author":[{"dropping-particle":"","family":"Altamuro","given":"Jennifer","non-dropping-particle":"","parse-names":false,"suffix":""},{"dropping-particle":"","family":"Johnston","given":"Rick","non-dropping-particle":"","parse-names":false,"suffix":""},{"dropping-particle":"","family":"Pandit","given":"Shailendra Shail","non-dropping-particle":"","parse-names":false,"suffix":""},{"dropping-particle":"","family":"Zhang","given":"Haiwen Helen","non-dropping-particle":"","parse-names":false,"suffix":""}],"container-title":"Contemporary Accounting Research","id":"ITEM-1","issue":"2","issued":{"date-parts":[["2014"]]},"page":"551-580","title":"Operating leases and credit assessments","type":"article-journal","volume":"31"},"suppress-author":1,"uris":["http://www.mendeley.com/documents/?uuid=03958475-5533-4b32-bc2e-0edac7200ac0"]}],"mendeley":{"formattedCitation":"(2014)","plainTextFormattedCitation":"(2014)","previouslyFormattedCitation":"(2014)"},"properties":{"noteIndex":0},"schema":"https://github.com/citation-style-language/schema/raw/master/csl-citation.json"}</w:instrText>
      </w:r>
      <w:r w:rsidR="002E1E0C">
        <w:rPr>
          <w:rFonts w:ascii="Times New Roman" w:hAnsi="Times New Roman" w:cs="Times New Roman"/>
          <w:sz w:val="24"/>
          <w:lang w:val="en-US"/>
        </w:rPr>
        <w:fldChar w:fldCharType="separate"/>
      </w:r>
      <w:r w:rsidR="002E1E0C" w:rsidRPr="006363D4">
        <w:rPr>
          <w:rFonts w:ascii="Times New Roman" w:hAnsi="Times New Roman" w:cs="Times New Roman"/>
          <w:noProof/>
          <w:sz w:val="24"/>
          <w:lang w:val="en-US"/>
        </w:rPr>
        <w:t>(2014)</w:t>
      </w:r>
      <w:r w:rsidR="002E1E0C">
        <w:rPr>
          <w:rFonts w:ascii="Times New Roman" w:hAnsi="Times New Roman" w:cs="Times New Roman"/>
          <w:sz w:val="24"/>
          <w:lang w:val="en-US"/>
        </w:rPr>
        <w:fldChar w:fldCharType="end"/>
      </w:r>
      <w:r w:rsidR="002E1E0C">
        <w:rPr>
          <w:rFonts w:ascii="Times New Roman" w:hAnsi="Times New Roman" w:cs="Times New Roman"/>
          <w:sz w:val="24"/>
          <w:lang w:val="en-US"/>
        </w:rPr>
        <w:t>,</w:t>
      </w:r>
      <w:r w:rsidR="002E1E0C" w:rsidRPr="006363D4">
        <w:rPr>
          <w:rFonts w:ascii="Times New Roman" w:hAnsi="Times New Roman" w:cs="Times New Roman"/>
          <w:sz w:val="24"/>
          <w:lang w:val="en-US"/>
        </w:rPr>
        <w:t xml:space="preserve"> dan</w:t>
      </w:r>
      <w:r w:rsidR="002E1E0C">
        <w:rPr>
          <w:rFonts w:ascii="Times New Roman" w:hAnsi="Times New Roman" w:cs="Times New Roman"/>
          <w:sz w:val="24"/>
          <w:lang w:val="en-US"/>
        </w:rPr>
        <w:t xml:space="preserve"> Giner &amp; Pardo </w:t>
      </w:r>
      <w:r w:rsidR="002E1E0C">
        <w:rPr>
          <w:rFonts w:ascii="Times New Roman" w:hAnsi="Times New Roman" w:cs="Times New Roman"/>
          <w:sz w:val="24"/>
          <w:lang w:val="en-US"/>
        </w:rPr>
        <w:fldChar w:fldCharType="begin" w:fldLock="1"/>
      </w:r>
      <w:r w:rsidR="002E1E0C">
        <w:rPr>
          <w:rFonts w:ascii="Times New Roman" w:hAnsi="Times New Roman" w:cs="Times New Roman"/>
          <w:sz w:val="24"/>
          <w:lang w:val="en-US"/>
        </w:rPr>
        <w:instrText>ADDIN CSL_CITATION {"citationItems":[{"id":"ITEM-1","itemData":{"DOI":"10.1111/auar.12233","ISSN":"18352561","abstract":"The new IASB and FASB models for leases aim to improve the quality of financial reporting. To this end, both standard setters impose the recognition of assets and liabilities for operating leases. Meanwhile, preparers have been strongly lobbying against these changes, as in their view the new treatment will lead to negative economic consequences. We undertake a value-relevance study to examine whether as-if capitalised operating leases are priced by market users in a relatively unexplored setting. We consider Spanish listed firms, and employ hand-collected data on operating leases disclosed in the notes to the financial statements to constructively capitalise the assets and liabilities. Our analysis suggests that investors in code-law countries with less developed markets and low enforcement quality do not behave any differently to those in common-law countries that have more developed markets and stricter enforcement policies. Investors equally value recognised debts and operating lease liabilities resulting from information in the notes in retail sectors. In our view, these results could provide some comfort to managers in the most affected industries, as they suggest the change will not have a major impact on the stock exchange.","author":[{"dropping-particle":"","family":"Giner","given":"Begoña","non-dropping-particle":"","parse-names":false,"suffix":""},{"dropping-particle":"","family":"Pardo","given":"Francisca","non-dropping-particle":"","parse-names":false,"suffix":""}],"container-title":"Australian Accounting Review","id":"ITEM-1","issue":"4","issued":{"date-parts":[["2018"]]},"page":"496-511","title":"The Value Relevance of Operating Lease Liabilities: Economic Effects of IFRS 16","type":"article-journal","volume":"28"},"suppress-author":1,"uris":["http://www.mendeley.com/documents/?uuid=ddd3dbf6-d0eb-4b4f-8e19-3b3c02753b5c"]}],"mendeley":{"formattedCitation":"(2018)","plainTextFormattedCitation":"(2018)"},"properties":{"noteIndex":0},"schema":"https://github.com/citation-style-language/schema/raw/master/csl-citation.json"}</w:instrText>
      </w:r>
      <w:r w:rsidR="002E1E0C">
        <w:rPr>
          <w:rFonts w:ascii="Times New Roman" w:hAnsi="Times New Roman" w:cs="Times New Roman"/>
          <w:sz w:val="24"/>
          <w:lang w:val="en-US"/>
        </w:rPr>
        <w:fldChar w:fldCharType="separate"/>
      </w:r>
      <w:r w:rsidR="002E1E0C" w:rsidRPr="006363D4">
        <w:rPr>
          <w:rFonts w:ascii="Times New Roman" w:hAnsi="Times New Roman" w:cs="Times New Roman"/>
          <w:noProof/>
          <w:sz w:val="24"/>
          <w:lang w:val="en-US"/>
        </w:rPr>
        <w:t>(2018)</w:t>
      </w:r>
      <w:r w:rsidR="002E1E0C">
        <w:rPr>
          <w:rFonts w:ascii="Times New Roman" w:hAnsi="Times New Roman" w:cs="Times New Roman"/>
          <w:sz w:val="24"/>
          <w:lang w:val="en-US"/>
        </w:rPr>
        <w:fldChar w:fldCharType="end"/>
      </w:r>
      <w:r w:rsidR="002E1E0C">
        <w:rPr>
          <w:rFonts w:ascii="Times New Roman" w:hAnsi="Times New Roman" w:cs="Times New Roman"/>
          <w:sz w:val="24"/>
          <w:lang w:val="en-US"/>
        </w:rPr>
        <w:t xml:space="preserve"> menyatakan bahwa sewa operasi sudah diperhitungkan sehingga PSAK 73 tidak menambah relevansi yang berarti bagi laporan keuangan</w:t>
      </w:r>
      <w:r w:rsidR="00152937">
        <w:rPr>
          <w:rFonts w:ascii="Times New Roman" w:hAnsi="Times New Roman" w:cs="Times New Roman"/>
          <w:sz w:val="24"/>
          <w:lang w:val="en-US"/>
        </w:rPr>
        <w:t>.</w:t>
      </w:r>
    </w:p>
    <w:p w14:paraId="0ED85D20" w14:textId="38833030" w:rsidR="00FB630C" w:rsidRPr="009E4862" w:rsidRDefault="00FB630C" w:rsidP="00697445">
      <w:pPr>
        <w:pBdr>
          <w:top w:val="nil"/>
          <w:left w:val="nil"/>
          <w:bottom w:val="nil"/>
          <w:right w:val="nil"/>
          <w:between w:val="nil"/>
        </w:pBdr>
        <w:ind w:firstLine="425"/>
        <w:jc w:val="both"/>
        <w:rPr>
          <w:rFonts w:ascii="Times New Roman" w:hAnsi="Times New Roman" w:cs="Times New Roman"/>
          <w:bCs/>
          <w:iCs/>
          <w:color w:val="000000"/>
          <w:sz w:val="24"/>
          <w:szCs w:val="24"/>
          <w:lang w:val="en-US"/>
        </w:rPr>
      </w:pPr>
      <w:r w:rsidRPr="009E4862">
        <w:rPr>
          <w:rFonts w:ascii="Times New Roman" w:hAnsi="Times New Roman" w:cs="Times New Roman"/>
          <w:bCs/>
          <w:iCs/>
          <w:color w:val="000000"/>
          <w:sz w:val="24"/>
          <w:szCs w:val="24"/>
        </w:rPr>
        <w:t xml:space="preserve">Standar ini masih baru efektif berlaku </w:t>
      </w:r>
      <w:r w:rsidR="00B07AF1" w:rsidRPr="009E4862">
        <w:rPr>
          <w:rFonts w:ascii="Times New Roman" w:hAnsi="Times New Roman" w:cs="Times New Roman"/>
          <w:bCs/>
          <w:iCs/>
          <w:color w:val="000000"/>
          <w:sz w:val="24"/>
          <w:szCs w:val="24"/>
          <w:lang w:val="en-US"/>
        </w:rPr>
        <w:t>pada</w:t>
      </w:r>
      <w:r w:rsidRPr="009E4862">
        <w:rPr>
          <w:rFonts w:ascii="Times New Roman" w:hAnsi="Times New Roman" w:cs="Times New Roman"/>
          <w:bCs/>
          <w:iCs/>
          <w:color w:val="000000"/>
          <w:sz w:val="24"/>
          <w:szCs w:val="24"/>
        </w:rPr>
        <w:t xml:space="preserve"> 1 Januari 2020 di Indonesia. Maka itu, penelitian-penelitian dalam topik IFRS 16, masih menggunakan perhitungan simulasi. Sampai saat penulisan, masih belum ada penelitian yang dibuat untuk relevansi nilai menggunakan angka-angka aktual dari laporan keuangan, karena laporan keuangan paling cepat baru diterbitkan di kisaran bulan Maret 2020</w:t>
      </w:r>
      <w:r w:rsidR="009E4862" w:rsidRPr="009E4862">
        <w:rPr>
          <w:rFonts w:ascii="Times New Roman" w:hAnsi="Times New Roman" w:cs="Times New Roman"/>
          <w:bCs/>
          <w:iCs/>
          <w:color w:val="000000"/>
          <w:sz w:val="24"/>
          <w:szCs w:val="24"/>
          <w:lang w:val="en-US"/>
        </w:rPr>
        <w:t>. Sehingga penelitian ini akan sangat berguna untuk mengkonfirmasi atau mengkontradiski ekspektasi dari penerbitan PSAK 73 ini.</w:t>
      </w:r>
    </w:p>
    <w:p w14:paraId="7CB1224E" w14:textId="6986A952" w:rsidR="00E20A4A" w:rsidRDefault="00FB630C" w:rsidP="00697445">
      <w:pPr>
        <w:pBdr>
          <w:top w:val="nil"/>
          <w:left w:val="nil"/>
          <w:bottom w:val="nil"/>
          <w:right w:val="nil"/>
          <w:between w:val="nil"/>
        </w:pBdr>
        <w:ind w:firstLine="425"/>
        <w:jc w:val="both"/>
        <w:rPr>
          <w:rFonts w:ascii="Times New Roman" w:hAnsi="Times New Roman" w:cs="Times New Roman"/>
          <w:bCs/>
          <w:iCs/>
          <w:color w:val="000000"/>
          <w:sz w:val="24"/>
          <w:szCs w:val="24"/>
        </w:rPr>
      </w:pPr>
      <w:r w:rsidRPr="009E4862">
        <w:rPr>
          <w:rFonts w:ascii="Times New Roman" w:hAnsi="Times New Roman" w:cs="Times New Roman"/>
          <w:bCs/>
          <w:iCs/>
          <w:color w:val="000000"/>
          <w:sz w:val="24"/>
          <w:szCs w:val="24"/>
        </w:rPr>
        <w:t>Penulis akan melakukan penelitian dengan menggunakan data laporan keuangan dari</w:t>
      </w:r>
      <w:r w:rsidR="009E4862" w:rsidRPr="009E4862">
        <w:rPr>
          <w:rFonts w:ascii="Times New Roman" w:hAnsi="Times New Roman" w:cs="Times New Roman"/>
          <w:bCs/>
          <w:iCs/>
          <w:color w:val="000000"/>
          <w:sz w:val="24"/>
          <w:szCs w:val="24"/>
          <w:lang w:val="en-US"/>
        </w:rPr>
        <w:t xml:space="preserve"> perusahaan terdaftar di bursa saham</w:t>
      </w:r>
      <w:r w:rsidRPr="009E4862">
        <w:rPr>
          <w:rFonts w:ascii="Times New Roman" w:hAnsi="Times New Roman" w:cs="Times New Roman"/>
          <w:bCs/>
          <w:iCs/>
          <w:color w:val="000000"/>
          <w:sz w:val="24"/>
          <w:szCs w:val="24"/>
        </w:rPr>
        <w:t xml:space="preserve"> </w:t>
      </w:r>
      <w:r w:rsidR="009E4862" w:rsidRPr="009E4862">
        <w:rPr>
          <w:rFonts w:ascii="Times New Roman" w:hAnsi="Times New Roman" w:cs="Times New Roman"/>
          <w:bCs/>
          <w:iCs/>
          <w:color w:val="000000"/>
          <w:sz w:val="24"/>
          <w:szCs w:val="24"/>
          <w:lang w:val="en-US"/>
        </w:rPr>
        <w:t>Indonesia. Indonesia dipilih karena</w:t>
      </w:r>
      <w:r w:rsidRPr="009E4862">
        <w:rPr>
          <w:rFonts w:ascii="Times New Roman" w:hAnsi="Times New Roman" w:cs="Times New Roman"/>
          <w:bCs/>
          <w:iCs/>
          <w:color w:val="000000"/>
          <w:sz w:val="24"/>
          <w:szCs w:val="24"/>
        </w:rPr>
        <w:t xml:space="preserve"> relevansi </w:t>
      </w:r>
      <w:r w:rsidR="009E4862" w:rsidRPr="009E4862">
        <w:rPr>
          <w:rFonts w:ascii="Times New Roman" w:hAnsi="Times New Roman" w:cs="Times New Roman"/>
          <w:bCs/>
          <w:iCs/>
          <w:color w:val="000000"/>
          <w:sz w:val="24"/>
          <w:szCs w:val="24"/>
          <w:lang w:val="en-US"/>
        </w:rPr>
        <w:t>Indonesia</w:t>
      </w:r>
      <w:r w:rsidRPr="009E4862">
        <w:rPr>
          <w:rFonts w:ascii="Times New Roman" w:hAnsi="Times New Roman" w:cs="Times New Roman"/>
          <w:bCs/>
          <w:iCs/>
          <w:color w:val="000000"/>
          <w:sz w:val="24"/>
          <w:szCs w:val="24"/>
        </w:rPr>
        <w:t xml:space="preserve"> </w:t>
      </w:r>
      <w:r w:rsidR="009E4862" w:rsidRPr="009E4862">
        <w:rPr>
          <w:rFonts w:ascii="Times New Roman" w:hAnsi="Times New Roman" w:cs="Times New Roman"/>
          <w:bCs/>
          <w:iCs/>
          <w:color w:val="000000"/>
          <w:sz w:val="24"/>
          <w:szCs w:val="24"/>
          <w:lang w:val="en-US"/>
        </w:rPr>
        <w:t xml:space="preserve">sebagai salah satu negara ASEAN yang mempunyai </w:t>
      </w:r>
      <w:r w:rsidRPr="009E4862">
        <w:rPr>
          <w:rFonts w:ascii="Times New Roman" w:hAnsi="Times New Roman" w:cs="Times New Roman"/>
          <w:bCs/>
          <w:iCs/>
          <w:color w:val="000000"/>
          <w:sz w:val="24"/>
          <w:szCs w:val="24"/>
        </w:rPr>
        <w:t xml:space="preserve">ekonomi cukup signifikan dengan perkembangan yang pesat </w:t>
      </w:r>
      <w:r w:rsidR="009B063F">
        <w:rPr>
          <w:rFonts w:ascii="Times New Roman" w:hAnsi="Times New Roman" w:cs="Times New Roman"/>
          <w:bCs/>
          <w:iCs/>
          <w:color w:val="000000"/>
          <w:sz w:val="24"/>
          <w:szCs w:val="24"/>
        </w:rPr>
        <w:fldChar w:fldCharType="begin" w:fldLock="1"/>
      </w:r>
      <w:r w:rsidR="00650829">
        <w:rPr>
          <w:rFonts w:ascii="Times New Roman" w:hAnsi="Times New Roman" w:cs="Times New Roman"/>
          <w:bCs/>
          <w:iCs/>
          <w:color w:val="000000"/>
          <w:sz w:val="24"/>
          <w:szCs w:val="24"/>
        </w:rPr>
        <w:instrText>ADDIN CSL_CITATION {"citationItems":[{"id":"ITEM-1","itemData":{"author":[{"dropping-particle":"","family":"CNA","given":"","non-dropping-particle":"","parse-names":false,"suffix":""}],"container-title":"Channel News Asia","id":"ITEM-1","issued":{"date-parts":[["2018"]]},"title":"ASEAN countries among world’s outperforming emerging economies: Report","type":"article-newspaper"},"uris":["http://www.mendeley.com/documents/?uuid=9b3b6a53-0511-4c5f-97b7-6a682774ab94"]}],"mendeley":{"formattedCitation":"(CNA, 2018)","plainTextFormattedCitation":"(CNA, 2018)","previouslyFormattedCitation":"(CNA, 2018)"},"properties":{"noteIndex":0},"schema":"https://github.com/citation-style-language/schema/raw/master/csl-citation.json"}</w:instrText>
      </w:r>
      <w:r w:rsidR="009B063F">
        <w:rPr>
          <w:rFonts w:ascii="Times New Roman" w:hAnsi="Times New Roman" w:cs="Times New Roman"/>
          <w:bCs/>
          <w:iCs/>
          <w:color w:val="000000"/>
          <w:sz w:val="24"/>
          <w:szCs w:val="24"/>
        </w:rPr>
        <w:fldChar w:fldCharType="separate"/>
      </w:r>
      <w:r w:rsidR="009B063F" w:rsidRPr="009B063F">
        <w:rPr>
          <w:rFonts w:ascii="Times New Roman" w:hAnsi="Times New Roman" w:cs="Times New Roman"/>
          <w:bCs/>
          <w:iCs/>
          <w:noProof/>
          <w:color w:val="000000"/>
          <w:sz w:val="24"/>
          <w:szCs w:val="24"/>
        </w:rPr>
        <w:t>(CNA, 2018)</w:t>
      </w:r>
      <w:r w:rsidR="009B063F">
        <w:rPr>
          <w:rFonts w:ascii="Times New Roman" w:hAnsi="Times New Roman" w:cs="Times New Roman"/>
          <w:bCs/>
          <w:iCs/>
          <w:color w:val="000000"/>
          <w:sz w:val="24"/>
          <w:szCs w:val="24"/>
        </w:rPr>
        <w:fldChar w:fldCharType="end"/>
      </w:r>
      <w:r w:rsidRPr="009E4862">
        <w:rPr>
          <w:rFonts w:ascii="Times New Roman" w:hAnsi="Times New Roman" w:cs="Times New Roman"/>
          <w:bCs/>
          <w:iCs/>
          <w:color w:val="000000"/>
          <w:sz w:val="24"/>
          <w:szCs w:val="24"/>
        </w:rPr>
        <w:t xml:space="preserve">. Sehingga apa yang terjadi di </w:t>
      </w:r>
      <w:r w:rsidR="009E4862" w:rsidRPr="009E4862">
        <w:rPr>
          <w:rFonts w:ascii="Times New Roman" w:hAnsi="Times New Roman" w:cs="Times New Roman"/>
          <w:bCs/>
          <w:iCs/>
          <w:color w:val="000000"/>
          <w:sz w:val="24"/>
          <w:szCs w:val="24"/>
          <w:lang w:val="en-US"/>
        </w:rPr>
        <w:t xml:space="preserve">Indonesia </w:t>
      </w:r>
      <w:r w:rsidRPr="009E4862">
        <w:rPr>
          <w:rFonts w:ascii="Times New Roman" w:hAnsi="Times New Roman" w:cs="Times New Roman"/>
          <w:bCs/>
          <w:iCs/>
          <w:color w:val="000000"/>
          <w:sz w:val="24"/>
          <w:szCs w:val="24"/>
        </w:rPr>
        <w:t xml:space="preserve">dapat menjadi bahan pembelajaran untuk negara-negara lainnya yang akan menerapkan </w:t>
      </w:r>
      <w:r w:rsidR="009E4862" w:rsidRPr="009E4862">
        <w:rPr>
          <w:rFonts w:ascii="Times New Roman" w:hAnsi="Times New Roman" w:cs="Times New Roman"/>
          <w:bCs/>
          <w:iCs/>
          <w:color w:val="000000"/>
          <w:sz w:val="24"/>
          <w:szCs w:val="24"/>
          <w:lang w:val="en-US"/>
        </w:rPr>
        <w:t>standar yang sama</w:t>
      </w:r>
      <w:r w:rsidRPr="009E4862">
        <w:rPr>
          <w:rFonts w:ascii="Times New Roman" w:hAnsi="Times New Roman" w:cs="Times New Roman"/>
          <w:bCs/>
          <w:iCs/>
          <w:color w:val="000000"/>
          <w:sz w:val="24"/>
          <w:szCs w:val="24"/>
        </w:rPr>
        <w:t xml:space="preserve">. </w:t>
      </w:r>
    </w:p>
    <w:p w14:paraId="4B3810A0" w14:textId="2CA8CF7A" w:rsidR="003B4532" w:rsidRPr="004C27A0" w:rsidRDefault="004C27A0" w:rsidP="004C27A0">
      <w:pPr>
        <w:pBdr>
          <w:top w:val="nil"/>
          <w:left w:val="nil"/>
          <w:bottom w:val="nil"/>
          <w:right w:val="nil"/>
          <w:between w:val="nil"/>
        </w:pBdr>
        <w:ind w:firstLine="425"/>
        <w:jc w:val="both"/>
        <w:rPr>
          <w:rFonts w:ascii="Times New Roman" w:hAnsi="Times New Roman" w:cs="Times New Roman"/>
          <w:bCs/>
          <w:iCs/>
          <w:color w:val="000000"/>
          <w:sz w:val="24"/>
          <w:szCs w:val="24"/>
          <w:lang w:val="en-US"/>
        </w:rPr>
      </w:pPr>
      <w:r>
        <w:rPr>
          <w:rFonts w:ascii="Times New Roman" w:hAnsi="Times New Roman" w:cs="Times New Roman"/>
          <w:sz w:val="24"/>
          <w:szCs w:val="24"/>
          <w:lang w:val="en-US"/>
        </w:rPr>
        <w:lastRenderedPageBreak/>
        <w:t>R</w:t>
      </w:r>
      <w:r w:rsidR="003B4532">
        <w:rPr>
          <w:rFonts w:ascii="Times New Roman" w:hAnsi="Times New Roman" w:cs="Times New Roman"/>
          <w:sz w:val="24"/>
          <w:szCs w:val="24"/>
          <w:lang w:val="en-US"/>
        </w:rPr>
        <w:t xml:space="preserve">elevansi nilai adalah suatu konsep dimana informasi keuangan dapat membuat perubahan dalam keputusan pengguna, mempunyai nilai prediktif atau konfirmatif </w:t>
      </w:r>
      <w:r w:rsidR="00650829">
        <w:rPr>
          <w:rFonts w:ascii="Times New Roman" w:hAnsi="Times New Roman" w:cs="Times New Roman"/>
          <w:sz w:val="24"/>
          <w:szCs w:val="24"/>
          <w:lang w:val="en-US"/>
        </w:rPr>
        <w:fldChar w:fldCharType="begin" w:fldLock="1"/>
      </w:r>
      <w:r w:rsidR="005E6B70">
        <w:rPr>
          <w:rFonts w:ascii="Times New Roman" w:hAnsi="Times New Roman" w:cs="Times New Roman"/>
          <w:sz w:val="24"/>
          <w:szCs w:val="24"/>
          <w:lang w:val="en-US"/>
        </w:rPr>
        <w:instrText>ADDIN CSL_CITATION {"citationItems":[{"id":"ITEM-1","itemData":{"author":[{"dropping-particle":"","family":"IFRS Foundation","given":"","non-dropping-particle":"","parse-names":false,"suffix":""}],"container-title":"IFRS Foundation","id":"ITEM-1","issued":{"date-parts":[["2018"]]},"title":"Conceptual Framework for Financial Reporting","type":"article"},"uris":["http://www.mendeley.com/documents/?uuid=e0ca976f-df4b-455e-b9d9-0c2b8f9762fa"]}],"mendeley":{"formattedCitation":"(IFRS Foundation, 2018)","plainTextFormattedCitation":"(IFRS Foundation, 2018)","previouslyFormattedCitation":"(IFRS Foundation, 2018)"},"properties":{"noteIndex":0},"schema":"https://github.com/citation-style-language/schema/raw/master/csl-citation.json"}</w:instrText>
      </w:r>
      <w:r w:rsidR="00650829">
        <w:rPr>
          <w:rFonts w:ascii="Times New Roman" w:hAnsi="Times New Roman" w:cs="Times New Roman"/>
          <w:sz w:val="24"/>
          <w:szCs w:val="24"/>
          <w:lang w:val="en-US"/>
        </w:rPr>
        <w:fldChar w:fldCharType="separate"/>
      </w:r>
      <w:r w:rsidR="00650829" w:rsidRPr="00650829">
        <w:rPr>
          <w:rFonts w:ascii="Times New Roman" w:hAnsi="Times New Roman" w:cs="Times New Roman"/>
          <w:noProof/>
          <w:sz w:val="24"/>
          <w:szCs w:val="24"/>
          <w:lang w:val="en-US"/>
        </w:rPr>
        <w:t>(IFRS Foundation, 2018)</w:t>
      </w:r>
      <w:r w:rsidR="00650829">
        <w:rPr>
          <w:rFonts w:ascii="Times New Roman" w:hAnsi="Times New Roman" w:cs="Times New Roman"/>
          <w:sz w:val="24"/>
          <w:szCs w:val="24"/>
          <w:lang w:val="en-US"/>
        </w:rPr>
        <w:fldChar w:fldCharType="end"/>
      </w:r>
      <w:r w:rsidR="003B4532">
        <w:rPr>
          <w:rFonts w:ascii="Times New Roman" w:hAnsi="Times New Roman" w:cs="Times New Roman"/>
          <w:sz w:val="24"/>
          <w:szCs w:val="24"/>
          <w:lang w:val="en-US"/>
        </w:rPr>
        <w:t xml:space="preserve">. Francis &amp; Schipper </w:t>
      </w:r>
      <w:r w:rsidR="005E6B70">
        <w:rPr>
          <w:rFonts w:ascii="Times New Roman" w:hAnsi="Times New Roman" w:cs="Times New Roman"/>
          <w:sz w:val="24"/>
          <w:szCs w:val="24"/>
          <w:lang w:val="en-US"/>
        </w:rPr>
        <w:fldChar w:fldCharType="begin" w:fldLock="1"/>
      </w:r>
      <w:r w:rsidR="005D4B5A">
        <w:rPr>
          <w:rFonts w:ascii="Times New Roman" w:hAnsi="Times New Roman" w:cs="Times New Roman"/>
          <w:sz w:val="24"/>
          <w:szCs w:val="24"/>
          <w:lang w:val="en-US"/>
        </w:rPr>
        <w:instrText>ADDIN CSL_CITATION {"citationItems":[{"id":"ITEM-1","itemData":{"author":[{"dropping-particle":"","family":"Francis","given":"Jennifer","non-dropping-particle":"","parse-names":false,"suffix":""},{"dropping-particle":"","family":"Schipper","given":"Katherine","non-dropping-particle":"","parse-names":false,"suffix":""}],"container-title":"Journal of Accounting Research","id":"ITEM-1","issue":"2","issued":{"date-parts":[["1999"]]},"page":"319-352","title":"Have Financial Statements Lost Their Relevance?","type":"article-journal","volume":"37"},"suppress-author":1,"uris":["http://www.mendeley.com/documents/?uuid=2cb5125b-c01e-4e4d-99f9-5e7f90d7ffb3"]}],"mendeley":{"formattedCitation":"(1999)","plainTextFormattedCitation":"(1999)","previouslyFormattedCitation":"(1999)"},"properties":{"noteIndex":0},"schema":"https://github.com/citation-style-language/schema/raw/master/csl-citation.json"}</w:instrText>
      </w:r>
      <w:r w:rsidR="005E6B70">
        <w:rPr>
          <w:rFonts w:ascii="Times New Roman" w:hAnsi="Times New Roman" w:cs="Times New Roman"/>
          <w:sz w:val="24"/>
          <w:szCs w:val="24"/>
          <w:lang w:val="en-US"/>
        </w:rPr>
        <w:fldChar w:fldCharType="separate"/>
      </w:r>
      <w:r w:rsidR="005E6B70" w:rsidRPr="005E6B70">
        <w:rPr>
          <w:rFonts w:ascii="Times New Roman" w:hAnsi="Times New Roman" w:cs="Times New Roman"/>
          <w:noProof/>
          <w:sz w:val="24"/>
          <w:szCs w:val="24"/>
          <w:lang w:val="en-US"/>
        </w:rPr>
        <w:t>(1999)</w:t>
      </w:r>
      <w:r w:rsidR="005E6B70">
        <w:rPr>
          <w:rFonts w:ascii="Times New Roman" w:hAnsi="Times New Roman" w:cs="Times New Roman"/>
          <w:sz w:val="24"/>
          <w:szCs w:val="24"/>
          <w:lang w:val="en-US"/>
        </w:rPr>
        <w:fldChar w:fldCharType="end"/>
      </w:r>
      <w:r w:rsidR="003B4532">
        <w:rPr>
          <w:rFonts w:ascii="Times New Roman" w:hAnsi="Times New Roman" w:cs="Times New Roman"/>
          <w:sz w:val="24"/>
          <w:szCs w:val="24"/>
          <w:lang w:val="en-US"/>
        </w:rPr>
        <w:t xml:space="preserve"> mendefinisikan relevansi nilai sebagai kemampuan informasi akuntansi memberi ringkasan dasar dari harga saham, diindikasikan oleh asosiasi informasi keuangan dengan harga saham atau pengembaliannya. Begitu juga Omokhudu &amp; Ibadin </w:t>
      </w:r>
      <w:r w:rsidR="005D4B5A">
        <w:rPr>
          <w:rFonts w:ascii="Times New Roman" w:hAnsi="Times New Roman" w:cs="Times New Roman"/>
          <w:sz w:val="24"/>
          <w:szCs w:val="24"/>
          <w:lang w:val="en-US"/>
        </w:rPr>
        <w:fldChar w:fldCharType="begin" w:fldLock="1"/>
      </w:r>
      <w:r w:rsidR="00EE18FA">
        <w:rPr>
          <w:rFonts w:ascii="Times New Roman" w:hAnsi="Times New Roman" w:cs="Times New Roman"/>
          <w:sz w:val="24"/>
          <w:szCs w:val="24"/>
          <w:lang w:val="en-US"/>
        </w:rPr>
        <w:instrText>ADDIN CSL_CITATION {"citationItems":[{"id":"ITEM-1","itemData":{"DOI":"10.5430/afr.v4n3p20","ISSN":"1927-5986","abstract":"Value relevance of accounting information addresses the degree to which accounting information summarizes the information that is impounded in share prices. Therefore, the purpose of this paper is to contribute to the empirical literature on value relevance by examining the extent to which accounting information is associated with firm value, from an emerging market context. The paper uses the basic Ohlson (1995) model and the modification of the model that includes cash flow from operation, and dividends, to ascertain the value relevance of accounting information in Nigeria. The paper accommodates the documented relative inefficiency of the market by using stock price at three months and six months after year end as dependent variable. The study employs a pooled and panel data in the regression of share price and returns on accounting numbers. The ordinary least square (OLS) estimation and dynamic model estimation, with the Random and Fixed effects variants were used in the regression. We find that earnings, cash flow and dividends were statistically significantly associated with firm value but book value was related but not statistically significant. Based on these findings, it is suggested that the focus of investors should be on earnings, dividends","author":[{"dropping-particle":"","family":"Omokhudu","given":"Okuns Omokhoje","non-dropping-particle":"","parse-names":false,"suffix":""},{"dropping-particle":"","family":"Ibadin","given":"Peter Okoeguale","non-dropping-particle":"","parse-names":false,"suffix":""}],"container-title":"Accounting and Finance Research","id":"ITEM-1","issue":"3","issued":{"date-parts":[["2015"]]},"page":"20-30","title":"The Value Relevance of Accounting Information: Evidence from Nigeria","type":"article-journal","volume":"4"},"suppress-author":1,"uris":["http://www.mendeley.com/documents/?uuid=1847b664-55c1-4ebd-802e-5936c5cc9178"]}],"mendeley":{"formattedCitation":"(2015)","plainTextFormattedCitation":"(2015)","previouslyFormattedCitation":"(2015)"},"properties":{"noteIndex":0},"schema":"https://github.com/citation-style-language/schema/raw/master/csl-citation.json"}</w:instrText>
      </w:r>
      <w:r w:rsidR="005D4B5A">
        <w:rPr>
          <w:rFonts w:ascii="Times New Roman" w:hAnsi="Times New Roman" w:cs="Times New Roman"/>
          <w:sz w:val="24"/>
          <w:szCs w:val="24"/>
          <w:lang w:val="en-US"/>
        </w:rPr>
        <w:fldChar w:fldCharType="separate"/>
      </w:r>
      <w:r w:rsidR="005D4B5A" w:rsidRPr="005D4B5A">
        <w:rPr>
          <w:rFonts w:ascii="Times New Roman" w:hAnsi="Times New Roman" w:cs="Times New Roman"/>
          <w:noProof/>
          <w:sz w:val="24"/>
          <w:szCs w:val="24"/>
          <w:lang w:val="en-US"/>
        </w:rPr>
        <w:t>(2015)</w:t>
      </w:r>
      <w:r w:rsidR="005D4B5A">
        <w:rPr>
          <w:rFonts w:ascii="Times New Roman" w:hAnsi="Times New Roman" w:cs="Times New Roman"/>
          <w:sz w:val="24"/>
          <w:szCs w:val="24"/>
          <w:lang w:val="en-US"/>
        </w:rPr>
        <w:fldChar w:fldCharType="end"/>
      </w:r>
      <w:r w:rsidR="003B4532">
        <w:rPr>
          <w:rFonts w:ascii="Times New Roman" w:hAnsi="Times New Roman" w:cs="Times New Roman"/>
          <w:sz w:val="24"/>
          <w:szCs w:val="24"/>
          <w:lang w:val="en-US"/>
        </w:rPr>
        <w:t xml:space="preserve">, yang berargumen bahwa relevansi nilai berkenaan dengan hubungan informasi akuntansi dalam penentuan harga saham. </w:t>
      </w:r>
    </w:p>
    <w:p w14:paraId="6E028C9D" w14:textId="5F23AC7F" w:rsidR="003B4532" w:rsidRDefault="003B4532" w:rsidP="003B4532">
      <w:pPr>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relevansi nilai didasari oleh penelitian Ball &amp; Brown </w:t>
      </w:r>
      <w:r w:rsidR="00EE18FA">
        <w:rPr>
          <w:rFonts w:ascii="Times New Roman" w:hAnsi="Times New Roman" w:cs="Times New Roman"/>
          <w:sz w:val="24"/>
          <w:szCs w:val="24"/>
          <w:lang w:val="en-US"/>
        </w:rPr>
        <w:fldChar w:fldCharType="begin" w:fldLock="1"/>
      </w:r>
      <w:r w:rsidR="00F55917">
        <w:rPr>
          <w:rFonts w:ascii="Times New Roman" w:hAnsi="Times New Roman" w:cs="Times New Roman"/>
          <w:sz w:val="24"/>
          <w:szCs w:val="24"/>
          <w:lang w:val="en-US"/>
        </w:rPr>
        <w:instrText>ADDIN CSL_CITATION {"citationItems":[{"id":"ITEM-1","itemData":{"ISBN":"00218456","ISSN":"0021-8456","abstract":"JSTOR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Financial statement preparation can be defined as a process of aggrega-tion. A large number of individual balances, whose detailed report is often prohibitive, are aggregated so that a relatively small number of items are reported in the financial statements. We assume that users of financial statements would in principle prefer to have access to detailed rather than aggregated figures in their decision making; therefore, aggregation results in a loss of information to these users. This paper reports an attempt to meas-ure this loss and to design aggregation procedures to minimize it.","author":[{"dropping-particle":"","family":"Ball","given":"Ray","non-dropping-particle":"","parse-names":false,"suffix":""},{"dropping-particle":"","family":"Brown","given":"Philip","non-dropping-particle":"","parse-names":false,"suffix":""}],"container-title":"Journal of Accounting Research","id":"ITEM-1","issue":"3","issued":{"date-parts":[["1968"]]},"page":"159-178","title":"An Empirical Evaluation of income Number","type":"article","volume":"44"},"suppress-author":1,"uris":["http://www.mendeley.com/documents/?uuid=49c0c264-eee7-4861-8743-ca8cea7914bc"]}],"mendeley":{"formattedCitation":"(1968)","plainTextFormattedCitation":"(1968)","previouslyFormattedCitation":"(1968)"},"properties":{"noteIndex":0},"schema":"https://github.com/citation-style-language/schema/raw/master/csl-citation.json"}</w:instrText>
      </w:r>
      <w:r w:rsidR="00EE18FA">
        <w:rPr>
          <w:rFonts w:ascii="Times New Roman" w:hAnsi="Times New Roman" w:cs="Times New Roman"/>
          <w:sz w:val="24"/>
          <w:szCs w:val="24"/>
          <w:lang w:val="en-US"/>
        </w:rPr>
        <w:fldChar w:fldCharType="separate"/>
      </w:r>
      <w:r w:rsidR="00EE18FA" w:rsidRPr="00EE18FA">
        <w:rPr>
          <w:rFonts w:ascii="Times New Roman" w:hAnsi="Times New Roman" w:cs="Times New Roman"/>
          <w:noProof/>
          <w:sz w:val="24"/>
          <w:szCs w:val="24"/>
          <w:lang w:val="en-US"/>
        </w:rPr>
        <w:t>(1968)</w:t>
      </w:r>
      <w:r w:rsidR="00EE18FA">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dimana mereka </w:t>
      </w:r>
      <w:r w:rsidRPr="003B4532">
        <w:rPr>
          <w:rFonts w:ascii="Times New Roman" w:hAnsi="Times New Roman" w:cs="Times New Roman"/>
          <w:sz w:val="24"/>
          <w:szCs w:val="24"/>
          <w:lang w:val="en-US"/>
        </w:rPr>
        <w:t>menunjukan bahwa pengembalian saham berkorelasi positif dengan informasi laba</w:t>
      </w:r>
      <w:r>
        <w:rPr>
          <w:rFonts w:ascii="Times New Roman" w:hAnsi="Times New Roman" w:cs="Times New Roman"/>
          <w:sz w:val="24"/>
          <w:szCs w:val="24"/>
          <w:lang w:val="en-US"/>
        </w:rPr>
        <w:t xml:space="preserve">. Konsep ini juga didukung oleh </w:t>
      </w:r>
      <w:r>
        <w:rPr>
          <w:rFonts w:ascii="Times New Roman" w:hAnsi="Times New Roman" w:cs="Times New Roman"/>
          <w:i/>
          <w:sz w:val="24"/>
          <w:szCs w:val="24"/>
          <w:lang w:val="en-US"/>
        </w:rPr>
        <w:t>efficient market hypothesis</w:t>
      </w:r>
      <w:r>
        <w:rPr>
          <w:rFonts w:ascii="Times New Roman" w:hAnsi="Times New Roman" w:cs="Times New Roman"/>
          <w:sz w:val="24"/>
          <w:szCs w:val="24"/>
          <w:lang w:val="en-US"/>
        </w:rPr>
        <w:t xml:space="preserve"> dari penelitian Malkiel &amp; Fama </w:t>
      </w:r>
      <w:r w:rsidR="00F55917">
        <w:rPr>
          <w:rFonts w:ascii="Times New Roman" w:hAnsi="Times New Roman" w:cs="Times New Roman"/>
          <w:sz w:val="24"/>
          <w:szCs w:val="24"/>
          <w:lang w:val="en-US"/>
        </w:rPr>
        <w:fldChar w:fldCharType="begin" w:fldLock="1"/>
      </w:r>
      <w:r w:rsidR="00437B14">
        <w:rPr>
          <w:rFonts w:ascii="Times New Roman" w:hAnsi="Times New Roman" w:cs="Times New Roman"/>
          <w:sz w:val="24"/>
          <w:szCs w:val="24"/>
          <w:lang w:val="en-US"/>
        </w:rPr>
        <w:instrText>ADDIN CSL_CITATION {"citationItems":[{"id":"ITEM-1","itemData":{"ISSN":"1769-6917","PMID":"24977454","abstract":"Tyrosine kinase inhibitors (TKI) that block epidermal growth factor receptor (EGFR) pathway have demonstrated a clinical benefit for patients with non-small-cell lung cancer (NSCLC) harboring EGFR mutations. The currently available TKI (gefitinib and erlotinib) are EGFR reversible inhibitors. Afatinib is an oral, irreversible ErbB family blocker that covalently binds and blocks signaling from EGFR (ErbB1), HER2 (ErbB2) and ErbB4. The compound inhibits also the transphosphorylation of ErbB3. With this mode of action, afatinib is thought to have a mechanistic advantage over EGFR blockade alone, in that it provides a sustained, covalent inhibition of ErbB homo- and hetero-dimers. In the pivotal LUX-Lung 3 study, afatinib demonstrated a prolonged progression free survival over standard pemetrexed plus cisplatin chemotherapy (11.1 versus 6.9 months; HR = 0.58, 95% CI: 0.43-0.78; P = 0.001) in EGFR mutation positive NSCLC patients. The compound has recently been granted a marketing authorization (MA) for the treatment of patients with locally advanced or metastatic NSCLC with activating EGFR mutation(s) and EGFR TKI-naive. In this paper are summarized the efficacy and safety data in this indication.","author":[{"dropping-particle":"","family":"Fama","given":"Eugene F.","non-dropping-particle":"","parse-names":false,"suffix":""}],"container-title":"The Journal of Finance","id":"ITEM-1","issue":"2","issued":{"date-parts":[["1970"]]},"page":"383-417","title":"Session Topic: Stock Market Price Behavior Session Chairman: Burton G. Malkiel Efficient Capital Markets: A Review Of Theory And Empirical Work","type":"article-journal","volume":"25"},"suppress-author":1,"uris":["http://www.mendeley.com/documents/?uuid=6a117158-35af-4b4b-8006-a6ed7a8aa1b6"]}],"mendeley":{"formattedCitation":"(1970)","plainTextFormattedCitation":"(1970)","previouslyFormattedCitation":"(1970)"},"properties":{"noteIndex":0},"schema":"https://github.com/citation-style-language/schema/raw/master/csl-citation.json"}</w:instrText>
      </w:r>
      <w:r w:rsidR="00F55917">
        <w:rPr>
          <w:rFonts w:ascii="Times New Roman" w:hAnsi="Times New Roman" w:cs="Times New Roman"/>
          <w:sz w:val="24"/>
          <w:szCs w:val="24"/>
          <w:lang w:val="en-US"/>
        </w:rPr>
        <w:fldChar w:fldCharType="separate"/>
      </w:r>
      <w:r w:rsidR="00F55917" w:rsidRPr="00F55917">
        <w:rPr>
          <w:rFonts w:ascii="Times New Roman" w:hAnsi="Times New Roman" w:cs="Times New Roman"/>
          <w:noProof/>
          <w:sz w:val="24"/>
          <w:szCs w:val="24"/>
          <w:lang w:val="en-US"/>
        </w:rPr>
        <w:t>(1970)</w:t>
      </w:r>
      <w:r w:rsidR="00F55917">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dimana </w:t>
      </w:r>
      <w:r w:rsidRPr="003B4532">
        <w:rPr>
          <w:rFonts w:ascii="Times New Roman" w:hAnsi="Times New Roman" w:cs="Times New Roman"/>
          <w:sz w:val="24"/>
          <w:szCs w:val="24"/>
          <w:lang w:val="en-US"/>
        </w:rPr>
        <w:t>mereka mengusulkan bahwa nilai dalam harga pasar mengabsorsi secara cepat informasi publik yang relevan</w:t>
      </w:r>
      <w:r>
        <w:rPr>
          <w:rFonts w:ascii="Times New Roman" w:hAnsi="Times New Roman" w:cs="Times New Roman"/>
          <w:sz w:val="24"/>
          <w:szCs w:val="24"/>
          <w:lang w:val="en-US"/>
        </w:rPr>
        <w:t xml:space="preserve">, dimana laporan keuangan merupakan salah satu informasi publik relevan. </w:t>
      </w:r>
    </w:p>
    <w:p w14:paraId="6C90A416" w14:textId="77777777" w:rsidR="004C27A0" w:rsidRDefault="00E36D95" w:rsidP="004C27A0">
      <w:pPr>
        <w:ind w:firstLine="425"/>
        <w:jc w:val="both"/>
        <w:rPr>
          <w:rFonts w:ascii="Times New Roman" w:hAnsi="Times New Roman" w:cs="Times New Roman"/>
          <w:sz w:val="24"/>
          <w:szCs w:val="24"/>
          <w:lang w:val="en-US"/>
        </w:rPr>
      </w:pPr>
      <w:r w:rsidRPr="00E36D95">
        <w:rPr>
          <w:rFonts w:ascii="Times New Roman" w:hAnsi="Times New Roman" w:cs="Times New Roman"/>
          <w:sz w:val="24"/>
          <w:szCs w:val="24"/>
          <w:lang w:val="en-US"/>
        </w:rPr>
        <w:t>Penelitian relevansi nilai telah mengkorporasikan banyak faktor informasi, terutama dalam hal laporan keuangan</w:t>
      </w:r>
      <w:r>
        <w:rPr>
          <w:rFonts w:ascii="Times New Roman" w:hAnsi="Times New Roman" w:cs="Times New Roman"/>
          <w:sz w:val="24"/>
          <w:szCs w:val="24"/>
          <w:lang w:val="en-US"/>
        </w:rPr>
        <w:t xml:space="preserve">. </w:t>
      </w:r>
      <w:r w:rsidRPr="00E36D95">
        <w:rPr>
          <w:rFonts w:ascii="Times New Roman" w:hAnsi="Times New Roman" w:cs="Times New Roman"/>
          <w:sz w:val="24"/>
          <w:szCs w:val="24"/>
          <w:lang w:val="en-US"/>
        </w:rPr>
        <w:t xml:space="preserve">Kargin </w:t>
      </w:r>
      <w:r w:rsidR="00437B14">
        <w:rPr>
          <w:rFonts w:ascii="Times New Roman" w:hAnsi="Times New Roman" w:cs="Times New Roman"/>
          <w:sz w:val="24"/>
          <w:szCs w:val="24"/>
          <w:lang w:val="en-US"/>
        </w:rPr>
        <w:fldChar w:fldCharType="begin" w:fldLock="1"/>
      </w:r>
      <w:r w:rsidR="00121E8E">
        <w:rPr>
          <w:rFonts w:ascii="Times New Roman" w:hAnsi="Times New Roman" w:cs="Times New Roman"/>
          <w:sz w:val="24"/>
          <w:szCs w:val="24"/>
          <w:lang w:val="en-US"/>
        </w:rPr>
        <w:instrText>ADDIN CSL_CITATION {"citationItems":[{"id":"ITEM-1","itemData":{"DOI":"10.5539/ijef.v5n4p71","ISSN":"1916-971X","abstract":"Value relevance is being defined as the ability of information disclosed by financial statements to capture and summarize firm value. Value relevance can be measured through the statistical relations between information presented by financial statements and stock market values or returns. In many studies, Ohlson model (1995) has been adopted to explore relationships among the market value of equity and two main financial reporting variables, namely the book value of equity per share (represents balance sheet) and earnings per share (represents income statement). This study investigates the value relevance of accounting information in pre- and post-financial periods of International Financial Reporting Standards’ (IFRS) application for Turkish listed firms from 1998 to 2011. Market value is related to book value and earnings per share by using the Ohlson model (1995). Overall book value is value relevant in determining market value or stock prices. The results show that value relevance of accounting information has improved in the post-IFRS period (2005-2011) considering book values while improvements have not been observed in value relevance of earnings","author":[{"dropping-particle":"","family":"Kargin","given":"Sibel","non-dropping-particle":"","parse-names":false,"suffix":""}],"container-title":"International Journal of Economics and Finance","id":"ITEM-1","issue":"4","issued":{"date-parts":[["2013"]]},"page":"71-80","title":"The Impact of IFRS on the Value Relevance of Accounting Information: Evidence from Turkish Firms","type":"article-journal","volume":"5"},"suppress-author":1,"uris":["http://www.mendeley.com/documents/?uuid=108846ab-d637-4b71-a2b1-eeadd7ebee1d"]}],"mendeley":{"formattedCitation":"(2013)","plainTextFormattedCitation":"(2013)","previouslyFormattedCitation":"(2013)"},"properties":{"noteIndex":0},"schema":"https://github.com/citation-style-language/schema/raw/master/csl-citation.json"}</w:instrText>
      </w:r>
      <w:r w:rsidR="00437B14">
        <w:rPr>
          <w:rFonts w:ascii="Times New Roman" w:hAnsi="Times New Roman" w:cs="Times New Roman"/>
          <w:sz w:val="24"/>
          <w:szCs w:val="24"/>
          <w:lang w:val="en-US"/>
        </w:rPr>
        <w:fldChar w:fldCharType="separate"/>
      </w:r>
      <w:r w:rsidR="00437B14" w:rsidRPr="00437B14">
        <w:rPr>
          <w:rFonts w:ascii="Times New Roman" w:hAnsi="Times New Roman" w:cs="Times New Roman"/>
          <w:noProof/>
          <w:sz w:val="24"/>
          <w:szCs w:val="24"/>
          <w:lang w:val="en-US"/>
        </w:rPr>
        <w:t>(2013)</w:t>
      </w:r>
      <w:r w:rsidR="00437B14">
        <w:rPr>
          <w:rFonts w:ascii="Times New Roman" w:hAnsi="Times New Roman" w:cs="Times New Roman"/>
          <w:sz w:val="24"/>
          <w:szCs w:val="24"/>
          <w:lang w:val="en-US"/>
        </w:rPr>
        <w:fldChar w:fldCharType="end"/>
      </w:r>
      <w:r w:rsidRPr="00E36D95">
        <w:rPr>
          <w:rFonts w:ascii="Times New Roman" w:hAnsi="Times New Roman" w:cs="Times New Roman"/>
          <w:sz w:val="24"/>
          <w:szCs w:val="24"/>
          <w:lang w:val="en-US"/>
        </w:rPr>
        <w:t xml:space="preserve">, Bepari </w:t>
      </w:r>
      <w:r w:rsidR="00121E8E">
        <w:rPr>
          <w:rFonts w:ascii="Times New Roman" w:hAnsi="Times New Roman" w:cs="Times New Roman"/>
          <w:sz w:val="24"/>
          <w:szCs w:val="24"/>
          <w:lang w:val="en-US"/>
        </w:rPr>
        <w:fldChar w:fldCharType="begin" w:fldLock="1"/>
      </w:r>
      <w:r w:rsidR="00335E08">
        <w:rPr>
          <w:rFonts w:ascii="Times New Roman" w:hAnsi="Times New Roman" w:cs="Times New Roman"/>
          <w:sz w:val="24"/>
          <w:szCs w:val="24"/>
          <w:lang w:val="en-US"/>
        </w:rPr>
        <w:instrText>ADDIN CSL_CITATION {"citationItems":[{"id":"ITEM-1","itemData":{"author":[{"dropping-particle":"","family":"Bepari","given":"M.K","non-dropping-particle":"","parse-names":false,"suffix":""}],"container-title":"International Journal of Commerce and Management","id":"ITEM-1","issue":"4","issued":{"date-parts":[["2015"]]},"page":"531-556","title":"Relative and incremental value relevance of book value and earnings during the global financial crisis","type":"article-journal","volume":"25"},"suppress-author":1,"uris":["http://www.mendeley.com/documents/?uuid=52e6f808-d1d9-4d58-80c1-101c380bdb6b"]}],"mendeley":{"formattedCitation":"(2015)","plainTextFormattedCitation":"(2015)","previouslyFormattedCitation":"(2015)"},"properties":{"noteIndex":0},"schema":"https://github.com/citation-style-language/schema/raw/master/csl-citation.json"}</w:instrText>
      </w:r>
      <w:r w:rsidR="00121E8E">
        <w:rPr>
          <w:rFonts w:ascii="Times New Roman" w:hAnsi="Times New Roman" w:cs="Times New Roman"/>
          <w:sz w:val="24"/>
          <w:szCs w:val="24"/>
          <w:lang w:val="en-US"/>
        </w:rPr>
        <w:fldChar w:fldCharType="separate"/>
      </w:r>
      <w:r w:rsidR="00121E8E" w:rsidRPr="00121E8E">
        <w:rPr>
          <w:rFonts w:ascii="Times New Roman" w:hAnsi="Times New Roman" w:cs="Times New Roman"/>
          <w:noProof/>
          <w:sz w:val="24"/>
          <w:szCs w:val="24"/>
          <w:lang w:val="en-US"/>
        </w:rPr>
        <w:t>(2015)</w:t>
      </w:r>
      <w:r w:rsidR="00121E8E">
        <w:rPr>
          <w:rFonts w:ascii="Times New Roman" w:hAnsi="Times New Roman" w:cs="Times New Roman"/>
          <w:sz w:val="24"/>
          <w:szCs w:val="24"/>
          <w:lang w:val="en-US"/>
        </w:rPr>
        <w:fldChar w:fldCharType="end"/>
      </w:r>
      <w:r w:rsidRPr="00E36D95">
        <w:rPr>
          <w:rFonts w:ascii="Times New Roman" w:hAnsi="Times New Roman" w:cs="Times New Roman"/>
          <w:sz w:val="24"/>
          <w:szCs w:val="24"/>
          <w:lang w:val="en-US"/>
        </w:rPr>
        <w:t xml:space="preserve">, Omokhudu &amp; Ibadin </w:t>
      </w:r>
      <w:r w:rsidR="00335E08">
        <w:rPr>
          <w:rFonts w:ascii="Times New Roman" w:hAnsi="Times New Roman" w:cs="Times New Roman"/>
          <w:sz w:val="24"/>
          <w:szCs w:val="24"/>
          <w:lang w:val="en-US"/>
        </w:rPr>
        <w:fldChar w:fldCharType="begin" w:fldLock="1"/>
      </w:r>
      <w:r w:rsidR="00335E08">
        <w:rPr>
          <w:rFonts w:ascii="Times New Roman" w:hAnsi="Times New Roman" w:cs="Times New Roman"/>
          <w:sz w:val="24"/>
          <w:szCs w:val="24"/>
          <w:lang w:val="en-US"/>
        </w:rPr>
        <w:instrText>ADDIN CSL_CITATION {"citationItems":[{"id":"ITEM-1","itemData":{"DOI":"10.5430/afr.v4n3p20","ISSN":"1927-5986","abstract":"Value relevance of accounting information addresses the degree to which accounting information summarizes the information that is impounded in share prices. Therefore, the purpose of this paper is to contribute to the empirical literature on value relevance by examining the extent to which accounting information is associated with firm value, from an emerging market context. The paper uses the basic Ohlson (1995) model and the modification of the model that includes cash flow from operation, and dividends, to ascertain the value relevance of accounting information in Nigeria. The paper accommodates the documented relative inefficiency of the market by using stock price at three months and six months after year end as dependent variable. The study employs a pooled and panel data in the regression of share price and returns on accounting numbers. The ordinary least square (OLS) estimation and dynamic model estimation, with the Random and Fixed effects variants were used in the regression. We find that earnings, cash flow and dividends were statistically significantly associated with firm value but book value was related but not statistically significant. Based on these findings, it is suggested that the focus of investors should be on earnings, dividends","author":[{"dropping-particle":"","family":"Omokhudu","given":"Okuns Omokhoje","non-dropping-particle":"","parse-names":false,"suffix":""},{"dropping-particle":"","family":"Ibadin","given":"Peter Okoeguale","non-dropping-particle":"","parse-names":false,"suffix":""}],"container-title":"Accounting and Finance Research","id":"ITEM-1","issue":"3","issued":{"date-parts":[["2015"]]},"page":"20-30","title":"The Value Relevance of Accounting Information: Evidence from Nigeria","type":"article-journal","volume":"4"},"suppress-author":1,"uris":["http://www.mendeley.com/documents/?uuid=1847b664-55c1-4ebd-802e-5936c5cc9178"]}],"mendeley":{"formattedCitation":"(2015)","plainTextFormattedCitation":"(2015)","previouslyFormattedCitation":"(2015)"},"properties":{"noteIndex":0},"schema":"https://github.com/citation-style-language/schema/raw/master/csl-citation.json"}</w:instrText>
      </w:r>
      <w:r w:rsidR="00335E08">
        <w:rPr>
          <w:rFonts w:ascii="Times New Roman" w:hAnsi="Times New Roman" w:cs="Times New Roman"/>
          <w:sz w:val="24"/>
          <w:szCs w:val="24"/>
          <w:lang w:val="en-US"/>
        </w:rPr>
        <w:fldChar w:fldCharType="separate"/>
      </w:r>
      <w:r w:rsidR="00335E08" w:rsidRPr="005D4B5A">
        <w:rPr>
          <w:rFonts w:ascii="Times New Roman" w:hAnsi="Times New Roman" w:cs="Times New Roman"/>
          <w:noProof/>
          <w:sz w:val="24"/>
          <w:szCs w:val="24"/>
          <w:lang w:val="en-US"/>
        </w:rPr>
        <w:t>(2015)</w:t>
      </w:r>
      <w:r w:rsidR="00335E08">
        <w:rPr>
          <w:rFonts w:ascii="Times New Roman" w:hAnsi="Times New Roman" w:cs="Times New Roman"/>
          <w:sz w:val="24"/>
          <w:szCs w:val="24"/>
          <w:lang w:val="en-US"/>
        </w:rPr>
        <w:fldChar w:fldCharType="end"/>
      </w:r>
      <w:r w:rsidRPr="00E36D95">
        <w:rPr>
          <w:rFonts w:ascii="Times New Roman" w:hAnsi="Times New Roman" w:cs="Times New Roman"/>
          <w:sz w:val="24"/>
          <w:szCs w:val="24"/>
          <w:lang w:val="en-US"/>
        </w:rPr>
        <w:t>, Bowerman &amp; Sharma</w:t>
      </w:r>
      <w:r w:rsidR="00335E08">
        <w:rPr>
          <w:rFonts w:ascii="Times New Roman" w:hAnsi="Times New Roman" w:cs="Times New Roman"/>
          <w:sz w:val="24"/>
          <w:szCs w:val="24"/>
          <w:lang w:val="en-US"/>
        </w:rPr>
        <w:t xml:space="preserve"> </w:t>
      </w:r>
      <w:r w:rsidR="00335E08">
        <w:rPr>
          <w:rFonts w:ascii="Times New Roman" w:hAnsi="Times New Roman" w:cs="Times New Roman"/>
          <w:sz w:val="24"/>
          <w:szCs w:val="24"/>
          <w:lang w:val="en-US"/>
        </w:rPr>
        <w:fldChar w:fldCharType="begin" w:fldLock="1"/>
      </w:r>
      <w:r w:rsidR="00335E08">
        <w:rPr>
          <w:rFonts w:ascii="Times New Roman" w:hAnsi="Times New Roman" w:cs="Times New Roman"/>
          <w:sz w:val="24"/>
          <w:szCs w:val="24"/>
          <w:lang w:val="en-US"/>
        </w:rPr>
        <w:instrText>ADDIN CSL_CITATION {"citationItems":[{"id":"ITEM-1","itemData":{"DOI":"10.22495/cocv13i2c1p2","ISSN":"18103057","abstract":"This paper investigates whether corporate social responsibility disclosure (CSRD) is associated with firms’ market values in order to assess whether CSRD provides incremental value relevant information to investors. A modified Ohlson (1995) model is used, which is a widely accepted equity valuation model in accounting research. The findings suggest that investors in the UK consider CSRD information in the total information set they use for their investment decision-making, whereas Japanese investors do not appear to find that CSRD provides incremental information over and above financial information to assist in their valuations of firms. These findings have implications for investors and regulators, specifically around the control and governance of firms.","author":[{"dropping-particle":"","family":"Bowerman","given":"Suzanne","non-dropping-particle":"","parse-names":false,"suffix":""},{"dropping-particle":"","family":"Sharma","given":"Umesh","non-dropping-particle":"","parse-names":false,"suffix":""}],"container-title":"Corporate Ownership and Control","id":"ITEM-1","issue":"2CONT1","issued":{"date-parts":[["2016"]]},"page":"202-216","title":"The effect of corporate social responsibility disclosures on share prices in japan and the uk","type":"article-journal","volume":"13"},"suppress-author":1,"uris":["http://www.mendeley.com/documents/?uuid=aa447fc8-a069-4736-a2f1-241ef0a1fe47"]}],"mendeley":{"formattedCitation":"(2016)","plainTextFormattedCitation":"(2016)","previouslyFormattedCitation":"(2016)"},"properties":{"noteIndex":0},"schema":"https://github.com/citation-style-language/schema/raw/master/csl-citation.json"}</w:instrText>
      </w:r>
      <w:r w:rsidR="00335E08">
        <w:rPr>
          <w:rFonts w:ascii="Times New Roman" w:hAnsi="Times New Roman" w:cs="Times New Roman"/>
          <w:sz w:val="24"/>
          <w:szCs w:val="24"/>
          <w:lang w:val="en-US"/>
        </w:rPr>
        <w:fldChar w:fldCharType="separate"/>
      </w:r>
      <w:r w:rsidR="00335E08" w:rsidRPr="00335E08">
        <w:rPr>
          <w:rFonts w:ascii="Times New Roman" w:hAnsi="Times New Roman" w:cs="Times New Roman"/>
          <w:noProof/>
          <w:sz w:val="24"/>
          <w:szCs w:val="24"/>
          <w:lang w:val="en-US"/>
        </w:rPr>
        <w:t>(2016)</w:t>
      </w:r>
      <w:r w:rsidR="00335E08">
        <w:rPr>
          <w:rFonts w:ascii="Times New Roman" w:hAnsi="Times New Roman" w:cs="Times New Roman"/>
          <w:sz w:val="24"/>
          <w:szCs w:val="24"/>
          <w:lang w:val="en-US"/>
        </w:rPr>
        <w:fldChar w:fldCharType="end"/>
      </w:r>
      <w:r w:rsidRPr="00E36D95">
        <w:rPr>
          <w:rFonts w:ascii="Times New Roman" w:hAnsi="Times New Roman" w:cs="Times New Roman"/>
          <w:sz w:val="24"/>
          <w:szCs w:val="24"/>
          <w:lang w:val="en-US"/>
        </w:rPr>
        <w:t>, Badu &amp; Appiah</w:t>
      </w:r>
      <w:r w:rsidR="00335E08">
        <w:rPr>
          <w:rFonts w:ascii="Times New Roman" w:hAnsi="Times New Roman" w:cs="Times New Roman"/>
          <w:sz w:val="24"/>
          <w:szCs w:val="24"/>
          <w:lang w:val="en-US"/>
        </w:rPr>
        <w:t xml:space="preserve"> </w:t>
      </w:r>
      <w:r w:rsidR="00335E08">
        <w:rPr>
          <w:rFonts w:ascii="Times New Roman" w:hAnsi="Times New Roman" w:cs="Times New Roman"/>
          <w:sz w:val="24"/>
          <w:szCs w:val="24"/>
          <w:lang w:val="en-US"/>
        </w:rPr>
        <w:fldChar w:fldCharType="begin" w:fldLock="1"/>
      </w:r>
      <w:r w:rsidR="00192D92">
        <w:rPr>
          <w:rFonts w:ascii="Times New Roman" w:hAnsi="Times New Roman" w:cs="Times New Roman"/>
          <w:sz w:val="24"/>
          <w:szCs w:val="24"/>
          <w:lang w:val="en-US"/>
        </w:rPr>
        <w:instrText>ADDIN CSL_CITATION {"citationItems":[{"id":"ITEM-1","itemData":{"DOI":"10.1108/JAOC-07-2017-0064","ISSN":"18325912","abstract":"Purpose: This paper aims to examine the value relevance of accounting information from an emerging country perspective. Design/methodology/approach: The study adopts Ohlson (1995) Price model to examine the extent to which accounting information explain variation in stock prices of listed firms on the Ghana Stock Exchange. Findings: The study reveals that earnings and book value of equity exhibit a positive and significant relationship in stock prices. Earnings explain higher variation in stock market values on the Ghana Stock Exchange compared to book value of equity. The study however finds that despite the introduction of the International Financial Reporting Standards in Ghana, the value relevance of book value and earnings have declined significantly over the period 2005-2014. Research limitations/implications: A key implication is that regulators of capital markets, standards setters and accounting practitioners need to consistently improve upon the quality of financial reporting disclosures which will boost the confidence of users in their reliance on financial statements as the basis for choosing among alternative use of scarce resources. The authors adopted only the price model in testing the hypotheses. However, to provide comprehensive understanding of value relevance of accounting information, future studies can combine both the price and the return models. Originality/value: The authors extend prior literature in the Ghanaian context with recent data. Finally, the study adds to the efficient market hypothesis by showing how share prices reflect accounting information produced by Ghanaian firms.","author":[{"dropping-particle":"","family":"Badu","given":"Bismark","non-dropping-particle":"","parse-names":false,"suffix":""},{"dropping-particle":"","family":"Appiah","given":"Kingsley Opoku","non-dropping-particle":"","parse-names":false,"suffix":""}],"container-title":"Journal of Accounting and Organizational Change","id":"ITEM-1","issue":"4","issued":{"date-parts":[["2018"]]},"page":"473-491","title":"Value relevance of accounting information: an emerging country perspective","type":"article-journal","volume":"14"},"suppress-author":1,"uris":["http://www.mendeley.com/documents/?uuid=0c3c94d5-062d-4940-bf84-7718807aa214"]}],"mendeley":{"formattedCitation":"(2018)","plainTextFormattedCitation":"(2018)","previouslyFormattedCitation":"(2018)"},"properties":{"noteIndex":0},"schema":"https://github.com/citation-style-language/schema/raw/master/csl-citation.json"}</w:instrText>
      </w:r>
      <w:r w:rsidR="00335E08">
        <w:rPr>
          <w:rFonts w:ascii="Times New Roman" w:hAnsi="Times New Roman" w:cs="Times New Roman"/>
          <w:sz w:val="24"/>
          <w:szCs w:val="24"/>
          <w:lang w:val="en-US"/>
        </w:rPr>
        <w:fldChar w:fldCharType="separate"/>
      </w:r>
      <w:r w:rsidR="00335E08" w:rsidRPr="00335E08">
        <w:rPr>
          <w:rFonts w:ascii="Times New Roman" w:hAnsi="Times New Roman" w:cs="Times New Roman"/>
          <w:noProof/>
          <w:sz w:val="24"/>
          <w:szCs w:val="24"/>
          <w:lang w:val="en-US"/>
        </w:rPr>
        <w:t>(2018)</w:t>
      </w:r>
      <w:r w:rsidR="00335E08">
        <w:rPr>
          <w:rFonts w:ascii="Times New Roman" w:hAnsi="Times New Roman" w:cs="Times New Roman"/>
          <w:sz w:val="24"/>
          <w:szCs w:val="24"/>
          <w:lang w:val="en-US"/>
        </w:rPr>
        <w:fldChar w:fldCharType="end"/>
      </w:r>
      <w:r w:rsidRPr="00E36D95">
        <w:rPr>
          <w:rFonts w:ascii="Times New Roman" w:hAnsi="Times New Roman" w:cs="Times New Roman"/>
          <w:sz w:val="24"/>
          <w:szCs w:val="24"/>
          <w:lang w:val="en-US"/>
        </w:rPr>
        <w:t>, Kwon</w:t>
      </w:r>
      <w:r w:rsidR="00192D92">
        <w:rPr>
          <w:rFonts w:ascii="Times New Roman" w:hAnsi="Times New Roman" w:cs="Times New Roman"/>
          <w:sz w:val="24"/>
          <w:szCs w:val="24"/>
          <w:lang w:val="en-US"/>
        </w:rPr>
        <w:t xml:space="preserve"> </w:t>
      </w:r>
      <w:r w:rsidR="00192D92">
        <w:rPr>
          <w:rFonts w:ascii="Times New Roman" w:hAnsi="Times New Roman" w:cs="Times New Roman"/>
          <w:sz w:val="24"/>
          <w:szCs w:val="24"/>
          <w:lang w:val="en-US"/>
        </w:rPr>
        <w:fldChar w:fldCharType="begin" w:fldLock="1"/>
      </w:r>
      <w:r w:rsidR="00192D92">
        <w:rPr>
          <w:rFonts w:ascii="Times New Roman" w:hAnsi="Times New Roman" w:cs="Times New Roman"/>
          <w:sz w:val="24"/>
          <w:szCs w:val="24"/>
          <w:lang w:val="en-US"/>
        </w:rPr>
        <w:instrText>ADDIN CSL_CITATION {"citationItems":[{"id":"ITEM-1","itemData":{"DOI":"10.1108/mf-07-2017-0261","ISSN":"0307-4358","author":[{"dropping-particle":"","family":"Kwon","given":"Gee-Jung","non-dropping-particle":"","parse-names":false,"suffix":""}],"container-title":"Managerial Finance","id":"ITEM-1","issue":"2","issued":{"date-parts":[["2018"]]},"page":"110-126","title":"Comparative value relevance of accounting information among Asian countries","type":"article-journal","volume":"44"},"suppress-author":1,"uris":["http://www.mendeley.com/documents/?uuid=87c99835-7ce2-437c-aa31-2e4e63f892a1"]}],"mendeley":{"formattedCitation":"(2018)","plainTextFormattedCitation":"(2018)","previouslyFormattedCitation":"(2018)"},"properties":{"noteIndex":0},"schema":"https://github.com/citation-style-language/schema/raw/master/csl-citation.json"}</w:instrText>
      </w:r>
      <w:r w:rsidR="00192D92">
        <w:rPr>
          <w:rFonts w:ascii="Times New Roman" w:hAnsi="Times New Roman" w:cs="Times New Roman"/>
          <w:sz w:val="24"/>
          <w:szCs w:val="24"/>
          <w:lang w:val="en-US"/>
        </w:rPr>
        <w:fldChar w:fldCharType="separate"/>
      </w:r>
      <w:r w:rsidR="00192D92" w:rsidRPr="00192D92">
        <w:rPr>
          <w:rFonts w:ascii="Times New Roman" w:hAnsi="Times New Roman" w:cs="Times New Roman"/>
          <w:noProof/>
          <w:sz w:val="24"/>
          <w:szCs w:val="24"/>
          <w:lang w:val="en-US"/>
        </w:rPr>
        <w:t>(2018)</w:t>
      </w:r>
      <w:r w:rsidR="00192D92">
        <w:rPr>
          <w:rFonts w:ascii="Times New Roman" w:hAnsi="Times New Roman" w:cs="Times New Roman"/>
          <w:sz w:val="24"/>
          <w:szCs w:val="24"/>
          <w:lang w:val="en-US"/>
        </w:rPr>
        <w:fldChar w:fldCharType="end"/>
      </w:r>
      <w:r w:rsidRPr="00E36D95">
        <w:rPr>
          <w:rFonts w:ascii="Times New Roman" w:hAnsi="Times New Roman" w:cs="Times New Roman"/>
          <w:sz w:val="24"/>
          <w:szCs w:val="24"/>
          <w:lang w:val="en-US"/>
        </w:rPr>
        <w:t>, dan El-Diftar &amp; Elkalla</w:t>
      </w:r>
      <w:r w:rsidR="00192D92">
        <w:rPr>
          <w:rFonts w:ascii="Times New Roman" w:hAnsi="Times New Roman" w:cs="Times New Roman"/>
          <w:sz w:val="24"/>
          <w:szCs w:val="24"/>
          <w:lang w:val="en-US"/>
        </w:rPr>
        <w:t xml:space="preserve"> </w:t>
      </w:r>
      <w:r w:rsidR="00192D92">
        <w:rPr>
          <w:rFonts w:ascii="Times New Roman" w:hAnsi="Times New Roman" w:cs="Times New Roman"/>
          <w:sz w:val="24"/>
          <w:szCs w:val="24"/>
          <w:lang w:val="en-US"/>
        </w:rPr>
        <w:fldChar w:fldCharType="begin" w:fldLock="1"/>
      </w:r>
      <w:r w:rsidR="006C6E15">
        <w:rPr>
          <w:rFonts w:ascii="Times New Roman" w:hAnsi="Times New Roman" w:cs="Times New Roman"/>
          <w:sz w:val="24"/>
          <w:szCs w:val="24"/>
          <w:lang w:val="en-US"/>
        </w:rPr>
        <w:instrText>ADDIN CSL_CITATION {"citationItems":[{"id":"ITEM-1","itemData":{"DOI":"10.1108/JFRA-09-2018-0079","ISSN":"20425856","abstract":"Purpose: The purpose of this paper is to examine the value relevance of accounting information in the Middle East and North Africa region (MENA) region with an emphasis on the potential impact of IFRS adoption. This paper aims to not only examine the value relevance of accounting information in the MENA region but also draw comparisons between Gulf countries (GCC) and non-GCC country firms to determine whether there are distinct differences across the two regions. Design/methodology/approach: To investigate the value relevance of accounting information in the MENA region, two pooled regression models are used based on the Ohlson (1995) model. The first regression model is conducted for the GCC and non-GCC regions separately. A second regression model is conducted using a pooled sample of the MENA region collectively with dummy and interaction variables to further explore the potential differences between the two regions in terms of the value relevance of accounting information. Findings: The empirical results show that the measures of accounting information have a highly significant positive relationship with the market value per share for firms in the MENA region, thereby indicating that accounting information in the MENA region is value relevant. Although book value per share and earnings per share are significant determinants of value relevance in both GCC and non-GCC country firms, operating cash flows per share is only a significant determinant of value relevance in non-GCC country firms. The research findings of the study also show a significant negative impact of IFRS adoption on the value relevance of accounting information in the MENA region. Practical implications: This research paper provides important insights for investors and regulators by providing evidence that accounting information is value relevant in the MENA region, and that IFRS adoption does not necessarily lead to a greater degree of value relevance. In fact, investors and regulators should be aware that the adoption of IFRS in MENA country firms results in diminished value relevance of accounting information. This finding is of particular significance to policymakers attempting to improve accounting disclosure. Originality/value: The paper expands the value relevance of accounting information literature in the context of developing economies, in general, and the MENA region, in particular. There is a paucity of research into the value relevance of accounting information for MENA…","author":[{"dropping-particle":"","family":"El-Diftar","given":"Doaa","non-dropping-particle":"","parse-names":false,"suffix":""},{"dropping-particle":"","family":"Elkalla","given":"Tarek","non-dropping-particle":"","parse-names":false,"suffix":""}],"container-title":"Journal of Financial Reporting and Accounting","id":"ITEM-1","issue":"3","issued":{"date-parts":[["2019"]]},"page":"519-536","title":"The value relevance of accounting information in the MENA region: A comparison of GCC and non-GCC country firms","type":"article-journal","volume":"17"},"suppress-author":1,"uris":["http://www.mendeley.com/documents/?uuid=23e8382f-840f-40d3-aac4-3d21eef4b920"]}],"mendeley":{"formattedCitation":"(2019)","plainTextFormattedCitation":"(2019)","previouslyFormattedCitation":"(2019)"},"properties":{"noteIndex":0},"schema":"https://github.com/citation-style-language/schema/raw/master/csl-citation.json"}</w:instrText>
      </w:r>
      <w:r w:rsidR="00192D92">
        <w:rPr>
          <w:rFonts w:ascii="Times New Roman" w:hAnsi="Times New Roman" w:cs="Times New Roman"/>
          <w:sz w:val="24"/>
          <w:szCs w:val="24"/>
          <w:lang w:val="en-US"/>
        </w:rPr>
        <w:fldChar w:fldCharType="separate"/>
      </w:r>
      <w:r w:rsidR="00192D92" w:rsidRPr="00192D92">
        <w:rPr>
          <w:rFonts w:ascii="Times New Roman" w:hAnsi="Times New Roman" w:cs="Times New Roman"/>
          <w:noProof/>
          <w:sz w:val="24"/>
          <w:szCs w:val="24"/>
          <w:lang w:val="en-US"/>
        </w:rPr>
        <w:t>(2019)</w:t>
      </w:r>
      <w:r w:rsidR="00192D92">
        <w:rPr>
          <w:rFonts w:ascii="Times New Roman" w:hAnsi="Times New Roman" w:cs="Times New Roman"/>
          <w:sz w:val="24"/>
          <w:szCs w:val="24"/>
          <w:lang w:val="en-US"/>
        </w:rPr>
        <w:fldChar w:fldCharType="end"/>
      </w:r>
      <w:r w:rsidRPr="00E36D95">
        <w:rPr>
          <w:rFonts w:ascii="Times New Roman" w:hAnsi="Times New Roman" w:cs="Times New Roman"/>
          <w:sz w:val="24"/>
          <w:szCs w:val="24"/>
          <w:lang w:val="en-US"/>
        </w:rPr>
        <w:t xml:space="preserve"> telah melakukan penelitian di mana mereka menemukan bahwa informasi laba rugi dan informasi neraca mempunyai relevansi nilai yang signfikan.</w:t>
      </w:r>
    </w:p>
    <w:p w14:paraId="1B37C723" w14:textId="64780CD1" w:rsidR="003B4532" w:rsidRDefault="00DE2A86" w:rsidP="004C27A0">
      <w:pPr>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Standar akuntansi sewa diatur dalam PSAK 30 hingga 2019, dan PSAK 73 sejak 2020. Perbedaan paling signifikan terdapat pada perubahan perlakuan akuntansi sewa operasi. PSAK 30 tidak memberlakukan kapitalisasi sewa operasi, sementara PSAK 73 memberlakukan. Kapitalisasi sewa operasi dengan model </w:t>
      </w:r>
      <w:r>
        <w:rPr>
          <w:rFonts w:ascii="Times New Roman" w:hAnsi="Times New Roman" w:cs="Times New Roman"/>
          <w:i/>
          <w:sz w:val="24"/>
          <w:szCs w:val="24"/>
          <w:lang w:val="en-US"/>
        </w:rPr>
        <w:t>right-of-use</w:t>
      </w:r>
      <w:r>
        <w:rPr>
          <w:rFonts w:ascii="Times New Roman" w:hAnsi="Times New Roman" w:cs="Times New Roman"/>
          <w:sz w:val="24"/>
          <w:szCs w:val="24"/>
          <w:lang w:val="en-US"/>
        </w:rPr>
        <w:t xml:space="preserve"> mengakui hak guna dan kewajiban suatu aset sewa, sehingga transaksi sewa</w:t>
      </w:r>
      <w:r w:rsidR="00152937">
        <w:rPr>
          <w:rFonts w:ascii="Times New Roman" w:hAnsi="Times New Roman" w:cs="Times New Roman"/>
          <w:sz w:val="24"/>
          <w:szCs w:val="24"/>
          <w:lang w:val="en-US"/>
        </w:rPr>
        <w:t xml:space="preserve"> operasi</w:t>
      </w:r>
      <w:r>
        <w:rPr>
          <w:rFonts w:ascii="Times New Roman" w:hAnsi="Times New Roman" w:cs="Times New Roman"/>
          <w:sz w:val="24"/>
          <w:szCs w:val="24"/>
          <w:lang w:val="en-US"/>
        </w:rPr>
        <w:t xml:space="preserve"> tersebut diakui dalam laporan keuangan. Pada hakekatnya, semua sewa diperlakukan seperti layaknya sewa pembiayaan pada PSAK 30, kecuali beberapa </w:t>
      </w:r>
      <w:r>
        <w:rPr>
          <w:rFonts w:ascii="Times New Roman" w:hAnsi="Times New Roman" w:cs="Times New Roman"/>
          <w:sz w:val="24"/>
          <w:szCs w:val="24"/>
          <w:lang w:val="en-US"/>
        </w:rPr>
        <w:t xml:space="preserve">pengecualian untuk aset sewa bernilai kecil atau sewa jangka pendek. </w:t>
      </w:r>
    </w:p>
    <w:p w14:paraId="3F0DC103" w14:textId="5249CC74" w:rsidR="002D18E3" w:rsidRDefault="00AB7E36" w:rsidP="005E277D">
      <w:pPr>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Beberapa peneliti menemukan bahwa </w:t>
      </w:r>
      <w:r w:rsidRPr="00AB7E36">
        <w:rPr>
          <w:rFonts w:ascii="Times New Roman" w:hAnsi="Times New Roman" w:cs="Times New Roman"/>
          <w:sz w:val="24"/>
          <w:szCs w:val="24"/>
          <w:lang w:val="en-US"/>
        </w:rPr>
        <w:t>laporan keuangan kurang menyatakan kondisi yang sebenarnya ketika sewa operasi tidak dikapitalisasi</w:t>
      </w:r>
      <w:r w:rsidR="00D9592B">
        <w:rPr>
          <w:rFonts w:ascii="Times New Roman" w:hAnsi="Times New Roman" w:cs="Times New Roman"/>
          <w:sz w:val="24"/>
          <w:szCs w:val="24"/>
          <w:lang w:val="en-US"/>
        </w:rPr>
        <w:t xml:space="preserve"> </w:t>
      </w:r>
      <w:r w:rsidR="006C6E15">
        <w:rPr>
          <w:rFonts w:ascii="Times New Roman" w:hAnsi="Times New Roman" w:cs="Times New Roman"/>
          <w:sz w:val="24"/>
          <w:szCs w:val="24"/>
          <w:lang w:val="en-US"/>
        </w:rPr>
        <w:fldChar w:fldCharType="begin" w:fldLock="1"/>
      </w:r>
      <w:r w:rsidR="00FF524F">
        <w:rPr>
          <w:rFonts w:ascii="Times New Roman" w:hAnsi="Times New Roman" w:cs="Times New Roman"/>
          <w:sz w:val="24"/>
          <w:szCs w:val="24"/>
          <w:lang w:val="en-US"/>
        </w:rPr>
        <w:instrText>ADDIN CSL_CITATION {"citationItems":[{"id":"ITEM-1","itemData":{"ISSN":"1843-8105","abstract":"Prior literature examined the financial impact of capitalizing operating leases by using the constructive lease capitalization method of Imhoff et al. (1991). The empirical evidence of these studies results in the perception that operating leases lead to off-balance financing, improvements of financial ratios and earnings enhancement in the U.K. (e.g. Beattie et al., 1998) and in the U.S.(e.g. Ely, 1995). Therefore, the IASB published in 2010 the exposure draft for the new standard on lease accounting (IAS 17). The most striking change is the elimination of the difference between finance and operating lease. Our study investigates the impact of the proposed adaptation for listed companies in Belgium and the Netherlands for 2008. Our results indicate that debt to equity ratio, return on assets and the current ratio are significantly affected by capitalizing operating leases. Furthermore, the results show that the impact on financial ratios differs among industries.","author":[{"dropping-particle":"","family":"Branswijck","given":"Deborah","non-dropping-particle":"","parse-names":false,"suffix":""},{"dropping-particle":"","family":"Gent","given":"Hogeschool","non-dropping-particle":"","parse-names":false,"suffix":""},{"dropping-particle":"","family":"Everaert","given":"Patricia","non-dropping-particle":"","parse-names":false,"suffix":""}],"container-title":"Accounting and Management Information Systems","id":"ITEM-1","issue":"2","issued":{"date-parts":[["2011"]]},"page":"275-295","title":"The Financial Impact of the Proposed Amendments to IAS 17: Evidence from Belgium and the Netherlands","type":"article-journal","volume":"10"},"uris":["http://www.mendeley.com/documents/?uuid=0eeba46c-3167-4395-a077-0756d73001c9"]},{"id":"ITEM-2","itemData":{"author":[{"dropping-particle":"","family":"ACCA","given":"","non-dropping-particle":"","parse-names":false,"suffix":""}],"id":"ITEM-2","issued":{"date-parts":[["2014"]]},"title":"Lease accounting : an update on the international proposed amendments About ACCA","type":"article-journal"},"uris":["http://www.mendeley.com/documents/?uuid=ab2395dc-5ac9-4259-8cf5-ed06a6fe59c3"]},{"id":"ITEM-3","itemData":{"DOI":"10.14453/aabfj.v9i3.3","ISSN":"18342019","abstract":"The IASB/FASB exposure draft ED 2013 on lease accounting, if introduced as a standard, will fundamentally change the way that leases are accounted for and reported in financial statements. This paper seeks to provide information on the proposed new lease accounting rules and to illustrate their impact on financial statements and financial ratios of leading Australian companies. The study follows the method of constructive capitalisation developed by Imhoff et al. (1991) to demonstrate the potential impact of the new rules on financial ratios and financial statements. The results show that financial statements will change significantly when all lease assets and liabilities are capitalised. The study finds that lease capitalisation will have a material impact on the reported numbers in the balance sheet and income statement and result in significant changes to return and leverage ratios. A comparison between positive and negative income subgroups also shows significant changes in the financial ratios of both these sub- groups. This is the first Australian study that serves to provide computations of the effects on financial reporting changes in lease accounting standard. The results have practical implications for corporate managers and accounting practitioners in planning and formulating strategies to lessen the impact of this important change in lease accounting.","author":[{"dropping-particle":"","family":"Wong","given":"Karen","non-dropping-particle":"","parse-names":false,"suffix":""},{"dropping-particle":"","family":"Joshi","given":"Mahesh","non-dropping-particle":"","parse-names":false,"suffix":""}],"container-title":"Australasian Accounting, Business and Finance Journal","id":"ITEM-3","issue":"3","issued":{"date-parts":[["2015"]]},"page":"27-44","title":"The impact of lease capitalisation on financial statements and key ratios: Evidence from Australia","type":"article-journal","volume":"9"},"uris":["http://www.mendeley.com/documents/?uuid=9f4c71b2-e563-4f68-b2b7-fa1f37df667b"]}],"mendeley":{"formattedCitation":"(ACCA, 2014; Branswijck et al., 2011; Wong &amp; Joshi, 2015)","plainTextFormattedCitation":"(ACCA, 2014; Branswijck et al., 2011; Wong &amp; Joshi, 2015)","previouslyFormattedCitation":"(ACCA, 2014; Branswijck et al., 2011; Wong &amp; Joshi, 2015)"},"properties":{"noteIndex":0},"schema":"https://github.com/citation-style-language/schema/raw/master/csl-citation.json"}</w:instrText>
      </w:r>
      <w:r w:rsidR="006C6E15">
        <w:rPr>
          <w:rFonts w:ascii="Times New Roman" w:hAnsi="Times New Roman" w:cs="Times New Roman"/>
          <w:sz w:val="24"/>
          <w:szCs w:val="24"/>
          <w:lang w:val="en-US"/>
        </w:rPr>
        <w:fldChar w:fldCharType="separate"/>
      </w:r>
      <w:r w:rsidR="006C6E15" w:rsidRPr="006C6E15">
        <w:rPr>
          <w:rFonts w:ascii="Times New Roman" w:hAnsi="Times New Roman" w:cs="Times New Roman"/>
          <w:noProof/>
          <w:sz w:val="24"/>
          <w:szCs w:val="24"/>
          <w:lang w:val="en-US"/>
        </w:rPr>
        <w:t>(ACCA, 2014; Branswijck et al., 2011; Wong &amp; Joshi, 2015)</w:t>
      </w:r>
      <w:r w:rsidR="006C6E15">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544B6F13" w14:textId="77777777" w:rsidR="004C27A0" w:rsidRDefault="00C608F5" w:rsidP="004C27A0">
      <w:pPr>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Penelitian-penelitian juga telah dilakukan untuk efek IFRS 16 (ekuivalen PSAK 73) di mana para peneliti menemukan bahwa </w:t>
      </w:r>
      <w:r w:rsidRPr="00C608F5">
        <w:rPr>
          <w:rFonts w:ascii="Times New Roman" w:hAnsi="Times New Roman" w:cs="Times New Roman"/>
          <w:sz w:val="24"/>
          <w:szCs w:val="24"/>
          <w:lang w:val="en-US"/>
        </w:rPr>
        <w:t>terdapat penambahan aset dan liabilitas yang signifikan dan berdampak signifikan pula kepada rasio-rasio keuangan</w:t>
      </w:r>
      <w:r w:rsidR="000668B5">
        <w:rPr>
          <w:rFonts w:ascii="Times New Roman" w:hAnsi="Times New Roman" w:cs="Times New Roman"/>
          <w:sz w:val="24"/>
          <w:szCs w:val="24"/>
          <w:lang w:val="en-US"/>
        </w:rPr>
        <w:t xml:space="preserve"> </w:t>
      </w:r>
      <w:r w:rsidR="00FF524F">
        <w:rPr>
          <w:rFonts w:ascii="Times New Roman" w:hAnsi="Times New Roman" w:cs="Times New Roman"/>
          <w:sz w:val="24"/>
          <w:szCs w:val="24"/>
          <w:lang w:val="en-US"/>
        </w:rPr>
        <w:fldChar w:fldCharType="begin" w:fldLock="1"/>
      </w:r>
      <w:r w:rsidR="00211402">
        <w:rPr>
          <w:rFonts w:ascii="Times New Roman" w:hAnsi="Times New Roman" w:cs="Times New Roman"/>
          <w:sz w:val="24"/>
          <w:szCs w:val="24"/>
          <w:lang w:val="en-US"/>
        </w:rPr>
        <w:instrText>ADDIN CSL_CITATION {"citationItems":[{"id":"ITEM-1","itemData":{"abstract":"In collaboration with the RotterdamSchool of Management, in the Netherlands, we have conducted a global study to assess the impact of the new leases standard on the financial statements, key financial ratios and performancemeasures on a sample of 3,199 listed IFRS reporting organisations across a range of industries and countries (excluding the United States). The study identifies theminimumimpact of capitalising the operating lease commitments as disclosed in the published financial statements for 2014. In view of organisations assessment of the lease termunder the new standard, the inclusion of amongst others in-substance fixed payments and variable payments linked to an index or rate, the eventual impactmay bemuch greater. Furthermore, the study takes no account of transitional reliefs that are available upon adoption of the new leases standard on 1 January 2019.","author":[{"dropping-particle":"","family":"Tahtah","given":"Jay","non-dropping-particle":"","parse-names":false,"suffix":""},{"dropping-particle":"","family":"Roelofsen","given":"Erik","non-dropping-particle":"","parse-names":false,"suffix":""}],"container-title":"PwC report","id":"ITEM-1","issue":"February","issued":{"date-parts":[["2016"]]},"page":"14","title":"A study on the impact of lease capitalisation IFRS 16 : The new leases standard","type":"article-journal"},"uris":["http://www.mendeley.com/documents/?uuid=9c079af8-289b-4359-aa44-a5a641edafb5"]},{"id":"ITEM-2","itemData":{"DOI":"10.14453/aabfj.v9i3.3","ISSN":"18342019","abstract":"The IASB/FASB exposure draft ED 2013 on lease accounting, if introduced as a standard, will fundamentally change the way that leases are accounted for and reported in financial statements. This paper seeks to provide information on the proposed new lease accounting rules and to illustrate their impact on financial statements and financial ratios of leading Australian companies. The study follows the method of constructive capitalisation developed by Imhoff et al. (1991) to demonstrate the potential impact of the new rules on financial ratios and financial statements. The results show that financial statements will change significantly when all lease assets and liabilities are capitalised. The study finds that lease capitalisation will have a material impact on the reported numbers in the balance sheet and income statement and result in significant changes to return and leverage ratios. A comparison between positive and negative income subgroups also shows significant changes in the financial ratios of both these sub- groups. This is the first Australian study that serves to provide computations of the effects on financial reporting changes in lease accounting standard. The results have practical implications for corporate managers and accounting practitioners in planning and formulating strategies to lessen the impact of this important change in lease accounting.","author":[{"dropping-particle":"","family":"Wong","given":"Karen","non-dropping-particle":"","parse-names":false,"suffix":""},{"dropping-particle":"","family":"Joshi","given":"Mahesh","non-dropping-particle":"","parse-names":false,"suffix":""}],"container-title":"Australasian Accounting, Business and Finance Journal","id":"ITEM-2","issue":"3","issued":{"date-parts":[["2015"]]},"page":"27-44","title":"The impact of lease capitalisation on financial statements and key ratios: Evidence from Australia","type":"article-journal","volume":"9"},"uris":["http://www.mendeley.com/documents/?uuid=9f4c71b2-e563-4f68-b2b7-fa1f37df667b"]},{"id":"ITEM-3","itemData":{"DOI":"10.17261/pressacademia.2016116657","ISSN":"2146-7943","abstract":"The new International Financial Reporting Standard (IFRS) 16 issued by the International Accounting Standards Board will significantly change accounting for leases. The most important issue is that operating leases beyond one year will be capitalized, which means Off-The-Balance Sheet (OBS) financing via operating lease is effectively eliminated. “IFRS 16: Leases” will fundamentally change the way that leases are accounted for and reported in financial statements. This paper tries to illustrate the impact of IFRS 16 on financial statements and financial ratios. The study is an ex ante research, simulating a predicted outcome of the new lease standard, which will be in effect after 1 January 2019. For this purpose, this research is applied to the Turkish retailing companies whose shares are publicly traded in the Istanbul Stock Exchange. The study uses the constructive capitalization method for these companies. The results indicate that new standard will have a statistically significant effect on some of the financial ratios tested (debt/asset, debt/equity, return on assets (ROA) and return on equity (ROE)) for 2010 – 2013. Keywords : IFRS 16, Operating Leases, Accounting for Leases, Lease Capitalization, Turkish Listed Retailing Companies JEL Classification : C1; G1; M1","author":[{"dropping-particle":"","family":"Altintas","given":"Taylan","non-dropping-particle":"","parse-names":false,"suffix":""},{"dropping-particle":"","family":"Sari","given":"Emre Selcuk","non-dropping-particle":"","parse-names":false,"suffix":""}],"container-title":"Pressacademia","id":"ITEM-3","issue":"1","issued":{"date-parts":[["2016"]]},"page":"138-138","title":"The effect of the IFRS 16: constructive capitalization of operating leases in the Turkish retailing sector","type":"article-journal","volume":"5"},"uris":["http://www.mendeley.com/documents/?uuid=b7214b33-6516-4c9f-83fb-4454c4bbe226"]},{"id":"ITEM-4","itemData":{"DOI":"10.1080/17449480.2018.1433307","ISSN":"17449499","abstract":"In January 2016, the International Accounting Standards Board issued a new standard for lease accounting: International Financial Reporting Starndard (IFRS) 16. IFRS 16 will lead to the capitalisation of the majority of current operating leases by lessees. We analyse the impact of the new accounting model on entity’s key financial, contributing to research by making significant changes in the Imhoff et al. [(1991). Operating leases: Impact of constructive capitalization. Accounting Horizons, 5(1), 51–63. Retrieved from http://search.ebscohost.com/login.aspx?direct=true&amp;db=buh&amp;AN=9604010111&amp;site=ehost-live; (1997). Operating leases: Income effects of constructive capitalization. Accounting Horizons, 11(2), 12–32. Retrieved from http://0-search.proquest.com.fama.us.es/docview/208896121?accountid=14744] methodology used by previous authors. We change how the lease term is estimated (more aligned with the final approved standard), and how the discount rate is obtained. Furthermore, we use a more comprehensive sample (646 quoted European companies). In line with previous research we find important systematic impacts on key balance sheet financial ratios (mainly leverage ratios), on a magnitude that depends on the operating lease intensity of the sector in which the entity operates. Our estimated impact is generally higher than that obtained in previous studies. The most affected sectors are retail, hotels and transportation. We do not find a consistent result with regard to the effect on profitability ratios.","author":[{"dropping-particle":"","family":"Morales-Díaz","given":"José","non-dropping-particle":"","parse-names":false,"suffix":""},{"dropping-particle":"","family":"Zamora-Ramírez","given":"Constancio","non-dropping-particle":"","parse-names":false,"suffix":""}],"container-title":"Accounting in Europe","id":"ITEM-4","issue":"1","issued":{"date-parts":[["2018"]]},"page":"105-133","publisher":"Taylor &amp; Francis","title":"The Impact of IFRS 16 on Key Financial Ratios: A New Methodological Approach","type":"article-journal","volume":"15"},"uris":["http://www.mendeley.com/documents/?uuid=eddcc1e6-ac33-4dce-b757-89c375221f30"]},{"id":"ITEM-5","itemData":{"DOI":"10.1108/par-01-2016-0003","ISSN":"0114-0582","abstract":"This study evidences that capitalising operating leases under International Financial Reporting Standard 16/Australian accounting standard Board 16 affects the financial statements and value relevance of financial information in companies.","author":[{"dropping-particle":"","family":"Xu","given":"Wei","non-dropping-particle":"","parse-names":false,"suffix":""},{"dropping-particle":"","family":"Davidson","given":"Robyn Alexandra","non-dropping-particle":"","parse-names":false,"suffix":""},{"dropping-particle":"","family":"Cheong","given":"Chee Seng","non-dropping-particle":"","parse-names":false,"suffix":""}],"container-title":"Pacific Accounting Review","id":"ITEM-5","issue":"1","issued":{"date-parts":[["2017"]]},"page":"34-54","title":"Converting financial statements: operating to capitalised leases","type":"article-journal","volume":"29"},"uris":["http://www.mendeley.com/documents/?uuid=c4ae6b7a-6013-4f44-823f-534210d562c7"]},{"id":"ITEM-6","itemData":{"abstract":"Due to changes in lease agreements accounting standards, firms will soon have to recognize operating lease obligations that historically have been kept off-balance sheets (OBS). Research indicates that this change will have substantial effects on the presentation of the financial position and results of firms involved. It is also expected that this will affect decision-making by stakeholders such as boards, managers, bankers and financial analysts. Although it is assumed that these professionals consider all relevant information, it is also known that the smaller the chance of relevant information being overlooked, the better the decision-making. In this study we examine whether IFRS 16 has that positive effect. The results from this research suggest that the accounting treatment under IFRS 16 contributes to the quality but not necessarily to the ease of making investment financing decisions.","author":[{"dropping-particle":"","family":"Kints","given":"Ron","non-dropping-particle":"van","parse-names":false,"suffix":""},{"dropping-particle":"","family":"Spoor","given":"Louis","non-dropping-particle":"","parse-names":false,"suffix":""}],"container-title":"Advances in Accounting","id":"ITEM-6","issued":{"date-parts":[["2019"]]},"page":"3-9","title":"Leases on balance, a level playing ﬁeld","type":"article-journal","volume":"44"},"uris":["http://www.mendeley.com/documents/?uuid=5114082b-225d-4ede-b771-9af89ccb17c4"]},{"id":"ITEM-7","itemData":{"DOI":"10.1016/j.jbusres.2018.11.049","ISSN":"01482963","abstract":"The European Commission has recently adopted a new accounting standard for leases that will be implemented in 2019, which requires operating lease contracts to be included in the balance sheet, affecting key ratios, leverage and profitability. We simulate the impact of IFRS 16 using Monte Carlo method, which incorporates the uncertainty of the future value of variables when making predictions. Unlike prior studies based on historical data, our study considers a five-year forecast horizon and, more importantly, contemplates several probable scenarios. Based on the STOXX All Europe 100, our results confirm that, in 2019, liability maturity, liquidity and return on assets will decrease, leverage and return on equity will increase, but the figures do not change substantially after 2019. The results of this dynamic approach are consistent across the five scenarios considered; however, the impact of IFRS 16 is smoothed under the strategy of reducing the life of lease contracts.","author":[{"dropping-particle":"","family":"Giner","given":"Begoña","non-dropping-particle":"","parse-names":false,"suffix":""},{"dropping-particle":"","family":"Merello","given":"Paloma","non-dropping-particle":"","parse-names":false,"suffix":""},{"dropping-particle":"","family":"Pardo","given":"Francisca","non-dropping-particle":"","parse-names":false,"suffix":""}],"container-title":"Journal of Business Research","id":"ITEM-7","issue":"November","issued":{"date-parts":[["2019"]]},"page":"836-845","publisher":"Elsevier","title":"Assessing the impact of operating lease capitalization with dynamic Monte Carlo simulation","type":"article-journal","volume":"101"},"uris":["http://www.mendeley.com/documents/?uuid=7bdab344-3be2-4f9c-a5e7-0c2ba75471b8"]}],"mendeley":{"formattedCitation":"(Altintas &amp; Sari, 2016; Giner et al., 2019; Morales-Díaz &amp; Zamora-Ramírez, 2018; Tahtah &amp; Roelofsen, 2016; van Kints &amp; Spoor, 2019; Wong &amp; Joshi, 2015; Xu et al., 2017)","plainTextFormattedCitation":"(Altintas &amp; Sari, 2016; Giner et al., 2019; Morales-Díaz &amp; Zamora-Ramírez, 2018; Tahtah &amp; Roelofsen, 2016; van Kints &amp; Spoor, 2019; Wong &amp; Joshi, 2015; Xu et al., 2017)","previouslyFormattedCitation":"(Altintas &amp; Sari, 2016; Giner et al., 2019; Morales-Díaz &amp; Zamora-Ramírez, 2018; Tahtah &amp; Roelofsen, 2016; van Kints &amp; Spoor, 2019; Wong &amp; Joshi, 2015; Xu et al., 2017)"},"properties":{"noteIndex":0},"schema":"https://github.com/citation-style-language/schema/raw/master/csl-citation.json"}</w:instrText>
      </w:r>
      <w:r w:rsidR="00FF524F">
        <w:rPr>
          <w:rFonts w:ascii="Times New Roman" w:hAnsi="Times New Roman" w:cs="Times New Roman"/>
          <w:sz w:val="24"/>
          <w:szCs w:val="24"/>
          <w:lang w:val="en-US"/>
        </w:rPr>
        <w:fldChar w:fldCharType="separate"/>
      </w:r>
      <w:r w:rsidR="00FF524F" w:rsidRPr="00FF524F">
        <w:rPr>
          <w:rFonts w:ascii="Times New Roman" w:hAnsi="Times New Roman" w:cs="Times New Roman"/>
          <w:noProof/>
          <w:sz w:val="24"/>
          <w:szCs w:val="24"/>
          <w:lang w:val="en-US"/>
        </w:rPr>
        <w:t>(Altintas &amp; Sari, 2016; Giner et al., 2019; Morales-Díaz &amp; Zamora-Ramírez, 2018; Tahtah &amp; Roelofsen, 2016; van Kints &amp; Spoor, 2019; Wong &amp; Joshi, 2015; Xu et al., 2017)</w:t>
      </w:r>
      <w:r w:rsidR="00FF524F">
        <w:rPr>
          <w:rFonts w:ascii="Times New Roman" w:hAnsi="Times New Roman" w:cs="Times New Roman"/>
          <w:sz w:val="24"/>
          <w:szCs w:val="24"/>
          <w:lang w:val="en-US"/>
        </w:rPr>
        <w:fldChar w:fldCharType="end"/>
      </w:r>
      <w:r w:rsidR="004A25C3">
        <w:rPr>
          <w:rFonts w:ascii="Times New Roman" w:hAnsi="Times New Roman" w:cs="Times New Roman"/>
          <w:sz w:val="24"/>
          <w:szCs w:val="24"/>
          <w:lang w:val="en-US"/>
        </w:rPr>
        <w:t>.</w:t>
      </w:r>
    </w:p>
    <w:p w14:paraId="55567A9C" w14:textId="3ABF3470" w:rsidR="005E36BA" w:rsidRDefault="000E6616" w:rsidP="004C27A0">
      <w:pPr>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932E45" w:rsidRPr="00932E45">
        <w:rPr>
          <w:rFonts w:ascii="Times New Roman" w:hAnsi="Times New Roman" w:cs="Times New Roman"/>
          <w:sz w:val="24"/>
          <w:szCs w:val="24"/>
          <w:lang w:val="en-US"/>
        </w:rPr>
        <w:t xml:space="preserve">eberapa peneliti seperti </w:t>
      </w:r>
      <w:r w:rsidR="00315708" w:rsidRPr="00932E45">
        <w:rPr>
          <w:rFonts w:ascii="Times New Roman" w:hAnsi="Times New Roman" w:cs="Times New Roman"/>
          <w:sz w:val="24"/>
          <w:szCs w:val="24"/>
          <w:lang w:val="en-US"/>
        </w:rPr>
        <w:t xml:space="preserve">Xu, Davidson &amp; Cheong </w:t>
      </w:r>
      <w:r w:rsidR="00315708">
        <w:rPr>
          <w:rFonts w:ascii="Times New Roman" w:hAnsi="Times New Roman" w:cs="Times New Roman"/>
          <w:sz w:val="24"/>
          <w:szCs w:val="24"/>
          <w:lang w:val="en-US"/>
        </w:rPr>
        <w:fldChar w:fldCharType="begin" w:fldLock="1"/>
      </w:r>
      <w:r w:rsidR="00315708">
        <w:rPr>
          <w:rFonts w:ascii="Times New Roman" w:hAnsi="Times New Roman" w:cs="Times New Roman"/>
          <w:sz w:val="24"/>
          <w:szCs w:val="24"/>
          <w:lang w:val="en-US"/>
        </w:rPr>
        <w:instrText>ADDIN CSL_CITATION {"citationItems":[{"id":"ITEM-1","itemData":{"DOI":"10.1108/par-01-2016-0003","ISSN":"0114-0582","abstract":"This study evidences that capitalising operating leases under International Financial Reporting Standard 16/Australian accounting standard Board 16 affects the financial statements and value relevance of financial information in companies.","author":[{"dropping-particle":"","family":"Xu","given":"Wei","non-dropping-particle":"","parse-names":false,"suffix":""},{"dropping-particle":"","family":"Davidson","given":"Robyn Alexandra","non-dropping-particle":"","parse-names":false,"suffix":""},{"dropping-particle":"","family":"Cheong","given":"Chee Seng","non-dropping-particle":"","parse-names":false,"suffix":""}],"container-title":"Pacific Accounting Review","id":"ITEM-1","issue":"1","issued":{"date-parts":[["2017"]]},"page":"34-54","title":"Converting financial statements: operating to capitalised leases","type":"article-journal","volume":"29"},"suppress-author":1,"uris":["http://www.mendeley.com/documents/?uuid=c4ae6b7a-6013-4f44-823f-534210d562c7"]}],"mendeley":{"formattedCitation":"(2017)","plainTextFormattedCitation":"(2017)","previouslyFormattedCitation":"(2017)"},"properties":{"noteIndex":0},"schema":"https://github.com/citation-style-language/schema/raw/master/csl-citation.json"}</w:instrText>
      </w:r>
      <w:r w:rsidR="00315708">
        <w:rPr>
          <w:rFonts w:ascii="Times New Roman" w:hAnsi="Times New Roman" w:cs="Times New Roman"/>
          <w:sz w:val="24"/>
          <w:szCs w:val="24"/>
          <w:lang w:val="en-US"/>
        </w:rPr>
        <w:fldChar w:fldCharType="separate"/>
      </w:r>
      <w:r w:rsidR="00315708" w:rsidRPr="006B53D6">
        <w:rPr>
          <w:rFonts w:ascii="Times New Roman" w:hAnsi="Times New Roman" w:cs="Times New Roman"/>
          <w:noProof/>
          <w:sz w:val="24"/>
          <w:szCs w:val="24"/>
          <w:lang w:val="en-US"/>
        </w:rPr>
        <w:t>(2017)</w:t>
      </w:r>
      <w:r w:rsidR="00315708">
        <w:rPr>
          <w:rFonts w:ascii="Times New Roman" w:hAnsi="Times New Roman" w:cs="Times New Roman"/>
          <w:sz w:val="24"/>
          <w:szCs w:val="24"/>
          <w:lang w:val="en-US"/>
        </w:rPr>
        <w:fldChar w:fldCharType="end"/>
      </w:r>
      <w:r w:rsidR="00315708">
        <w:rPr>
          <w:rFonts w:ascii="Times New Roman" w:hAnsi="Times New Roman" w:cs="Times New Roman"/>
          <w:sz w:val="24"/>
          <w:szCs w:val="24"/>
          <w:lang w:val="en-US"/>
        </w:rPr>
        <w:t xml:space="preserve">, </w:t>
      </w:r>
      <w:r w:rsidR="00932E45" w:rsidRPr="00932E45">
        <w:rPr>
          <w:rFonts w:ascii="Times New Roman" w:hAnsi="Times New Roman" w:cs="Times New Roman"/>
          <w:sz w:val="24"/>
          <w:szCs w:val="24"/>
          <w:lang w:val="en-US"/>
        </w:rPr>
        <w:t>Kusano</w:t>
      </w:r>
      <w:r w:rsidR="006B53D6">
        <w:rPr>
          <w:rFonts w:ascii="Times New Roman" w:hAnsi="Times New Roman" w:cs="Times New Roman"/>
          <w:sz w:val="24"/>
          <w:szCs w:val="24"/>
          <w:lang w:val="en-US"/>
        </w:rPr>
        <w:t xml:space="preserve"> </w:t>
      </w:r>
      <w:r w:rsidR="006B53D6">
        <w:rPr>
          <w:rFonts w:ascii="Times New Roman" w:hAnsi="Times New Roman" w:cs="Times New Roman"/>
          <w:sz w:val="24"/>
          <w:szCs w:val="24"/>
          <w:lang w:val="en-US"/>
        </w:rPr>
        <w:fldChar w:fldCharType="begin" w:fldLock="1"/>
      </w:r>
      <w:r w:rsidR="006B53D6">
        <w:rPr>
          <w:rFonts w:ascii="Times New Roman" w:hAnsi="Times New Roman" w:cs="Times New Roman"/>
          <w:sz w:val="24"/>
          <w:szCs w:val="24"/>
          <w:lang w:val="en-US"/>
        </w:rPr>
        <w:instrText>ADDIN CSL_CITATION {"citationItems":[{"id":"ITEM-1","itemData":{"DOI":"10.1016/j.intaccaudtax.2017.12.008","ISSN":"10619518","abstract":"The purpose of this study is to examine the effects of constructively capitalizing operating leases on credit ratings in Japan. In particular, this study investigates whether and how a credit rating agency considers operating lease information when determining credit ratings. First, this study shows that constructively capitalized operating leases are associated with credit ratings. Second, this study finds that the associations between operating leases versus finance leases and credit ratings are not substantially different. However, when operating lease disclosures are less reliable, this study finds that operating leases are not associated with credit ratings and that the risk relevance of operating leases is substantially different from that of finance leases. This study reports that the reliability of accounting information has significant effects on the risk relevance of operating leases. These results indicate that a credit rating agency considers operating lease information in determining credit ratings to the extent that this information is reliable. This study contributes to the literature on the usefulness of operating lease disclosures and to the discussions on the global convergence of accounting standards.","author":[{"dropping-particle":"","family":"Kusano","given":"Masaki","non-dropping-particle":"","parse-names":false,"suffix":""}],"container-title":"Journal of International Accounting, Auditing and Taxation","id":"ITEM-1","issued":{"date-parts":[["2018"]]},"page":"45-56","publisher":"Elsevier Inc.","title":"Effect of capitalizing operating leases on credit ratings: Evidence from Japan","type":"article-journal","volume":"30"},"suppress-author":1,"uris":["http://www.mendeley.com/documents/?uuid=dd0a1f58-5ed8-4d40-9325-84b9d8f5a3db"]}],"mendeley":{"formattedCitation":"(2018)","plainTextFormattedCitation":"(2018)","previouslyFormattedCitation":"(2018)"},"properties":{"noteIndex":0},"schema":"https://github.com/citation-style-language/schema/raw/master/csl-citation.json"}</w:instrText>
      </w:r>
      <w:r w:rsidR="006B53D6">
        <w:rPr>
          <w:rFonts w:ascii="Times New Roman" w:hAnsi="Times New Roman" w:cs="Times New Roman"/>
          <w:sz w:val="24"/>
          <w:szCs w:val="24"/>
          <w:lang w:val="en-US"/>
        </w:rPr>
        <w:fldChar w:fldCharType="separate"/>
      </w:r>
      <w:r w:rsidR="006B53D6" w:rsidRPr="006B53D6">
        <w:rPr>
          <w:rFonts w:ascii="Times New Roman" w:hAnsi="Times New Roman" w:cs="Times New Roman"/>
          <w:noProof/>
          <w:sz w:val="24"/>
          <w:szCs w:val="24"/>
          <w:lang w:val="en-US"/>
        </w:rPr>
        <w:t>(2018)</w:t>
      </w:r>
      <w:r w:rsidR="006B53D6">
        <w:rPr>
          <w:rFonts w:ascii="Times New Roman" w:hAnsi="Times New Roman" w:cs="Times New Roman"/>
          <w:sz w:val="24"/>
          <w:szCs w:val="24"/>
          <w:lang w:val="en-US"/>
        </w:rPr>
        <w:fldChar w:fldCharType="end"/>
      </w:r>
      <w:r w:rsidR="00932E45" w:rsidRPr="00932E45">
        <w:rPr>
          <w:rFonts w:ascii="Times New Roman" w:hAnsi="Times New Roman" w:cs="Times New Roman"/>
          <w:sz w:val="24"/>
          <w:szCs w:val="24"/>
          <w:lang w:val="en-US"/>
        </w:rPr>
        <w:t xml:space="preserve">, Kints &amp; Spoor </w:t>
      </w:r>
      <w:r w:rsidR="00315708">
        <w:rPr>
          <w:rFonts w:ascii="Times New Roman" w:hAnsi="Times New Roman" w:cs="Times New Roman"/>
          <w:sz w:val="24"/>
          <w:szCs w:val="24"/>
          <w:lang w:val="en-US"/>
        </w:rPr>
        <w:fldChar w:fldCharType="begin" w:fldLock="1"/>
      </w:r>
      <w:r w:rsidR="00315708">
        <w:rPr>
          <w:rFonts w:ascii="Times New Roman" w:hAnsi="Times New Roman" w:cs="Times New Roman"/>
          <w:sz w:val="24"/>
          <w:szCs w:val="24"/>
          <w:lang w:val="en-US"/>
        </w:rPr>
        <w:instrText>ADDIN CSL_CITATION {"citationItems":[{"id":"ITEM-1","itemData":{"abstract":"Due to changes in lease agreements accounting standards, firms will soon have to recognize operating lease obligations that historically have been kept off-balance sheets (OBS). Research indicates that this change will have substantial effects on the presentation of the financial position and results of firms involved. It is also expected that this will affect decision-making by stakeholders such as boards, managers, bankers and financial analysts. Although it is assumed that these professionals consider all relevant information, it is also known that the smaller the chance of relevant information being overlooked, the better the decision-making. In this study we examine whether IFRS 16 has that positive effect. The results from this research suggest that the accounting treatment under IFRS 16 contributes to the quality but not necessarily to the ease of making investment financing decisions.","author":[{"dropping-particle":"","family":"Kints","given":"Ron","non-dropping-particle":"van","parse-names":false,"suffix":""},{"dropping-particle":"","family":"Spoor","given":"Louis","non-dropping-particle":"","parse-names":false,"suffix":""}],"container-title":"Advances in Accounting","id":"ITEM-1","issued":{"date-parts":[["2019"]]},"page":"3-9","title":"Leases on balance, a level playing ﬁeld","type":"article-journal","volume":"44"},"suppress-author":1,"uris":["http://www.mendeley.com/documents/?uuid=5114082b-225d-4ede-b771-9af89ccb17c4"]}],"mendeley":{"formattedCitation":"(2019)","plainTextFormattedCitation":"(2019)","previouslyFormattedCitation":"(2019)"},"properties":{"noteIndex":0},"schema":"https://github.com/citation-style-language/schema/raw/master/csl-citation.json"}</w:instrText>
      </w:r>
      <w:r w:rsidR="00315708">
        <w:rPr>
          <w:rFonts w:ascii="Times New Roman" w:hAnsi="Times New Roman" w:cs="Times New Roman"/>
          <w:sz w:val="24"/>
          <w:szCs w:val="24"/>
          <w:lang w:val="en-US"/>
        </w:rPr>
        <w:fldChar w:fldCharType="separate"/>
      </w:r>
      <w:r w:rsidR="00315708" w:rsidRPr="00315708">
        <w:rPr>
          <w:rFonts w:ascii="Times New Roman" w:hAnsi="Times New Roman" w:cs="Times New Roman"/>
          <w:noProof/>
          <w:sz w:val="24"/>
          <w:szCs w:val="24"/>
          <w:lang w:val="en-US"/>
        </w:rPr>
        <w:t>(2019)</w:t>
      </w:r>
      <w:r w:rsidR="00315708">
        <w:rPr>
          <w:rFonts w:ascii="Times New Roman" w:hAnsi="Times New Roman" w:cs="Times New Roman"/>
          <w:sz w:val="24"/>
          <w:szCs w:val="24"/>
          <w:lang w:val="en-US"/>
        </w:rPr>
        <w:fldChar w:fldCharType="end"/>
      </w:r>
      <w:r w:rsidR="00315708">
        <w:rPr>
          <w:rFonts w:ascii="Times New Roman" w:hAnsi="Times New Roman" w:cs="Times New Roman"/>
          <w:sz w:val="24"/>
          <w:szCs w:val="24"/>
          <w:lang w:val="en-US"/>
        </w:rPr>
        <w:t xml:space="preserve"> </w:t>
      </w:r>
      <w:r w:rsidR="00932E45" w:rsidRPr="00932E45">
        <w:rPr>
          <w:rFonts w:ascii="Times New Roman" w:hAnsi="Times New Roman" w:cs="Times New Roman"/>
          <w:sz w:val="24"/>
          <w:szCs w:val="24"/>
          <w:lang w:val="en-US"/>
        </w:rPr>
        <w:t xml:space="preserve">dan Giner et al </w:t>
      </w:r>
      <w:r w:rsidR="00315708">
        <w:rPr>
          <w:rFonts w:ascii="Times New Roman" w:hAnsi="Times New Roman" w:cs="Times New Roman"/>
          <w:sz w:val="24"/>
          <w:szCs w:val="24"/>
          <w:lang w:val="en-US"/>
        </w:rPr>
        <w:fldChar w:fldCharType="begin" w:fldLock="1"/>
      </w:r>
      <w:r w:rsidR="00E17293">
        <w:rPr>
          <w:rFonts w:ascii="Times New Roman" w:hAnsi="Times New Roman" w:cs="Times New Roman"/>
          <w:sz w:val="24"/>
          <w:szCs w:val="24"/>
          <w:lang w:val="en-US"/>
        </w:rPr>
        <w:instrText>ADDIN CSL_CITATION {"citationItems":[{"id":"ITEM-1","itemData":{"DOI":"10.1016/j.jbusres.2018.11.049","ISSN":"01482963","abstract":"The European Commission has recently adopted a new accounting standard for leases that will be implemented in 2019, which requires operating lease contracts to be included in the balance sheet, affecting key ratios, leverage and profitability. We simulate the impact of IFRS 16 using Monte Carlo method, which incorporates the uncertainty of the future value of variables when making predictions. Unlike prior studies based on historical data, our study considers a five-year forecast horizon and, more importantly, contemplates several probable scenarios. Based on the STOXX All Europe 100, our results confirm that, in 2019, liability maturity, liquidity and return on assets will decrease, leverage and return on equity will increase, but the figures do not change substantially after 2019. The results of this dynamic approach are consistent across the five scenarios considered; however, the impact of IFRS 16 is smoothed under the strategy of reducing the life of lease contracts.","author":[{"dropping-particle":"","family":"Giner","given":"Begoña","non-dropping-particle":"","parse-names":false,"suffix":""},{"dropping-particle":"","family":"Merello","given":"Paloma","non-dropping-particle":"","parse-names":false,"suffix":""},{"dropping-particle":"","family":"Pardo","given":"Francisca","non-dropping-particle":"","parse-names":false,"suffix":""}],"container-title":"Journal of Business Research","id":"ITEM-1","issue":"November","issued":{"date-parts":[["2019"]]},"page":"836-845","publisher":"Elsevier","title":"Assessing the impact of operating lease capitalization with dynamic Monte Carlo simulation","type":"article-journal","volume":"101"},"suppress-author":1,"uris":["http://www.mendeley.com/documents/?uuid=7bdab344-3be2-4f9c-a5e7-0c2ba75471b8"]}],"mendeley":{"formattedCitation":"(2019)","plainTextFormattedCitation":"(2019)","previouslyFormattedCitation":"(2019)"},"properties":{"noteIndex":0},"schema":"https://github.com/citation-style-language/schema/raw/master/csl-citation.json"}</w:instrText>
      </w:r>
      <w:r w:rsidR="00315708">
        <w:rPr>
          <w:rFonts w:ascii="Times New Roman" w:hAnsi="Times New Roman" w:cs="Times New Roman"/>
          <w:sz w:val="24"/>
          <w:szCs w:val="24"/>
          <w:lang w:val="en-US"/>
        </w:rPr>
        <w:fldChar w:fldCharType="separate"/>
      </w:r>
      <w:r w:rsidR="00315708" w:rsidRPr="00315708">
        <w:rPr>
          <w:rFonts w:ascii="Times New Roman" w:hAnsi="Times New Roman" w:cs="Times New Roman"/>
          <w:noProof/>
          <w:sz w:val="24"/>
          <w:szCs w:val="24"/>
          <w:lang w:val="en-US"/>
        </w:rPr>
        <w:t>(2019)</w:t>
      </w:r>
      <w:r w:rsidR="00315708">
        <w:rPr>
          <w:rFonts w:ascii="Times New Roman" w:hAnsi="Times New Roman" w:cs="Times New Roman"/>
          <w:sz w:val="24"/>
          <w:szCs w:val="24"/>
          <w:lang w:val="en-US"/>
        </w:rPr>
        <w:fldChar w:fldCharType="end"/>
      </w:r>
      <w:r w:rsidR="00932E45" w:rsidRPr="00932E45">
        <w:rPr>
          <w:rFonts w:ascii="Times New Roman" w:hAnsi="Times New Roman" w:cs="Times New Roman"/>
          <w:sz w:val="24"/>
          <w:szCs w:val="24"/>
          <w:lang w:val="en-US"/>
        </w:rPr>
        <w:t xml:space="preserve"> meneliti efek dari IFRS 16 berikut dengan efeknya terhadap relevansi laporan keuangan</w:t>
      </w:r>
      <w:r w:rsidR="00932E45">
        <w:rPr>
          <w:rFonts w:ascii="Times New Roman" w:hAnsi="Times New Roman" w:cs="Times New Roman"/>
          <w:sz w:val="24"/>
          <w:szCs w:val="24"/>
          <w:lang w:val="en-US"/>
        </w:rPr>
        <w:t xml:space="preserve"> dan menemukan bahwa adopsi IFRS 16</w:t>
      </w:r>
      <w:r w:rsidR="00932E45" w:rsidRPr="00932E45">
        <w:rPr>
          <w:rFonts w:ascii="Times New Roman" w:hAnsi="Times New Roman" w:cs="Times New Roman"/>
          <w:sz w:val="24"/>
          <w:szCs w:val="24"/>
          <w:lang w:val="en-US"/>
        </w:rPr>
        <w:t xml:space="preserve"> dianggap relevan dan penerapan</w:t>
      </w:r>
      <w:r w:rsidR="00932E45">
        <w:rPr>
          <w:rFonts w:ascii="Times New Roman" w:hAnsi="Times New Roman" w:cs="Times New Roman"/>
          <w:sz w:val="24"/>
          <w:szCs w:val="24"/>
          <w:lang w:val="en-US"/>
        </w:rPr>
        <w:t>nya</w:t>
      </w:r>
      <w:r w:rsidR="00932E45" w:rsidRPr="00932E45">
        <w:rPr>
          <w:rFonts w:ascii="Times New Roman" w:hAnsi="Times New Roman" w:cs="Times New Roman"/>
          <w:sz w:val="24"/>
          <w:szCs w:val="24"/>
          <w:lang w:val="en-US"/>
        </w:rPr>
        <w:t xml:space="preserve"> dapat mempunyai efek positif dalam proses pengambilan keputusan</w:t>
      </w:r>
      <w:r w:rsidR="00932E45">
        <w:rPr>
          <w:rFonts w:ascii="Times New Roman" w:hAnsi="Times New Roman" w:cs="Times New Roman"/>
          <w:sz w:val="24"/>
          <w:szCs w:val="24"/>
          <w:lang w:val="en-US"/>
        </w:rPr>
        <w:t xml:space="preserve">. </w:t>
      </w:r>
    </w:p>
    <w:p w14:paraId="29B744C6" w14:textId="77777777" w:rsidR="004C27A0" w:rsidRDefault="002E1E0C" w:rsidP="004C27A0">
      <w:pPr>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Meski begitu</w:t>
      </w:r>
      <w:r>
        <w:rPr>
          <w:rFonts w:ascii="Times New Roman" w:hAnsi="Times New Roman" w:cs="Times New Roman"/>
          <w:bCs/>
          <w:iCs/>
          <w:color w:val="000000"/>
          <w:sz w:val="24"/>
          <w:szCs w:val="24"/>
          <w:lang w:val="en-US"/>
        </w:rPr>
        <w:t xml:space="preserve">, Altamuro, </w:t>
      </w:r>
      <w:r>
        <w:rPr>
          <w:rFonts w:ascii="Times New Roman" w:hAnsi="Times New Roman" w:cs="Times New Roman"/>
          <w:sz w:val="24"/>
          <w:lang w:val="en-US"/>
        </w:rPr>
        <w:t xml:space="preserve">et al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10.1111/1911-3846.12033","ISSN":"19113846","author":[{"dropping-particle":"","family":"Altamuro","given":"Jennifer","non-dropping-particle":"","parse-names":false,"suffix":""},{"dropping-particle":"","family":"Johnston","given":"Rick","non-dropping-particle":"","parse-names":false,"suffix":""},{"dropping-particle":"","family":"Pandit","given":"Shailendra Shail","non-dropping-particle":"","parse-names":false,"suffix":""},{"dropping-particle":"","family":"Zhang","given":"Haiwen Helen","non-dropping-particle":"","parse-names":false,"suffix":""}],"container-title":"Contemporary Accounting Research","id":"ITEM-1","issue":"2","issued":{"date-parts":[["2014"]]},"page":"551-580","title":"Operating leases and credit assessments","type":"article-journal","volume":"31"},"suppress-author":1,"uris":["http://www.mendeley.com/documents/?uuid=03958475-5533-4b32-bc2e-0edac7200ac0"]}],"mendeley":{"formattedCitation":"(2014)","plainTextFormattedCitation":"(2014)","previouslyFormattedCitation":"(2014)"},"properties":{"noteIndex":0},"schema":"https://github.com/citation-style-language/schema/raw/master/csl-citation.json"}</w:instrText>
      </w:r>
      <w:r>
        <w:rPr>
          <w:rFonts w:ascii="Times New Roman" w:hAnsi="Times New Roman" w:cs="Times New Roman"/>
          <w:sz w:val="24"/>
          <w:lang w:val="en-US"/>
        </w:rPr>
        <w:fldChar w:fldCharType="separate"/>
      </w:r>
      <w:r w:rsidRPr="006363D4">
        <w:rPr>
          <w:rFonts w:ascii="Times New Roman" w:hAnsi="Times New Roman" w:cs="Times New Roman"/>
          <w:noProof/>
          <w:sz w:val="24"/>
          <w:lang w:val="en-US"/>
        </w:rPr>
        <w:t>(2014)</w:t>
      </w:r>
      <w:r>
        <w:rPr>
          <w:rFonts w:ascii="Times New Roman" w:hAnsi="Times New Roman" w:cs="Times New Roman"/>
          <w:sz w:val="24"/>
          <w:lang w:val="en-US"/>
        </w:rPr>
        <w:fldChar w:fldCharType="end"/>
      </w:r>
      <w:r>
        <w:rPr>
          <w:rFonts w:ascii="Times New Roman" w:hAnsi="Times New Roman" w:cs="Times New Roman"/>
          <w:sz w:val="24"/>
          <w:lang w:val="en-US"/>
        </w:rPr>
        <w:t>,</w:t>
      </w:r>
      <w:r w:rsidRPr="006363D4">
        <w:rPr>
          <w:rFonts w:ascii="Times New Roman" w:hAnsi="Times New Roman" w:cs="Times New Roman"/>
          <w:sz w:val="24"/>
          <w:lang w:val="en-US"/>
        </w:rPr>
        <w:t xml:space="preserve"> dan</w:t>
      </w:r>
      <w:r>
        <w:rPr>
          <w:rFonts w:ascii="Times New Roman" w:hAnsi="Times New Roman" w:cs="Times New Roman"/>
          <w:sz w:val="24"/>
          <w:lang w:val="en-US"/>
        </w:rPr>
        <w:t xml:space="preserve"> Giner &amp; Pardo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{"citationItems":[{"id":"ITEM-1","itemData":{"DOI":"10.1111/auar.12233","ISSN":"18352561","abstract":"The new IASB and FASB models for leases aim to improve the quality of financial reporting. To this end, both standard setters impose the recognition of assets and liabilities for operating leases. Meanwhile, preparers have been strongly lobbying against these changes, as in their view the new treatment will lead to negative economic consequences. We undertake a value-relevance study to examine whether as-if capitalised operating leases are priced by market users in a relatively unexplored setting. We consider Spanish listed firms, and employ hand-collected data on operating leases disclosed in the notes to the financial statements to constructively capitalise the assets and liabilities. Our analysis suggests that investors in code-law countries with less developed markets and low enforcement quality do not behave any differently to those in common-law countries that have more developed markets and stricter enforcement policies. Investors equally value recognised debts and operating lease liabilities resulting from information in the notes in retail sectors. In our view, these results could provide some comfort to managers in the most affected industries, as they suggest the change will not have a major impact on the stock exchange.","author":[{"dropping-particle":"","family":"Giner","given":"Begoña","non-dropping-particle":"","parse-names":false,"suffix":""},{"dropping-particle":"","family":"Pardo","given":"Francisca","non-dropping-particle":"","parse-names":false,"suffix":""}],"container-title":"Australian Accounting Review","id":"ITEM-1","issue":"4","issued":{"date-parts":[["2018"]]},"page":"496-511","title":"The Value Relevance of Operating Lease Liabilities: Economic Effects of IFRS 16","type":"article-journal","volume":"28"},"suppress-author":1,"uris":["http://www.mendeley.com/documents/?uuid=ddd3dbf6-d0eb-4b4f-8e19-3b3c02753b5c"]}],"mendeley":{"formattedCitation":"(2018)","plainTextFormattedCitation":"(2018)"},"properties":{"noteIndex":0},"schema":"https://github.com/citation-style-language/schema/raw/master/csl-citation.json"}</w:instrText>
      </w:r>
      <w:r>
        <w:rPr>
          <w:rFonts w:ascii="Times New Roman" w:hAnsi="Times New Roman" w:cs="Times New Roman"/>
          <w:sz w:val="24"/>
          <w:lang w:val="en-US"/>
        </w:rPr>
        <w:fldChar w:fldCharType="separate"/>
      </w:r>
      <w:r w:rsidRPr="006363D4">
        <w:rPr>
          <w:rFonts w:ascii="Times New Roman" w:hAnsi="Times New Roman" w:cs="Times New Roman"/>
          <w:noProof/>
          <w:sz w:val="24"/>
          <w:lang w:val="en-US"/>
        </w:rPr>
        <w:t>(2018)</w:t>
      </w:r>
      <w:r>
        <w:rPr>
          <w:rFonts w:ascii="Times New Roman" w:hAnsi="Times New Roman" w:cs="Times New Roman"/>
          <w:sz w:val="24"/>
          <w:lang w:val="en-US"/>
        </w:rPr>
        <w:fldChar w:fldCharType="end"/>
      </w:r>
      <w:r>
        <w:rPr>
          <w:rFonts w:ascii="Times New Roman" w:hAnsi="Times New Roman" w:cs="Times New Roman"/>
          <w:sz w:val="24"/>
          <w:lang w:val="en-US"/>
        </w:rPr>
        <w:t xml:space="preserve"> menyatakan bahwa transaksi sewa operasi sudah dipertimbangkan oleh pembaca laporan keuangan dan dianggap sebagai perjanjian pembiayaan melalui analisa mandiri. Sehingga bagi pengguna laporan keuangan, implementasi PSAK 73 tidak menambah informasi baru yang signifikan</w:t>
      </w:r>
    </w:p>
    <w:p w14:paraId="66C0308E" w14:textId="6E3A72A9" w:rsidR="00DE2A86" w:rsidRPr="004C27A0" w:rsidRDefault="005E277D" w:rsidP="004C27A0">
      <w:pPr>
        <w:ind w:firstLine="426"/>
        <w:jc w:val="both"/>
        <w:rPr>
          <w:rFonts w:ascii="Times New Roman" w:hAnsi="Times New Roman" w:cs="Times New Roman"/>
          <w:sz w:val="24"/>
          <w:szCs w:val="24"/>
          <w:lang w:val="en-US"/>
        </w:rPr>
      </w:pPr>
      <w:r w:rsidRPr="005E277D">
        <w:rPr>
          <w:rFonts w:ascii="Times New Roman" w:hAnsi="Times New Roman" w:cs="Times New Roman"/>
          <w:sz w:val="24"/>
          <w:szCs w:val="24"/>
          <w:lang w:val="en-US"/>
        </w:rPr>
        <w:t xml:space="preserve">Berdasarkan </w:t>
      </w:r>
      <w:r>
        <w:rPr>
          <w:rFonts w:ascii="Times New Roman" w:hAnsi="Times New Roman" w:cs="Times New Roman"/>
          <w:sz w:val="24"/>
          <w:szCs w:val="24"/>
          <w:lang w:val="en-US"/>
        </w:rPr>
        <w:t>kajian literatur</w:t>
      </w:r>
      <w:r w:rsidRPr="005E277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dapat disimpulkan </w:t>
      </w:r>
      <w:r w:rsidRPr="005E277D">
        <w:rPr>
          <w:rFonts w:ascii="Times New Roman" w:hAnsi="Times New Roman" w:cs="Times New Roman"/>
          <w:sz w:val="24"/>
          <w:szCs w:val="24"/>
          <w:lang w:val="en-US"/>
        </w:rPr>
        <w:t xml:space="preserve">bahwa perubahan standar dari </w:t>
      </w:r>
      <w:r>
        <w:rPr>
          <w:rFonts w:ascii="Times New Roman" w:hAnsi="Times New Roman" w:cs="Times New Roman"/>
          <w:sz w:val="24"/>
          <w:szCs w:val="24"/>
          <w:lang w:val="en-US"/>
        </w:rPr>
        <w:t xml:space="preserve">PSAK 30 </w:t>
      </w:r>
      <w:r w:rsidRPr="005E277D">
        <w:rPr>
          <w:rFonts w:ascii="Times New Roman" w:hAnsi="Times New Roman" w:cs="Times New Roman"/>
          <w:sz w:val="24"/>
          <w:szCs w:val="24"/>
          <w:lang w:val="en-US"/>
        </w:rPr>
        <w:t>menuju</w:t>
      </w:r>
      <w:r>
        <w:rPr>
          <w:rFonts w:ascii="Times New Roman" w:hAnsi="Times New Roman" w:cs="Times New Roman"/>
          <w:sz w:val="24"/>
          <w:szCs w:val="24"/>
          <w:lang w:val="en-US"/>
        </w:rPr>
        <w:t xml:space="preserve"> PSAK 73</w:t>
      </w:r>
      <w:r w:rsidRPr="005E277D">
        <w:rPr>
          <w:rFonts w:ascii="Times New Roman" w:hAnsi="Times New Roman" w:cs="Times New Roman"/>
          <w:sz w:val="24"/>
          <w:szCs w:val="24"/>
          <w:lang w:val="en-US"/>
        </w:rPr>
        <w:t xml:space="preserve"> diperkirakan dapat meningkatkan relevansi nilai informasi akuntansi</w:t>
      </w:r>
      <w:r w:rsidR="00BC0CA5">
        <w:rPr>
          <w:rFonts w:ascii="Times New Roman" w:hAnsi="Times New Roman" w:cs="Times New Roman"/>
          <w:sz w:val="24"/>
          <w:szCs w:val="24"/>
          <w:lang w:val="en-US"/>
        </w:rPr>
        <w:t xml:space="preserve">. </w:t>
      </w:r>
      <w:r w:rsidR="00BC0CA5" w:rsidRPr="00BC0CA5">
        <w:rPr>
          <w:rFonts w:ascii="Times New Roman" w:hAnsi="Times New Roman" w:cs="Times New Roman"/>
          <w:sz w:val="24"/>
          <w:szCs w:val="24"/>
          <w:lang w:val="en-US"/>
        </w:rPr>
        <w:t xml:space="preserve">Maka, penulis merumuskan hipotesa </w:t>
      </w:r>
      <w:r w:rsidR="00BC0CA5">
        <w:rPr>
          <w:rFonts w:ascii="Times New Roman" w:hAnsi="Times New Roman" w:cs="Times New Roman"/>
          <w:sz w:val="24"/>
          <w:szCs w:val="24"/>
          <w:lang w:val="en-US"/>
        </w:rPr>
        <w:t xml:space="preserve">bahwa </w:t>
      </w:r>
      <w:r w:rsidR="00E1027A" w:rsidRPr="00D502CB">
        <w:rPr>
          <w:rFonts w:ascii="Times New Roman" w:hAnsi="Times New Roman" w:cs="Times New Roman"/>
          <w:sz w:val="24"/>
          <w:szCs w:val="24"/>
          <w:lang w:val="en-US"/>
        </w:rPr>
        <w:t xml:space="preserve">Informasi akuntansi akan lebih relevan pada periode </w:t>
      </w:r>
      <w:r w:rsidR="00F01862">
        <w:rPr>
          <w:rFonts w:ascii="Times New Roman" w:hAnsi="Times New Roman" w:cs="Times New Roman"/>
          <w:sz w:val="24"/>
          <w:szCs w:val="24"/>
          <w:lang w:val="en-US"/>
        </w:rPr>
        <w:t>PSAK 73</w:t>
      </w:r>
      <w:r w:rsidR="00E1027A" w:rsidRPr="00D502CB">
        <w:rPr>
          <w:rFonts w:ascii="Times New Roman" w:hAnsi="Times New Roman" w:cs="Times New Roman"/>
          <w:sz w:val="24"/>
          <w:szCs w:val="24"/>
          <w:lang w:val="en-US"/>
        </w:rPr>
        <w:t xml:space="preserve"> daripada periode </w:t>
      </w:r>
      <w:r w:rsidR="00F01862">
        <w:rPr>
          <w:rFonts w:ascii="Times New Roman" w:hAnsi="Times New Roman" w:cs="Times New Roman"/>
          <w:sz w:val="24"/>
          <w:szCs w:val="24"/>
          <w:lang w:val="en-US"/>
        </w:rPr>
        <w:t>PSAK 30</w:t>
      </w:r>
      <w:r w:rsidR="00740854">
        <w:rPr>
          <w:rFonts w:ascii="Times New Roman" w:hAnsi="Times New Roman" w:cs="Times New Roman"/>
          <w:sz w:val="24"/>
          <w:szCs w:val="24"/>
          <w:lang w:val="en-US"/>
        </w:rPr>
        <w:t xml:space="preserve">. </w:t>
      </w:r>
      <w:r w:rsidR="00D502CB">
        <w:rPr>
          <w:rFonts w:ascii="Times New Roman" w:hAnsi="Times New Roman" w:cs="Times New Roman"/>
          <w:sz w:val="24"/>
          <w:szCs w:val="24"/>
          <w:lang w:val="en-US"/>
        </w:rPr>
        <w:t xml:space="preserve">Hal ini yang akan </w:t>
      </w:r>
      <w:r w:rsidR="006420B1">
        <w:rPr>
          <w:rFonts w:ascii="Times New Roman" w:hAnsi="Times New Roman" w:cs="Times New Roman"/>
          <w:sz w:val="24"/>
          <w:szCs w:val="24"/>
          <w:lang w:val="en-US"/>
        </w:rPr>
        <w:t xml:space="preserve">dibahas </w:t>
      </w:r>
      <w:r w:rsidR="00D502CB">
        <w:rPr>
          <w:rFonts w:ascii="Times New Roman" w:hAnsi="Times New Roman" w:cs="Times New Roman"/>
          <w:sz w:val="24"/>
          <w:szCs w:val="24"/>
          <w:lang w:val="en-US"/>
        </w:rPr>
        <w:t xml:space="preserve">pada </w:t>
      </w:r>
      <w:r w:rsidR="004C27A0">
        <w:rPr>
          <w:rFonts w:ascii="Times New Roman" w:hAnsi="Times New Roman" w:cs="Times New Roman"/>
          <w:sz w:val="24"/>
          <w:szCs w:val="24"/>
          <w:lang w:val="en-US"/>
        </w:rPr>
        <w:t>penelitian ini</w:t>
      </w:r>
      <w:r w:rsidR="00D502CB">
        <w:rPr>
          <w:rFonts w:ascii="Times New Roman" w:hAnsi="Times New Roman" w:cs="Times New Roman"/>
          <w:sz w:val="24"/>
          <w:szCs w:val="24"/>
          <w:lang w:val="en-US"/>
        </w:rPr>
        <w:t xml:space="preserve">. </w:t>
      </w:r>
    </w:p>
    <w:p w14:paraId="545C714D" w14:textId="6B8007BD" w:rsidR="00645C4F" w:rsidRPr="00846129" w:rsidRDefault="004C27A0" w:rsidP="00846129">
      <w:pPr>
        <w:pBdr>
          <w:top w:val="nil"/>
          <w:left w:val="nil"/>
          <w:bottom w:val="nil"/>
          <w:right w:val="nil"/>
          <w:between w:val="nil"/>
        </w:pBdr>
        <w:ind w:firstLine="425"/>
        <w:jc w:val="both"/>
        <w:rPr>
          <w:rFonts w:ascii="Times New Roman" w:hAnsi="Times New Roman" w:cs="Times New Roman"/>
          <w:bCs/>
          <w:iCs/>
          <w:color w:val="000000"/>
          <w:sz w:val="24"/>
          <w:szCs w:val="24"/>
          <w:lang w:val="en-US"/>
        </w:rPr>
      </w:pPr>
      <w:r>
        <w:rPr>
          <w:rFonts w:ascii="Times New Roman" w:hAnsi="Times New Roman" w:cs="Times New Roman"/>
          <w:bCs/>
          <w:iCs/>
          <w:color w:val="000000"/>
          <w:sz w:val="24"/>
          <w:szCs w:val="24"/>
          <w:lang w:val="en-US"/>
        </w:rPr>
        <w:t>Penelitian ini terdiri dari empat bagian, yakni pendahuluan</w:t>
      </w:r>
      <w:r w:rsidR="00846129">
        <w:rPr>
          <w:rFonts w:ascii="Times New Roman" w:hAnsi="Times New Roman" w:cs="Times New Roman"/>
          <w:bCs/>
          <w:iCs/>
          <w:color w:val="000000"/>
          <w:sz w:val="24"/>
          <w:szCs w:val="24"/>
          <w:lang w:val="en-US"/>
        </w:rPr>
        <w:t xml:space="preserve"> yang dibahas sebelumnya</w:t>
      </w:r>
      <w:r>
        <w:rPr>
          <w:rFonts w:ascii="Times New Roman" w:hAnsi="Times New Roman" w:cs="Times New Roman"/>
          <w:bCs/>
          <w:iCs/>
          <w:color w:val="000000"/>
          <w:sz w:val="24"/>
          <w:szCs w:val="24"/>
          <w:lang w:val="en-US"/>
        </w:rPr>
        <w:t xml:space="preserve">, metodologi, pembahsaan hasil penelitian dan kesimpulan di bagian-bagian berikutnya. </w:t>
      </w:r>
    </w:p>
    <w:p w14:paraId="76709A7F" w14:textId="7D482911" w:rsidR="004C2377" w:rsidRPr="00EA0121" w:rsidRDefault="004C2377" w:rsidP="004C2377">
      <w:pPr>
        <w:jc w:val="both"/>
        <w:rPr>
          <w:rFonts w:ascii="Times New Roman" w:eastAsia="Times New Roman" w:hAnsi="Times New Roman" w:cs="Times New Roman"/>
          <w:b/>
          <w:sz w:val="24"/>
          <w:szCs w:val="24"/>
        </w:rPr>
      </w:pPr>
      <w:r w:rsidRPr="00EA0121">
        <w:rPr>
          <w:rFonts w:ascii="Times New Roman" w:eastAsia="Times New Roman" w:hAnsi="Times New Roman" w:cs="Times New Roman"/>
          <w:b/>
          <w:sz w:val="24"/>
          <w:szCs w:val="24"/>
        </w:rPr>
        <w:t>METODOLOGI PENELITIAN</w:t>
      </w:r>
    </w:p>
    <w:p w14:paraId="3AB7306C" w14:textId="6FEC6EDD" w:rsidR="00816191" w:rsidRPr="00E17293" w:rsidRDefault="007468C9" w:rsidP="00816191">
      <w:pPr>
        <w:jc w:val="both"/>
        <w:rPr>
          <w:rFonts w:ascii="Times New Roman" w:hAnsi="Times New Roman" w:cs="Times New Roman"/>
          <w:sz w:val="24"/>
          <w:lang w:val="en-US"/>
        </w:rPr>
      </w:pPr>
      <w:r>
        <w:rPr>
          <w:rFonts w:ascii="Times New Roman" w:hAnsi="Times New Roman" w:cs="Times New Roman"/>
          <w:sz w:val="24"/>
          <w:lang w:val="en-US"/>
        </w:rPr>
        <w:t>Penelitian</w:t>
      </w:r>
      <w:r w:rsidR="00816191" w:rsidRPr="00816191">
        <w:rPr>
          <w:rFonts w:ascii="Times New Roman" w:hAnsi="Times New Roman" w:cs="Times New Roman"/>
          <w:sz w:val="24"/>
        </w:rPr>
        <w:t xml:space="preserve"> ini bertujuan untuk membuktikan apakah </w:t>
      </w:r>
      <w:r>
        <w:rPr>
          <w:rFonts w:ascii="Times New Roman" w:hAnsi="Times New Roman" w:cs="Times New Roman"/>
          <w:sz w:val="24"/>
          <w:lang w:val="en-US"/>
        </w:rPr>
        <w:t>penerapan PSAK 73</w:t>
      </w:r>
      <w:r w:rsidR="00816191" w:rsidRPr="00816191">
        <w:rPr>
          <w:rFonts w:ascii="Times New Roman" w:hAnsi="Times New Roman" w:cs="Times New Roman"/>
          <w:sz w:val="24"/>
        </w:rPr>
        <w:t xml:space="preserve"> meningkatkan relevansi informasi laporan keuangan. </w:t>
      </w:r>
      <w:r w:rsidR="00816191" w:rsidRPr="00816191">
        <w:rPr>
          <w:rFonts w:ascii="Times New Roman" w:hAnsi="Times New Roman" w:cs="Times New Roman"/>
          <w:sz w:val="24"/>
        </w:rPr>
        <w:lastRenderedPageBreak/>
        <w:t>Pembuktian tersebut dilakukan dengan pengujian hipotesis, menggunakan teknik regresi dan hubungan statistika antara harga saham dan laporan keuangan</w:t>
      </w:r>
      <w:r w:rsidR="00E17293">
        <w:rPr>
          <w:rFonts w:ascii="Times New Roman" w:hAnsi="Times New Roman" w:cs="Times New Roman"/>
          <w:sz w:val="24"/>
          <w:lang w:val="en-US"/>
        </w:rPr>
        <w:t xml:space="preserve"> </w:t>
      </w:r>
      <w:r w:rsidR="00E17293">
        <w:rPr>
          <w:rFonts w:ascii="Times New Roman" w:hAnsi="Times New Roman" w:cs="Times New Roman"/>
          <w:sz w:val="24"/>
          <w:lang w:val="en-US"/>
        </w:rPr>
        <w:fldChar w:fldCharType="begin" w:fldLock="1"/>
      </w:r>
      <w:r w:rsidR="00AB2C99">
        <w:rPr>
          <w:rFonts w:ascii="Times New Roman" w:hAnsi="Times New Roman" w:cs="Times New Roman"/>
          <w:sz w:val="24"/>
          <w:lang w:val="en-US"/>
        </w:rPr>
        <w:instrText>ADDIN CSL_CITATION {"citationItems":[{"id":"ITEM-1","itemData":{"author":[{"dropping-particle":"","family":"Francis","given":"Jennifer","non-dropping-particle":"","parse-names":false,"suffix":""},{"dropping-particle":"","family":"Schipper","given":"Katherine","non-dropping-particle":"","parse-names":false,"suffix":""}],"container-title":"Journal of Accounting Research","id":"ITEM-1","issue":"2","issued":{"date-parts":[["1999"]]},"page":"319-352","title":"Have Financial Statements Lost Their Relevance?","type":"article-journal","volume":"37"},"uris":["http://www.mendeley.com/documents/?uuid=2cb5125b-c01e-4e4d-99f9-5e7f90d7ffb3"]},{"id":"ITEM-2","itemData":{"DOI":"10.22495/cocv13i2c1p2","ISSN":"18103057","abstract":"This paper investigates whether corporate social responsibility disclosure (CSRD) is associated with firms’ market values in order to assess whether CSRD provides incremental value relevant information to investors. A modified Ohlson (1995) model is used, which is a widely accepted equity valuation model in accounting research. The findings suggest that investors in the UK consider CSRD information in the total information set they use for their investment decision-making, whereas Japanese investors do not appear to find that CSRD provides incremental information over and above financial information to assist in their valuations of firms. These findings have implications for investors and regulators, specifically around the control and governance of firms.","author":[{"dropping-particle":"","family":"Bowerman","given":"Suzanne","non-dropping-particle":"","parse-names":false,"suffix":""},{"dropping-particle":"","family":"Sharma","given":"Umesh","non-dropping-particle":"","parse-names":false,"suffix":""}],"container-title":"Corporate Ownership and Control","id":"ITEM-2","issue":"2CONT1","issued":{"date-parts":[["2016"]]},"page":"202-216","title":"The effect of corporate social responsibility disclosures on share prices in japan and the uk","type":"article-journal","volume":"13"},"uris":["http://www.mendeley.com/documents/?uuid=aa447fc8-a069-4736-a2f1-241ef0a1fe47"]}],"mendeley":{"formattedCitation":"(Bowerman &amp; Sharma, 2016; Francis &amp; Schipper, 1999)","plainTextFormattedCitation":"(Bowerman &amp; Sharma, 2016; Francis &amp; Schipper, 1999)","previouslyFormattedCitation":"(Bowerman &amp; Sharma, 2016; Francis &amp; Schipper, 1999)"},"properties":{"noteIndex":0},"schema":"https://github.com/citation-style-language/schema/raw/master/csl-citation.json"}</w:instrText>
      </w:r>
      <w:r w:rsidR="00E17293">
        <w:rPr>
          <w:rFonts w:ascii="Times New Roman" w:hAnsi="Times New Roman" w:cs="Times New Roman"/>
          <w:sz w:val="24"/>
          <w:lang w:val="en-US"/>
        </w:rPr>
        <w:fldChar w:fldCharType="separate"/>
      </w:r>
      <w:r w:rsidR="00E17293" w:rsidRPr="00E17293">
        <w:rPr>
          <w:rFonts w:ascii="Times New Roman" w:hAnsi="Times New Roman" w:cs="Times New Roman"/>
          <w:noProof/>
          <w:sz w:val="24"/>
          <w:lang w:val="en-US"/>
        </w:rPr>
        <w:t>(Bowerman &amp; Sharma, 2016; Francis &amp; Schipper, 1999)</w:t>
      </w:r>
      <w:r w:rsidR="00E17293">
        <w:rPr>
          <w:rFonts w:ascii="Times New Roman" w:hAnsi="Times New Roman" w:cs="Times New Roman"/>
          <w:sz w:val="24"/>
          <w:lang w:val="en-US"/>
        </w:rPr>
        <w:fldChar w:fldCharType="end"/>
      </w:r>
      <w:r w:rsidR="00E17293">
        <w:rPr>
          <w:rFonts w:ascii="Times New Roman" w:hAnsi="Times New Roman" w:cs="Times New Roman"/>
          <w:sz w:val="24"/>
          <w:lang w:val="en-US"/>
        </w:rPr>
        <w:t>.</w:t>
      </w:r>
    </w:p>
    <w:p w14:paraId="4E35B8B4" w14:textId="77777777" w:rsidR="00A12931" w:rsidRDefault="00A12931" w:rsidP="00816191">
      <w:pPr>
        <w:ind w:firstLine="425"/>
        <w:jc w:val="both"/>
        <w:rPr>
          <w:rFonts w:ascii="Times New Roman" w:hAnsi="Times New Roman" w:cs="Times New Roman"/>
          <w:sz w:val="24"/>
        </w:rPr>
      </w:pPr>
    </w:p>
    <w:p w14:paraId="7DFBAEF9" w14:textId="42C96206" w:rsidR="00A12931" w:rsidRPr="00ED54BA" w:rsidRDefault="00A12931" w:rsidP="00A12931">
      <w:pPr>
        <w:jc w:val="both"/>
        <w:rPr>
          <w:rFonts w:ascii="Times New Roman" w:hAnsi="Times New Roman" w:cs="Times New Roman"/>
          <w:b/>
          <w:sz w:val="24"/>
          <w:szCs w:val="24"/>
          <w:lang w:val="en-US"/>
        </w:rPr>
      </w:pPr>
      <w:r>
        <w:rPr>
          <w:rFonts w:ascii="Times New Roman" w:hAnsi="Times New Roman" w:cs="Times New Roman"/>
          <w:b/>
          <w:sz w:val="24"/>
          <w:szCs w:val="24"/>
          <w:lang w:val="en-US"/>
        </w:rPr>
        <w:t>Model Penelitian</w:t>
      </w:r>
    </w:p>
    <w:p w14:paraId="116FBC75" w14:textId="79A1C5FF" w:rsidR="00C44850" w:rsidRDefault="00816191" w:rsidP="00A12931">
      <w:pPr>
        <w:jc w:val="both"/>
        <w:rPr>
          <w:rFonts w:ascii="Times New Roman" w:hAnsi="Times New Roman" w:cs="Times New Roman"/>
          <w:sz w:val="24"/>
          <w:lang w:val="en-US"/>
        </w:rPr>
      </w:pPr>
      <w:r w:rsidRPr="00816191">
        <w:rPr>
          <w:rFonts w:ascii="Times New Roman" w:hAnsi="Times New Roman" w:cs="Times New Roman"/>
          <w:sz w:val="24"/>
        </w:rPr>
        <w:t xml:space="preserve">Penelitian ini merupakan penelitian regresi, menggunakan model Ohlson </w:t>
      </w:r>
      <w:r w:rsidR="00AB2C99">
        <w:rPr>
          <w:rFonts w:ascii="Times New Roman" w:hAnsi="Times New Roman" w:cs="Times New Roman"/>
          <w:sz w:val="24"/>
        </w:rPr>
        <w:fldChar w:fldCharType="begin" w:fldLock="1"/>
      </w:r>
      <w:r w:rsidR="00E15BE8">
        <w:rPr>
          <w:rFonts w:ascii="Times New Roman" w:hAnsi="Times New Roman" w:cs="Times New Roman"/>
          <w:sz w:val="24"/>
        </w:rPr>
        <w:instrText>ADDIN CSL_CITATION {"citationItems":[{"id":"ITEM-1","itemData":{"abstract":"The paper develops and analyzes a model of a firm's market value as it relates to contemporaneous and future eamings, book values, and dividends. Two owners' egui- ty accounting constructs provide the underpinnings of the model: the clean surplus rela- tion applies, and dividends reduce current book value but do not affect current eamings. The model satisfies many appealing properties, and it provides a useful benchmark when one conceptualizes how market value relates to accounting data and other infonnation. Resume. L'auteur 6Iabore et analy.se un modele dans lequel il conceptualise la relation entre Ia valeur marchande d'une entreprise et ses benefices, ses valeurs comptables et ses dividendes actuels et futurs. Deux postulats de la comptabilisation des capitaux propres servent de charpente au module : a) la relation du resultat global s'applique et b) les div- idendes reduisent la valeur comptable actuelle sans influer, cependant, sur les benefices actuels. Le modele prfisente de nombreuses proprietes interessantes et il peut, fort utile- ment, servir de repere dans la conceptualisation de la relation entre la valeur marchande et les donnees comptables et autres renseignements. Accounting","author":[{"dropping-particle":"","family":"James Ohlson","given":"","non-dropping-particle":"","parse-names":false,"suffix":""}],"container-title":"Contemporary Accounting Research","id":"ITEM-1","issue":"11","issued":{"date-parts":[["1995"]]},"page":"661–687","title":"Earnings, book-values, and dividends in equity valuation.","type":"article-journal","volume":"11"},"suppress-author":1,"uris":["http://www.mendeley.com/documents/?uuid=25c38ea9-0ad9-4f49-a46e-a1e4a5beb230"]}],"mendeley":{"formattedCitation":"(1995)","plainTextFormattedCitation":"(1995)","previouslyFormattedCitation":"(1995)"},"properties":{"noteIndex":0},"schema":"https://github.com/citation-style-language/schema/raw/master/csl-citation.json"}</w:instrText>
      </w:r>
      <w:r w:rsidR="00AB2C99">
        <w:rPr>
          <w:rFonts w:ascii="Times New Roman" w:hAnsi="Times New Roman" w:cs="Times New Roman"/>
          <w:sz w:val="24"/>
        </w:rPr>
        <w:fldChar w:fldCharType="separate"/>
      </w:r>
      <w:r w:rsidR="00AB2C99" w:rsidRPr="00AB2C99">
        <w:rPr>
          <w:rFonts w:ascii="Times New Roman" w:hAnsi="Times New Roman" w:cs="Times New Roman"/>
          <w:noProof/>
          <w:sz w:val="24"/>
        </w:rPr>
        <w:t>(1995)</w:t>
      </w:r>
      <w:r w:rsidR="00AB2C99">
        <w:rPr>
          <w:rFonts w:ascii="Times New Roman" w:hAnsi="Times New Roman" w:cs="Times New Roman"/>
          <w:sz w:val="24"/>
        </w:rPr>
        <w:fldChar w:fldCharType="end"/>
      </w:r>
      <w:r w:rsidRPr="00816191">
        <w:rPr>
          <w:rFonts w:ascii="Times New Roman" w:hAnsi="Times New Roman" w:cs="Times New Roman"/>
          <w:sz w:val="24"/>
        </w:rPr>
        <w:t xml:space="preserve"> sebagai model regresi, yang kemudian dimodifikasi untuk memunculkan akun-akun yang relevan dengan perubahan standar akuntansi</w:t>
      </w:r>
      <w:r w:rsidR="00F520BF">
        <w:rPr>
          <w:rFonts w:ascii="Times New Roman" w:hAnsi="Times New Roman" w:cs="Times New Roman"/>
          <w:sz w:val="24"/>
          <w:lang w:val="en-US"/>
        </w:rPr>
        <w:t xml:space="preserve"> seperti yang dilakukan oleh </w:t>
      </w:r>
      <w:r w:rsidR="00F520BF" w:rsidRPr="00F520BF">
        <w:rPr>
          <w:rFonts w:ascii="Times New Roman" w:hAnsi="Times New Roman" w:cs="Times New Roman"/>
          <w:sz w:val="24"/>
          <w:lang w:val="en-US"/>
        </w:rPr>
        <w:t>Shah, Liang, &amp; Akbar</w:t>
      </w:r>
      <w:r w:rsidR="00E15BE8">
        <w:rPr>
          <w:rFonts w:ascii="Times New Roman" w:hAnsi="Times New Roman" w:cs="Times New Roman"/>
          <w:sz w:val="24"/>
          <w:lang w:val="en-US"/>
        </w:rPr>
        <w:t xml:space="preserve"> </w:t>
      </w:r>
      <w:r w:rsidR="00E15BE8">
        <w:rPr>
          <w:rFonts w:ascii="Times New Roman" w:hAnsi="Times New Roman" w:cs="Times New Roman"/>
          <w:sz w:val="24"/>
          <w:lang w:val="en-US"/>
        </w:rPr>
        <w:fldChar w:fldCharType="begin" w:fldLock="1"/>
      </w:r>
      <w:r w:rsidR="00B67617">
        <w:rPr>
          <w:rFonts w:ascii="Times New Roman" w:hAnsi="Times New Roman" w:cs="Times New Roman"/>
          <w:sz w:val="24"/>
          <w:lang w:val="en-US"/>
        </w:rPr>
        <w:instrText>ADDIN CSL_CITATION {"citationItems":[{"id":"ITEM-1","itemData":{"DOI":"10.1016/j.irfa.2013.08.001","ISSN":"10575219","abstract":"This study examines the value relevance of research and development (R&amp;D) expenditures in the pre and post International Financial Reporting Standards (IFRS) periods in the UK. It also examines firm size and sector-based differences in the value relevance of R&amp;D during the sample period between 2001 and 2011. The results indicate that capitalized R&amp;D has value relevance during the 11. years sample period. However, the value relevance of capitalized R&amp;D does not appear to have improved in the post-IFRS period. Large firms present higher value relevance of capitalized R&amp;D than small firms which that firm size has significantly different valuation effects on the value relevance of R&amp;D expenditures. Sectors, however, do not appear to present valuation differences across manufacturing and nonmanufacturing firms. The overall findings of this study report no difference in the value relevance of expensed R&amp;D in the pre and post-IFRS periods; however, the value relevance of capitalized R&amp;D appears to decrease from pre to post-IFRS period. We thus argue that these findings have implications for the regulators and accounting professionals. © 2013 Elsevier Inc.","author":[{"dropping-particle":"","family":"Shah","given":"Syed Zulfiqar Ali","non-dropping-particle":"","parse-names":false,"suffix":""},{"dropping-particle":"","family":"Liang","given":"Shuang","non-dropping-particle":"","parse-names":false,"suffix":""},{"dropping-particle":"","family":"Akbar","given":"Saeed","non-dropping-particle":"","parse-names":false,"suffix":""}],"container-title":"International Review of Financial Analysis","id":"ITEM-1","issued":{"date-parts":[["2013"]]},"page":"158-169","title":"International Financial Reporting Standards and the value relevance of R&amp;D expenditures: Pre and post IFRS analysis","type":"article-journal","volume":"30"},"suppress-author":1,"uris":["http://www.mendeley.com/documents/?uuid=20ca820a-ee40-4683-b8dd-9e296fa1c80a"]}],"mendeley":{"formattedCitation":"(2013)","plainTextFormattedCitation":"(2013)","previouslyFormattedCitation":"(2013)"},"properties":{"noteIndex":0},"schema":"https://github.com/citation-style-language/schema/raw/master/csl-citation.json"}</w:instrText>
      </w:r>
      <w:r w:rsidR="00E15BE8">
        <w:rPr>
          <w:rFonts w:ascii="Times New Roman" w:hAnsi="Times New Roman" w:cs="Times New Roman"/>
          <w:sz w:val="24"/>
          <w:lang w:val="en-US"/>
        </w:rPr>
        <w:fldChar w:fldCharType="separate"/>
      </w:r>
      <w:r w:rsidR="00E15BE8" w:rsidRPr="00E15BE8">
        <w:rPr>
          <w:rFonts w:ascii="Times New Roman" w:hAnsi="Times New Roman" w:cs="Times New Roman"/>
          <w:noProof/>
          <w:sz w:val="24"/>
          <w:lang w:val="en-US"/>
        </w:rPr>
        <w:t>(2013)</w:t>
      </w:r>
      <w:r w:rsidR="00E15BE8">
        <w:rPr>
          <w:rFonts w:ascii="Times New Roman" w:hAnsi="Times New Roman" w:cs="Times New Roman"/>
          <w:sz w:val="24"/>
          <w:lang w:val="en-US"/>
        </w:rPr>
        <w:fldChar w:fldCharType="end"/>
      </w:r>
      <w:r w:rsidR="00F520BF" w:rsidRPr="00F520BF">
        <w:rPr>
          <w:rFonts w:ascii="Times New Roman" w:hAnsi="Times New Roman" w:cs="Times New Roman"/>
          <w:sz w:val="24"/>
          <w:lang w:val="en-US"/>
        </w:rPr>
        <w:t>, Chebaane &amp; Othman</w:t>
      </w:r>
      <w:r w:rsidR="00B67617">
        <w:rPr>
          <w:rFonts w:ascii="Times New Roman" w:hAnsi="Times New Roman" w:cs="Times New Roman"/>
          <w:sz w:val="24"/>
          <w:lang w:val="en-US"/>
        </w:rPr>
        <w:t xml:space="preserve"> </w:t>
      </w:r>
      <w:r w:rsidR="00B67617">
        <w:rPr>
          <w:rFonts w:ascii="Times New Roman" w:hAnsi="Times New Roman" w:cs="Times New Roman"/>
          <w:sz w:val="24"/>
          <w:lang w:val="en-US"/>
        </w:rPr>
        <w:fldChar w:fldCharType="begin" w:fldLock="1"/>
      </w:r>
      <w:r w:rsidR="00B51B79">
        <w:rPr>
          <w:rFonts w:ascii="Times New Roman" w:hAnsi="Times New Roman" w:cs="Times New Roman"/>
          <w:sz w:val="24"/>
          <w:lang w:val="en-US"/>
        </w:rPr>
        <w:instrText>ADDIN CSL_CITATION {"citationItems":[{"id":"ITEM-1","itemData":{"DOI":"10.1016/j.sbspro.2014.06.012","ISSN":"18770428","abstract":"The purpose of this study is to examine the effect of mandatory adoption of International Financial Reporting Standards on the value relevance of earnings and the book value of equity. The evidence derived from the study suggested that despite the strength in the overall explanatory power of the model during the two periods, the role of EPS became observable in the post-adoption period. By conducting further analysis, the results highlighted that the increase of the value level are positively influenced by a common law legal system, a high level of external economic openness, a strong investor protection, a full protection of minority shareholders and by a sophisticated capital market.","author":[{"dropping-particle":"","family":"Chebaane","given":"Sawcen","non-dropping-particle":"","parse-names":false,"suffix":""},{"dropping-particle":"Ben","family":"Othman","given":"Hakim","non-dropping-particle":"","parse-names":false,"suffix":""}],"container-title":"Procedia - Social and Behavioral Sciences","id":"ITEM-1","issued":{"date-parts":[["2014"]]},"page":"70-80","publisher":"Elsevier B.V.","title":"The Impact of IFRS Adoption on Value Relevance of Earnings and Book Value of Equity: The Case of Emerging Markets in African and Asian Regions","type":"article-journal","volume":"145"},"suppress-author":1,"uris":["http://www.mendeley.com/documents/?uuid=7ee5c396-70a5-433f-83ec-317f19ec680a"]}],"mendeley":{"formattedCitation":"(2014)","plainTextFormattedCitation":"(2014)","previouslyFormattedCitation":"(2014)"},"properties":{"noteIndex":0},"schema":"https://github.com/citation-style-language/schema/raw/master/csl-citation.json"}</w:instrText>
      </w:r>
      <w:r w:rsidR="00B67617">
        <w:rPr>
          <w:rFonts w:ascii="Times New Roman" w:hAnsi="Times New Roman" w:cs="Times New Roman"/>
          <w:sz w:val="24"/>
          <w:lang w:val="en-US"/>
        </w:rPr>
        <w:fldChar w:fldCharType="separate"/>
      </w:r>
      <w:r w:rsidR="00B67617" w:rsidRPr="00B67617">
        <w:rPr>
          <w:rFonts w:ascii="Times New Roman" w:hAnsi="Times New Roman" w:cs="Times New Roman"/>
          <w:noProof/>
          <w:sz w:val="24"/>
          <w:lang w:val="en-US"/>
        </w:rPr>
        <w:t>(2014)</w:t>
      </w:r>
      <w:r w:rsidR="00B67617">
        <w:rPr>
          <w:rFonts w:ascii="Times New Roman" w:hAnsi="Times New Roman" w:cs="Times New Roman"/>
          <w:sz w:val="24"/>
          <w:lang w:val="en-US"/>
        </w:rPr>
        <w:fldChar w:fldCharType="end"/>
      </w:r>
      <w:r w:rsidR="00F520BF" w:rsidRPr="00F520BF">
        <w:rPr>
          <w:rFonts w:ascii="Times New Roman" w:hAnsi="Times New Roman" w:cs="Times New Roman"/>
          <w:sz w:val="24"/>
          <w:lang w:val="en-US"/>
        </w:rPr>
        <w:t>, Gonçalves, Lopes &amp; Craig</w:t>
      </w:r>
      <w:r w:rsidR="00B67617">
        <w:rPr>
          <w:rFonts w:ascii="Times New Roman" w:hAnsi="Times New Roman" w:cs="Times New Roman"/>
          <w:sz w:val="24"/>
          <w:lang w:val="en-US"/>
        </w:rPr>
        <w:t xml:space="preserve"> </w:t>
      </w:r>
      <w:r w:rsidR="00B51B79">
        <w:rPr>
          <w:rFonts w:ascii="Times New Roman" w:hAnsi="Times New Roman" w:cs="Times New Roman"/>
          <w:sz w:val="24"/>
          <w:lang w:val="en-US"/>
        </w:rPr>
        <w:fldChar w:fldCharType="begin" w:fldLock="1"/>
      </w:r>
      <w:r w:rsidR="001368AC">
        <w:rPr>
          <w:rFonts w:ascii="Times New Roman" w:hAnsi="Times New Roman" w:cs="Times New Roman"/>
          <w:sz w:val="24"/>
          <w:lang w:val="en-US"/>
        </w:rPr>
        <w:instrText>ADDIN CSL_CITATION {"citationItems":[{"id":"ITEM-1","itemData":{"DOI":"10.1016/j.intaccaudtax.2017.10.001","ISSN":"10619518","abstract":"This paper examines the value relevance of fair value accounting for biological assets under IAS 41 Agriculture, using 389 firm-year observations from 2011 to 2013 of listed firms in 27 countries. We adjust the Ohlson (1995) model to operationalize value relevance as the ability of book value to explain market equity value. The results confirm that recognized biological assets are value relevant at fair value, but are more value relevant in firms with higher levels of disclosure. The same results were obtained for bearer biological assets. However, for consumable biological assets, the results suggest that investors do not value recognized biological assets in firms with higher levels of disclosure. These findings should help regulators, accounting standard setters, and readers of financial statements to better understand the market valuation implications of IAS 41.","author":[{"dropping-particle":"","family":"Gonçalves","given":"Rute","non-dropping-particle":"","parse-names":false,"suffix":""},{"dropping-particle":"","family":"Lopes","given":"Patrícia","non-dropping-particle":"","parse-names":false,"suffix":""},{"dropping-particle":"","family":"Craig","given":"Russell","non-dropping-particle":"","parse-names":false,"suffix":""}],"container-title":"Journal of International Accounting, Auditing and Taxation","id":"ITEM-1","issued":{"date-parts":[["2017"]]},"page":"118-126","publisher":"Elsevier Inc.","title":"Value relevance of biological assets under IFRS","type":"article-journal","volume":"29"},"suppress-author":1,"uris":["http://www.mendeley.com/documents/?uuid=c11da102-8e05-4277-8c06-2d5a30729c97"]}],"mendeley":{"formattedCitation":"(2017)","plainTextFormattedCitation":"(2017)","previouslyFormattedCitation":"(2017)"},"properties":{"noteIndex":0},"schema":"https://github.com/citation-style-language/schema/raw/master/csl-citation.json"}</w:instrText>
      </w:r>
      <w:r w:rsidR="00B51B79">
        <w:rPr>
          <w:rFonts w:ascii="Times New Roman" w:hAnsi="Times New Roman" w:cs="Times New Roman"/>
          <w:sz w:val="24"/>
          <w:lang w:val="en-US"/>
        </w:rPr>
        <w:fldChar w:fldCharType="separate"/>
      </w:r>
      <w:r w:rsidR="00B51B79" w:rsidRPr="00B51B79">
        <w:rPr>
          <w:rFonts w:ascii="Times New Roman" w:hAnsi="Times New Roman" w:cs="Times New Roman"/>
          <w:noProof/>
          <w:sz w:val="24"/>
          <w:lang w:val="en-US"/>
        </w:rPr>
        <w:t>(2017)</w:t>
      </w:r>
      <w:r w:rsidR="00B51B79">
        <w:rPr>
          <w:rFonts w:ascii="Times New Roman" w:hAnsi="Times New Roman" w:cs="Times New Roman"/>
          <w:sz w:val="24"/>
          <w:lang w:val="en-US"/>
        </w:rPr>
        <w:fldChar w:fldCharType="end"/>
      </w:r>
      <w:r w:rsidR="00F520BF" w:rsidRPr="00F520BF">
        <w:rPr>
          <w:rFonts w:ascii="Times New Roman" w:hAnsi="Times New Roman" w:cs="Times New Roman"/>
          <w:sz w:val="24"/>
          <w:lang w:val="en-US"/>
        </w:rPr>
        <w:t>, Aryati &amp; Wibowo</w:t>
      </w:r>
      <w:r w:rsidR="006C0DA0">
        <w:rPr>
          <w:rFonts w:ascii="Times New Roman" w:hAnsi="Times New Roman" w:cs="Times New Roman"/>
          <w:sz w:val="24"/>
          <w:lang w:val="en-US"/>
        </w:rPr>
        <w:t xml:space="preserve"> </w:t>
      </w:r>
      <w:r w:rsidR="001368AC">
        <w:rPr>
          <w:rFonts w:ascii="Times New Roman" w:hAnsi="Times New Roman" w:cs="Times New Roman"/>
          <w:sz w:val="24"/>
          <w:lang w:val="en-US"/>
        </w:rPr>
        <w:fldChar w:fldCharType="begin" w:fldLock="1"/>
      </w:r>
      <w:r w:rsidR="001368AC">
        <w:rPr>
          <w:rFonts w:ascii="Times New Roman" w:hAnsi="Times New Roman" w:cs="Times New Roman"/>
          <w:sz w:val="24"/>
          <w:lang w:val="en-US"/>
        </w:rPr>
        <w:instrText>ADDIN CSL_CITATION {"citationItems":[{"id":"ITEM-1","itemData":{"DOI":"10.25105/mraai.v17i1.2038","ISSN":"1411-8831","abstract":"&lt;p&gt;&lt;em&gt;This research has a purpose to analyze the influence value relevance of information Other Comprehensive Income and Net Income in explaining Stock Return by using control variables, namely Firm Size, Growth, Debt to Total Assets, and Return on Assets. &lt;/em&gt;&lt;/p&gt;&lt;p&gt;&lt;em&gt;The sample used in this research are manufacturing companies which is listed in Indonesian Stock Exchange from 2011 to 2015. Obtained by 53 manufacturing companies the research sample. Data used in this research are secondary data obtained from the form of the annual audited financial statements derived from the Indonesia Stock Exchange (IDX) the period of 2011-2015 and the Indonesian Capital Market Directory (ICMD) in the period 2011-2015. The statistic method used to test on the research hypothesis is panel data analysis. The research results found that variables of the research model which are Other Comprehensive Income has a negative and significant effect on stock return, whereas Net Income has a positive and significant effect on stock return.&lt;/em&gt;&lt;/p&gt;","author":[{"dropping-particle":"","family":"Aryati","given":"Titik","non-dropping-particle":"","parse-names":false,"suffix":""},{"dropping-particle":"","family":"Wibowo","given":"Natasya Nadia","non-dropping-particle":"","parse-names":false,"suffix":""}],"container-title":"Media Riset Akuntansi, Auditing &amp; Informasi","id":"ITEM-1","issue":"1","issued":{"date-parts":[["2017"]]},"page":"53","title":"Pengaruh Relevansi Nilai Informasi Other Comprehensive Income Dan Net Income Terhadap Return Saham","type":"article-journal","volume":"17"},"suppress-author":1,"uris":["http://www.mendeley.com/documents/?uuid=922c39a1-4abf-420d-816b-8064165d0c02"]}],"mendeley":{"formattedCitation":"(2017)","plainTextFormattedCitation":"(2017)","previouslyFormattedCitation":"(2017)"},"properties":{"noteIndex":0},"schema":"https://github.com/citation-style-language/schema/raw/master/csl-citation.json"}</w:instrText>
      </w:r>
      <w:r w:rsidR="001368AC">
        <w:rPr>
          <w:rFonts w:ascii="Times New Roman" w:hAnsi="Times New Roman" w:cs="Times New Roman"/>
          <w:sz w:val="24"/>
          <w:lang w:val="en-US"/>
        </w:rPr>
        <w:fldChar w:fldCharType="separate"/>
      </w:r>
      <w:r w:rsidR="001368AC" w:rsidRPr="001368AC">
        <w:rPr>
          <w:rFonts w:ascii="Times New Roman" w:hAnsi="Times New Roman" w:cs="Times New Roman"/>
          <w:noProof/>
          <w:sz w:val="24"/>
          <w:lang w:val="en-US"/>
        </w:rPr>
        <w:t>(2017)</w:t>
      </w:r>
      <w:r w:rsidR="001368AC">
        <w:rPr>
          <w:rFonts w:ascii="Times New Roman" w:hAnsi="Times New Roman" w:cs="Times New Roman"/>
          <w:sz w:val="24"/>
          <w:lang w:val="en-US"/>
        </w:rPr>
        <w:fldChar w:fldCharType="end"/>
      </w:r>
      <w:r w:rsidR="00F520BF" w:rsidRPr="00F520BF">
        <w:rPr>
          <w:rFonts w:ascii="Times New Roman" w:hAnsi="Times New Roman" w:cs="Times New Roman"/>
          <w:sz w:val="24"/>
          <w:lang w:val="en-US"/>
        </w:rPr>
        <w:t>, Bandyopadhyay, Chen &amp; Wolfe</w:t>
      </w:r>
      <w:r w:rsidR="001368AC">
        <w:rPr>
          <w:rFonts w:ascii="Times New Roman" w:hAnsi="Times New Roman" w:cs="Times New Roman"/>
          <w:sz w:val="24"/>
          <w:lang w:val="en-US"/>
        </w:rPr>
        <w:t xml:space="preserve"> </w:t>
      </w:r>
      <w:r w:rsidR="001368AC">
        <w:rPr>
          <w:rFonts w:ascii="Times New Roman" w:hAnsi="Times New Roman" w:cs="Times New Roman"/>
          <w:sz w:val="24"/>
          <w:lang w:val="en-US"/>
        </w:rPr>
        <w:fldChar w:fldCharType="begin" w:fldLock="1"/>
      </w:r>
      <w:r w:rsidR="00E83685">
        <w:rPr>
          <w:rFonts w:ascii="Times New Roman" w:hAnsi="Times New Roman" w:cs="Times New Roman"/>
          <w:sz w:val="24"/>
          <w:lang w:val="en-US"/>
        </w:rPr>
        <w:instrText>ADDIN CSL_CITATION {"citationItems":[{"id":"ITEM-1","itemData":{"DOI":"10.1016/j.adiac.2017.05.002","ISSN":"08826110","abstract":"This paper examines the predictive ability (relevance) of fair value adjustments of Canadian investment property, for future cash flow outcomes. We hypothesize and find that the fair value adjustments of more conservative firms are more predictive of future cash flows. We also find that the market prices fair value adjustments of more conservative firms at a premium as compared to those of less conservative firms. Our empirical tests control for possible self-selection of sample firms into low and high accounting conservatism groups.","author":[{"dropping-particle":"","family":"Bandyopadhyay","given":"Sati P.","non-dropping-particle":"","parse-names":false,"suffix":""},{"dropping-particle":"","family":"Chen","given":"Changling","non-dropping-particle":"","parse-names":false,"suffix":""},{"dropping-particle":"","family":"Wolfe","given":"Mindy","non-dropping-particle":"","parse-names":false,"suffix":""}],"container-title":"Advances in Accounting","id":"ITEM-1","issue":"May 2015","issued":{"date-parts":[["2017"]]},"page":"1-14","publisher":"Elsevier","title":"The predictive ability of investment property fair value adjustments under IFRS and the role of accounting conservatism","type":"article-journal","volume":"38"},"suppress-author":1,"uris":["http://www.mendeley.com/documents/?uuid=5ecc657b-d61e-4233-a0d0-cfc69428ab4c"]}],"mendeley":{"formattedCitation":"(2017)","plainTextFormattedCitation":"(2017)","previouslyFormattedCitation":"(2017)"},"properties":{"noteIndex":0},"schema":"https://github.com/citation-style-language/schema/raw/master/csl-citation.json"}</w:instrText>
      </w:r>
      <w:r w:rsidR="001368AC">
        <w:rPr>
          <w:rFonts w:ascii="Times New Roman" w:hAnsi="Times New Roman" w:cs="Times New Roman"/>
          <w:sz w:val="24"/>
          <w:lang w:val="en-US"/>
        </w:rPr>
        <w:fldChar w:fldCharType="separate"/>
      </w:r>
      <w:r w:rsidR="001368AC" w:rsidRPr="001368AC">
        <w:rPr>
          <w:rFonts w:ascii="Times New Roman" w:hAnsi="Times New Roman" w:cs="Times New Roman"/>
          <w:noProof/>
          <w:sz w:val="24"/>
          <w:lang w:val="en-US"/>
        </w:rPr>
        <w:t>(2017)</w:t>
      </w:r>
      <w:r w:rsidR="001368AC">
        <w:rPr>
          <w:rFonts w:ascii="Times New Roman" w:hAnsi="Times New Roman" w:cs="Times New Roman"/>
          <w:sz w:val="24"/>
          <w:lang w:val="en-US"/>
        </w:rPr>
        <w:fldChar w:fldCharType="end"/>
      </w:r>
      <w:r w:rsidR="00F520BF" w:rsidRPr="00F520BF">
        <w:rPr>
          <w:rFonts w:ascii="Times New Roman" w:hAnsi="Times New Roman" w:cs="Times New Roman"/>
          <w:sz w:val="24"/>
          <w:lang w:val="en-US"/>
        </w:rPr>
        <w:t>, Bauman &amp; Shaw</w:t>
      </w:r>
      <w:r w:rsidR="00E83685">
        <w:rPr>
          <w:rFonts w:ascii="Times New Roman" w:hAnsi="Times New Roman" w:cs="Times New Roman"/>
          <w:sz w:val="24"/>
          <w:lang w:val="en-US"/>
        </w:rPr>
        <w:t xml:space="preserve"> </w:t>
      </w:r>
      <w:r w:rsidR="00E83685">
        <w:rPr>
          <w:rFonts w:ascii="Times New Roman" w:hAnsi="Times New Roman" w:cs="Times New Roman"/>
          <w:sz w:val="24"/>
          <w:lang w:val="en-US"/>
        </w:rPr>
        <w:fldChar w:fldCharType="begin" w:fldLock="1"/>
      </w:r>
      <w:r w:rsidR="00E83685">
        <w:rPr>
          <w:rFonts w:ascii="Times New Roman" w:hAnsi="Times New Roman" w:cs="Times New Roman"/>
          <w:sz w:val="24"/>
          <w:lang w:val="en-US"/>
        </w:rPr>
        <w:instrText>ADDIN CSL_CITATION {"citationItems":[{"id":"ITEM-1","itemData":{"DOI":"10.1016/j.racreg.2018.09.010","ISSN":"10520457","abstract":"This study examines the stock market's valuation of customer-related intangible assets for a sample of publicly-traded U.S. firms. Customer-related intangible assets are found to be positively associated with equity prices, but valued at a discount relative to goodwill. These results suggest that value-relevant information is lost if customer-related intangible assets are subsumed into goodwill rather than being reported separately. This evidence can be useful to standard setters potentially considering extending to public companies a recent FASB Accounting Standards Update allowing private companies not to recognize separately from goodwill certain customer-related intangible assets.","author":[{"dropping-particle":"","family":"Bauman","given":"Mark P.","non-dropping-particle":"","parse-names":false,"suffix":""},{"dropping-particle":"","family":"Shaw","given":"Kenneth W.","non-dropping-particle":"","parse-names":false,"suffix":""}],"container-title":"Research in Accounting Regulation","id":"ITEM-1","issue":"2","issued":{"date-parts":[["2018"]]},"page":"95-102","publisher":"Elsevier Ltd","title":"Value relevance of customer-related intangible assets","type":"article-journal","volume":"30"},"suppress-author":1,"uris":["http://www.mendeley.com/documents/?uuid=5160df5e-2352-4758-a526-bbced22e498e"]}],"mendeley":{"formattedCitation":"(2018)","plainTextFormattedCitation":"(2018)","previouslyFormattedCitation":"(2018)"},"properties":{"noteIndex":0},"schema":"https://github.com/citation-style-language/schema/raw/master/csl-citation.json"}</w:instrText>
      </w:r>
      <w:r w:rsidR="00E83685">
        <w:rPr>
          <w:rFonts w:ascii="Times New Roman" w:hAnsi="Times New Roman" w:cs="Times New Roman"/>
          <w:sz w:val="24"/>
          <w:lang w:val="en-US"/>
        </w:rPr>
        <w:fldChar w:fldCharType="separate"/>
      </w:r>
      <w:r w:rsidR="00E83685" w:rsidRPr="00E83685">
        <w:rPr>
          <w:rFonts w:ascii="Times New Roman" w:hAnsi="Times New Roman" w:cs="Times New Roman"/>
          <w:noProof/>
          <w:sz w:val="24"/>
          <w:lang w:val="en-US"/>
        </w:rPr>
        <w:t>(2018)</w:t>
      </w:r>
      <w:r w:rsidR="00E83685">
        <w:rPr>
          <w:rFonts w:ascii="Times New Roman" w:hAnsi="Times New Roman" w:cs="Times New Roman"/>
          <w:sz w:val="24"/>
          <w:lang w:val="en-US"/>
        </w:rPr>
        <w:fldChar w:fldCharType="end"/>
      </w:r>
      <w:r w:rsidR="00F520BF" w:rsidRPr="00F520BF">
        <w:rPr>
          <w:rFonts w:ascii="Times New Roman" w:hAnsi="Times New Roman" w:cs="Times New Roman"/>
          <w:sz w:val="24"/>
          <w:lang w:val="en-US"/>
        </w:rPr>
        <w:t>, dan Gavana, Gottardo &amp; Moisello</w:t>
      </w:r>
      <w:r w:rsidR="00E83685">
        <w:rPr>
          <w:rFonts w:ascii="Times New Roman" w:hAnsi="Times New Roman" w:cs="Times New Roman"/>
          <w:sz w:val="24"/>
          <w:lang w:val="en-US"/>
        </w:rPr>
        <w:t xml:space="preserve"> </w:t>
      </w:r>
      <w:r w:rsidR="00E83685">
        <w:rPr>
          <w:rFonts w:ascii="Times New Roman" w:hAnsi="Times New Roman" w:cs="Times New Roman"/>
          <w:sz w:val="24"/>
          <w:lang w:val="en-US"/>
        </w:rPr>
        <w:fldChar w:fldCharType="begin" w:fldLock="1"/>
      </w:r>
      <w:r w:rsidR="00F94509">
        <w:rPr>
          <w:rFonts w:ascii="Times New Roman" w:hAnsi="Times New Roman" w:cs="Times New Roman"/>
          <w:sz w:val="24"/>
          <w:lang w:val="en-US"/>
        </w:rPr>
        <w:instrText>ADDIN CSL_CITATION {"citationItems":[{"id":"ITEM-1","itemData":{"DOI":"10.1016/j.intaccaudtax.2020.100300","ISSN":"10619518","abstract":"We investigate the effects of the adoption of International Financial Reporting Standard (IFRS) 11, Joint Arrangements. In so doing, we analyze whether the removal of the proportionate consolidation option and the mandatory use of the equity method in reporting for joint ventures influences the value relevance of co-venturers’ total assets and liabilities. In a reverse situation, i.e. the elimination of the equity method, Richardson, Roubi, and Soonawalla (2012) found a decline in the value relevance of the aforementioned amounts for firms forced to change reporting method, partially offset by the value relevance of joint venture data disclosure. We focus on a continental European setting and analyze a sample of 120 Italian and French non-financial listed firms over the period 2008–2015. We find a reduction in the value relevance of co-venturers’ total assets and liabilities for companies obliged to move from proportionate consolidation to the equity method. Conversely, we do not find an increase in the value relevance of joint venture disaggregated data provided in the notes.","author":[{"dropping-particle":"","family":"Gavana","given":"Giovanna","non-dropping-particle":"","parse-names":false,"suffix":""},{"dropping-particle":"","family":"Gottardo","given":"Pietro","non-dropping-particle":"","parse-names":false,"suffix":""},{"dropping-particle":"","family":"Moisello","given":"Anna Maria","non-dropping-particle":"","parse-names":false,"suffix":""}],"container-title":"Journal of International Accounting, Auditing and Taxation","id":"ITEM-1","issued":{"date-parts":[["2020"]]},"page":"100300","publisher":"Elsevier Inc.","title":"Did the switch to IFRS 11 for joint ventures affect the value relevance of corporate consolidated financial statements? Evidence from France and Italy","type":"article-journal","volume":"38"},"suppress-author":1,"uris":["http://www.mendeley.com/documents/?uuid=44253954-05fa-424f-9429-f0e65a4fa334"]}],"mendeley":{"formattedCitation":"(2020)","plainTextFormattedCitation":"(2020)","previouslyFormattedCitation":"(2020)"},"properties":{"noteIndex":0},"schema":"https://github.com/citation-style-language/schema/raw/master/csl-citation.json"}</w:instrText>
      </w:r>
      <w:r w:rsidR="00E83685">
        <w:rPr>
          <w:rFonts w:ascii="Times New Roman" w:hAnsi="Times New Roman" w:cs="Times New Roman"/>
          <w:sz w:val="24"/>
          <w:lang w:val="en-US"/>
        </w:rPr>
        <w:fldChar w:fldCharType="separate"/>
      </w:r>
      <w:r w:rsidR="00E83685" w:rsidRPr="00E83685">
        <w:rPr>
          <w:rFonts w:ascii="Times New Roman" w:hAnsi="Times New Roman" w:cs="Times New Roman"/>
          <w:noProof/>
          <w:sz w:val="24"/>
          <w:lang w:val="en-US"/>
        </w:rPr>
        <w:t>(2020)</w:t>
      </w:r>
      <w:r w:rsidR="00E83685">
        <w:rPr>
          <w:rFonts w:ascii="Times New Roman" w:hAnsi="Times New Roman" w:cs="Times New Roman"/>
          <w:sz w:val="24"/>
          <w:lang w:val="en-US"/>
        </w:rPr>
        <w:fldChar w:fldCharType="end"/>
      </w:r>
      <w:r w:rsidR="00F520BF" w:rsidRPr="00F520BF">
        <w:rPr>
          <w:rFonts w:ascii="Times New Roman" w:hAnsi="Times New Roman" w:cs="Times New Roman"/>
          <w:sz w:val="24"/>
          <w:lang w:val="en-US"/>
        </w:rPr>
        <w:t>.</w:t>
      </w:r>
    </w:p>
    <w:p w14:paraId="4127E81A" w14:textId="71D91A05" w:rsidR="000378DF" w:rsidRDefault="00C44850" w:rsidP="009D23DA">
      <w:pPr>
        <w:ind w:firstLine="425"/>
        <w:jc w:val="both"/>
        <w:rPr>
          <w:rFonts w:ascii="Times New Roman" w:hAnsi="Times New Roman" w:cs="Times New Roman"/>
          <w:sz w:val="24"/>
          <w:lang w:val="en-US"/>
        </w:rPr>
      </w:pPr>
      <w:r w:rsidRPr="00C44850">
        <w:rPr>
          <w:rFonts w:ascii="Times New Roman" w:hAnsi="Times New Roman" w:cs="Times New Roman"/>
          <w:sz w:val="24"/>
          <w:lang w:val="en-US"/>
        </w:rPr>
        <w:t>Dalam konteks perubahan standar akuntansi sewa, yang menjadi poin penting adalah aset dan liabilitas sewa, dan juga metriks performa seperti EBITDA, seperti dijelaskan</w:t>
      </w:r>
      <w:r w:rsidR="00F94509">
        <w:rPr>
          <w:rFonts w:ascii="Times New Roman" w:hAnsi="Times New Roman" w:cs="Times New Roman"/>
          <w:sz w:val="24"/>
          <w:lang w:val="en-US"/>
        </w:rPr>
        <w:t xml:space="preserve"> oleh</w:t>
      </w:r>
      <w:r w:rsidRPr="00C44850">
        <w:rPr>
          <w:rFonts w:ascii="Times New Roman" w:hAnsi="Times New Roman" w:cs="Times New Roman"/>
          <w:sz w:val="24"/>
          <w:lang w:val="en-US"/>
        </w:rPr>
        <w:t xml:space="preserve"> Branswijc</w:t>
      </w:r>
      <w:r>
        <w:rPr>
          <w:rFonts w:ascii="Times New Roman" w:hAnsi="Times New Roman" w:cs="Times New Roman"/>
          <w:sz w:val="24"/>
          <w:lang w:val="en-US"/>
        </w:rPr>
        <w:t>k</w:t>
      </w:r>
      <w:r w:rsidRPr="00C44850">
        <w:rPr>
          <w:rFonts w:ascii="Times New Roman" w:hAnsi="Times New Roman" w:cs="Times New Roman"/>
          <w:sz w:val="24"/>
          <w:lang w:val="en-US"/>
        </w:rPr>
        <w:t xml:space="preserve"> et al</w:t>
      </w:r>
      <w:r w:rsidR="00F94509">
        <w:rPr>
          <w:rFonts w:ascii="Times New Roman" w:hAnsi="Times New Roman" w:cs="Times New Roman"/>
          <w:sz w:val="24"/>
          <w:lang w:val="en-US"/>
        </w:rPr>
        <w:t xml:space="preserve"> </w:t>
      </w:r>
      <w:r w:rsidR="00F94509">
        <w:rPr>
          <w:rFonts w:ascii="Times New Roman" w:hAnsi="Times New Roman" w:cs="Times New Roman"/>
          <w:sz w:val="24"/>
          <w:lang w:val="en-US"/>
        </w:rPr>
        <w:fldChar w:fldCharType="begin" w:fldLock="1"/>
      </w:r>
      <w:r w:rsidR="00F94509">
        <w:rPr>
          <w:rFonts w:ascii="Times New Roman" w:hAnsi="Times New Roman" w:cs="Times New Roman"/>
          <w:sz w:val="24"/>
          <w:lang w:val="en-US"/>
        </w:rPr>
        <w:instrText>ADDIN CSL_CITATION {"citationItems":[{"id":"ITEM-1","itemData":{"ISSN":"1843-8105","abstract":"Prior literature examined the financial impact of capitalizing operating leases by using the constructive lease capitalization method of Imhoff et al. (1991). The empirical evidence of these studies results in the perception that operating leases lead to off-balance financing, improvements of financial ratios and earnings enhancement in the U.K. (e.g. Beattie et al., 1998) and in the U.S.(e.g. Ely, 1995). Therefore, the IASB published in 2010 the exposure draft for the new standard on lease accounting (IAS 17). The most striking change is the elimination of the difference between finance and operating lease. Our study investigates the impact of the proposed adaptation for listed companies in Belgium and the Netherlands for 2008. Our results indicate that debt to equity ratio, return on assets and the current ratio are significantly affected by capitalizing operating leases. Furthermore, the results show that the impact on financial ratios differs among industries.","author":[{"dropping-particle":"","family":"Branswijck","given":"Deborah","non-dropping-particle":"","parse-names":false,"suffix":""},{"dropping-particle":"","family":"Gent","given":"Hogeschool","non-dropping-particle":"","parse-names":false,"suffix":""},{"dropping-particle":"","family":"Everaert","given":"Patricia","non-dropping-particle":"","parse-names":false,"suffix":""}],"container-title":"Accounting and Management Information Systems","id":"ITEM-1","issue":"2","issued":{"date-parts":[["2011"]]},"page":"275-295","title":"The Financial Impact of the Proposed Amendments to IAS 17: Evidence from Belgium and the Netherlands","type":"article-journal","volume":"10"},"suppress-author":1,"uris":["http://www.mendeley.com/documents/?uuid=0eeba46c-3167-4395-a077-0756d73001c9"]}],"mendeley":{"formattedCitation":"(2011)","plainTextFormattedCitation":"(2011)","previouslyFormattedCitation":"(2011)"},"properties":{"noteIndex":0},"schema":"https://github.com/citation-style-language/schema/raw/master/csl-citation.json"}</w:instrText>
      </w:r>
      <w:r w:rsidR="00F94509">
        <w:rPr>
          <w:rFonts w:ascii="Times New Roman" w:hAnsi="Times New Roman" w:cs="Times New Roman"/>
          <w:sz w:val="24"/>
          <w:lang w:val="en-US"/>
        </w:rPr>
        <w:fldChar w:fldCharType="separate"/>
      </w:r>
      <w:r w:rsidR="00F94509" w:rsidRPr="00F94509">
        <w:rPr>
          <w:rFonts w:ascii="Times New Roman" w:hAnsi="Times New Roman" w:cs="Times New Roman"/>
          <w:noProof/>
          <w:sz w:val="24"/>
          <w:lang w:val="en-US"/>
        </w:rPr>
        <w:t>(2011)</w:t>
      </w:r>
      <w:r w:rsidR="00F94509">
        <w:rPr>
          <w:rFonts w:ascii="Times New Roman" w:hAnsi="Times New Roman" w:cs="Times New Roman"/>
          <w:sz w:val="24"/>
          <w:lang w:val="en-US"/>
        </w:rPr>
        <w:fldChar w:fldCharType="end"/>
      </w:r>
      <w:r w:rsidRPr="00C44850">
        <w:rPr>
          <w:rFonts w:ascii="Times New Roman" w:hAnsi="Times New Roman" w:cs="Times New Roman"/>
          <w:sz w:val="24"/>
          <w:lang w:val="en-US"/>
        </w:rPr>
        <w:t>, Lee et al</w:t>
      </w:r>
      <w:r w:rsidR="00F94509">
        <w:rPr>
          <w:rFonts w:ascii="Times New Roman" w:hAnsi="Times New Roman" w:cs="Times New Roman"/>
          <w:sz w:val="24"/>
          <w:lang w:val="en-US"/>
        </w:rPr>
        <w:t xml:space="preserve"> </w:t>
      </w:r>
      <w:r w:rsidR="00F94509">
        <w:rPr>
          <w:rFonts w:ascii="Times New Roman" w:hAnsi="Times New Roman" w:cs="Times New Roman"/>
          <w:sz w:val="24"/>
          <w:lang w:val="en-US"/>
        </w:rPr>
        <w:fldChar w:fldCharType="begin" w:fldLock="1"/>
      </w:r>
      <w:r w:rsidR="00F26A61">
        <w:rPr>
          <w:rFonts w:ascii="Times New Roman" w:hAnsi="Times New Roman" w:cs="Times New Roman"/>
          <w:sz w:val="24"/>
          <w:lang w:val="en-US"/>
        </w:rPr>
        <w:instrText>ADDIN CSL_CITATION {"citationItems":[{"id":"ITEM-1","itemData":{"ISSN":"21583625","abstract":"We investigate the effect of capitalizing operating leases on firms' immediacy to their debt covenant violations. The results of our analysis of U.S. companies indicate that the capitalization of operating leases will cause significant changes in the various financial ratios contained within firms' debt covenants. We find that, for some firms, capitalization deteriorates their financial ratios significantly and to the extent that firms will likely violate their debt covenants after such capitalization. However, our results also indicate that, for other firms, capitalizing operating leases results in the improvement of financial ratios and will help firms reduce their risk of debt covenant violation. [ABSTRACT FROM AUTHOR]","author":[{"dropping-particle":"","family":"Lee","given":"Byunghwan","non-dropping-particle":"","parse-names":false,"suffix":""},{"dropping-particle":"","family":"Gyung Paik","given":"Daniel","non-dropping-particle":"","parse-names":false,"suffix":""},{"dropping-particle":"","family":"Yoon","given":"Sung Wook","non-dropping-particle":"","parse-names":false,"suffix":""}],"container-title":"Journal of Accounting &amp; Finance (2158-3625)","id":"ITEM-1","issue":"6","issued":{"date-parts":[["2014"]]},"page":"44-70","title":"The Effect of Capitalizing Operating Leases on the Immediacy to Debt Covenant Violations.","type":"article-journal","volume":"14"},"suppress-author":1,"uris":["http://www.mendeley.com/documents/?uuid=4aa9142e-22bd-4116-8567-43df3918f8ad"]}],"mendeley":{"formattedCitation":"(2014)","plainTextFormattedCitation":"(2014)","previouslyFormattedCitation":"(2014)"},"properties":{"noteIndex":0},"schema":"https://github.com/citation-style-language/schema/raw/master/csl-citation.json"}</w:instrText>
      </w:r>
      <w:r w:rsidR="00F94509">
        <w:rPr>
          <w:rFonts w:ascii="Times New Roman" w:hAnsi="Times New Roman" w:cs="Times New Roman"/>
          <w:sz w:val="24"/>
          <w:lang w:val="en-US"/>
        </w:rPr>
        <w:fldChar w:fldCharType="separate"/>
      </w:r>
      <w:r w:rsidR="00F94509" w:rsidRPr="00F94509">
        <w:rPr>
          <w:rFonts w:ascii="Times New Roman" w:hAnsi="Times New Roman" w:cs="Times New Roman"/>
          <w:noProof/>
          <w:sz w:val="24"/>
          <w:lang w:val="en-US"/>
        </w:rPr>
        <w:t>(2014)</w:t>
      </w:r>
      <w:r w:rsidR="00F94509">
        <w:rPr>
          <w:rFonts w:ascii="Times New Roman" w:hAnsi="Times New Roman" w:cs="Times New Roman"/>
          <w:sz w:val="24"/>
          <w:lang w:val="en-US"/>
        </w:rPr>
        <w:fldChar w:fldCharType="end"/>
      </w:r>
      <w:r w:rsidRPr="00C44850">
        <w:rPr>
          <w:rFonts w:ascii="Times New Roman" w:hAnsi="Times New Roman" w:cs="Times New Roman"/>
          <w:sz w:val="24"/>
          <w:lang w:val="en-US"/>
        </w:rPr>
        <w:t>, Tahtah &amp; Roelofsen</w:t>
      </w:r>
      <w:r w:rsidR="00F26A61">
        <w:rPr>
          <w:rFonts w:ascii="Times New Roman" w:hAnsi="Times New Roman" w:cs="Times New Roman"/>
          <w:sz w:val="24"/>
          <w:lang w:val="en-US"/>
        </w:rPr>
        <w:t xml:space="preserve"> </w:t>
      </w:r>
      <w:r w:rsidR="00F26A61">
        <w:rPr>
          <w:rFonts w:ascii="Times New Roman" w:hAnsi="Times New Roman" w:cs="Times New Roman"/>
          <w:sz w:val="24"/>
          <w:lang w:val="en-US"/>
        </w:rPr>
        <w:fldChar w:fldCharType="begin" w:fldLock="1"/>
      </w:r>
      <w:r w:rsidR="00F26A61">
        <w:rPr>
          <w:rFonts w:ascii="Times New Roman" w:hAnsi="Times New Roman" w:cs="Times New Roman"/>
          <w:sz w:val="24"/>
          <w:lang w:val="en-US"/>
        </w:rPr>
        <w:instrText>ADDIN CSL_CITATION {"citationItems":[{"id":"ITEM-1","itemData":{"abstract":"In collaboration with the RotterdamSchool of Management, in the Netherlands, we have conducted a global study to assess the impact of the new leases standard on the financial statements, key financial ratios and performancemeasures on a sample of 3,199 listed IFRS reporting organisations across a range of industries and countries (excluding the United States). The study identifies theminimumimpact of capitalising the operating lease commitments as disclosed in the published financial statements for 2014. In view of organisations assessment of the lease termunder the new standard, the inclusion of amongst others in-substance fixed payments and variable payments linked to an index or rate, the eventual impactmay bemuch greater. Furthermore, the study takes no account of transitional reliefs that are available upon adoption of the new leases standard on 1 January 2019.","author":[{"dropping-particle":"","family":"Tahtah","given":"Jay","non-dropping-particle":"","parse-names":false,"suffix":""},{"dropping-particle":"","family":"Roelofsen","given":"Erik","non-dropping-particle":"","parse-names":false,"suffix":""}],"container-title":"PwC report","id":"ITEM-1","issue":"February","issued":{"date-parts":[["2016"]]},"page":"14","title":"A study on the impact of lease capitalisation IFRS 16 : The new leases standard","type":"article-journal"},"suppress-author":1,"uris":["http://www.mendeley.com/documents/?uuid=9c079af8-289b-4359-aa44-a5a641edafb5"]}],"mendeley":{"formattedCitation":"(2016)","plainTextFormattedCitation":"(2016)","previouslyFormattedCitation":"(2016)"},"properties":{"noteIndex":0},"schema":"https://github.com/citation-style-language/schema/raw/master/csl-citation.json"}</w:instrText>
      </w:r>
      <w:r w:rsidR="00F26A61">
        <w:rPr>
          <w:rFonts w:ascii="Times New Roman" w:hAnsi="Times New Roman" w:cs="Times New Roman"/>
          <w:sz w:val="24"/>
          <w:lang w:val="en-US"/>
        </w:rPr>
        <w:fldChar w:fldCharType="separate"/>
      </w:r>
      <w:r w:rsidR="00F26A61" w:rsidRPr="00F26A61">
        <w:rPr>
          <w:rFonts w:ascii="Times New Roman" w:hAnsi="Times New Roman" w:cs="Times New Roman"/>
          <w:noProof/>
          <w:sz w:val="24"/>
          <w:lang w:val="en-US"/>
        </w:rPr>
        <w:t>(2016)</w:t>
      </w:r>
      <w:r w:rsidR="00F26A61">
        <w:rPr>
          <w:rFonts w:ascii="Times New Roman" w:hAnsi="Times New Roman" w:cs="Times New Roman"/>
          <w:sz w:val="24"/>
          <w:lang w:val="en-US"/>
        </w:rPr>
        <w:fldChar w:fldCharType="end"/>
      </w:r>
      <w:r w:rsidRPr="00C44850">
        <w:rPr>
          <w:rFonts w:ascii="Times New Roman" w:hAnsi="Times New Roman" w:cs="Times New Roman"/>
          <w:sz w:val="24"/>
          <w:lang w:val="en-US"/>
        </w:rPr>
        <w:t>, Kusano</w:t>
      </w:r>
      <w:r w:rsidR="00F26A61">
        <w:rPr>
          <w:rFonts w:ascii="Times New Roman" w:hAnsi="Times New Roman" w:cs="Times New Roman"/>
          <w:sz w:val="24"/>
          <w:lang w:val="en-US"/>
        </w:rPr>
        <w:t xml:space="preserve"> </w:t>
      </w:r>
      <w:r w:rsidR="00F26A61">
        <w:rPr>
          <w:rFonts w:ascii="Times New Roman" w:hAnsi="Times New Roman" w:cs="Times New Roman"/>
          <w:sz w:val="24"/>
          <w:lang w:val="en-US"/>
        </w:rPr>
        <w:fldChar w:fldCharType="begin" w:fldLock="1"/>
      </w:r>
      <w:r w:rsidR="00F26A61">
        <w:rPr>
          <w:rFonts w:ascii="Times New Roman" w:hAnsi="Times New Roman" w:cs="Times New Roman"/>
          <w:sz w:val="24"/>
          <w:lang w:val="en-US"/>
        </w:rPr>
        <w:instrText>ADDIN CSL_CITATION {"citationItems":[{"id":"ITEM-1","itemData":{"DOI":"10.1016/j.intaccaudtax.2017.12.008","ISSN":"10619518","abstract":"The purpose of this study is to examine the effects of constructively capitalizing operating leases on credit ratings in Japan. In particular, this study investigates whether and how a credit rating agency considers operating lease information when determining credit ratings. First, this study shows that constructively capitalized operating leases are associated with credit ratings. Second, this study finds that the associations between operating leases versus finance leases and credit ratings are not substantially different. However, when operating lease disclosures are less reliable, this study finds that operating leases are not associated with credit ratings and that the risk relevance of operating leases is substantially different from that of finance leases. This study reports that the reliability of accounting information has significant effects on the risk relevance of operating leases. These results indicate that a credit rating agency considers operating lease information in determining credit ratings to the extent that this information is reliable. This study contributes to the literature on the usefulness of operating lease disclosures and to the discussions on the global convergence of accounting standards.","author":[{"dropping-particle":"","family":"Kusano","given":"Masaki","non-dropping-particle":"","parse-names":false,"suffix":""}],"container-title":"Journal of International Accounting, Auditing and Taxation","id":"ITEM-1","issued":{"date-parts":[["2018"]]},"page":"45-56","publisher":"Elsevier Inc.","title":"Effect of capitalizing operating leases on credit ratings: Evidence from Japan","type":"article-journal","volume":"30"},"suppress-author":1,"uris":["http://www.mendeley.com/documents/?uuid=dd0a1f58-5ed8-4d40-9325-84b9d8f5a3db"]}],"mendeley":{"formattedCitation":"(2018)","plainTextFormattedCitation":"(2018)","previouslyFormattedCitation":"(2018)"},"properties":{"noteIndex":0},"schema":"https://github.com/citation-style-language/schema/raw/master/csl-citation.json"}</w:instrText>
      </w:r>
      <w:r w:rsidR="00F26A61">
        <w:rPr>
          <w:rFonts w:ascii="Times New Roman" w:hAnsi="Times New Roman" w:cs="Times New Roman"/>
          <w:sz w:val="24"/>
          <w:lang w:val="en-US"/>
        </w:rPr>
        <w:fldChar w:fldCharType="separate"/>
      </w:r>
      <w:r w:rsidR="00F26A61" w:rsidRPr="00F26A61">
        <w:rPr>
          <w:rFonts w:ascii="Times New Roman" w:hAnsi="Times New Roman" w:cs="Times New Roman"/>
          <w:noProof/>
          <w:sz w:val="24"/>
          <w:lang w:val="en-US"/>
        </w:rPr>
        <w:t>(2018)</w:t>
      </w:r>
      <w:r w:rsidR="00F26A61">
        <w:rPr>
          <w:rFonts w:ascii="Times New Roman" w:hAnsi="Times New Roman" w:cs="Times New Roman"/>
          <w:sz w:val="24"/>
          <w:lang w:val="en-US"/>
        </w:rPr>
        <w:fldChar w:fldCharType="end"/>
      </w:r>
      <w:r w:rsidRPr="00C44850">
        <w:rPr>
          <w:rFonts w:ascii="Times New Roman" w:hAnsi="Times New Roman" w:cs="Times New Roman"/>
          <w:sz w:val="24"/>
          <w:lang w:val="en-US"/>
        </w:rPr>
        <w:t>, Diaz &amp; Ramirez</w:t>
      </w:r>
      <w:r w:rsidR="00F26A61">
        <w:rPr>
          <w:rFonts w:ascii="Times New Roman" w:hAnsi="Times New Roman" w:cs="Times New Roman"/>
          <w:sz w:val="24"/>
          <w:lang w:val="en-US"/>
        </w:rPr>
        <w:t xml:space="preserve"> </w:t>
      </w:r>
      <w:r w:rsidR="00F26A61">
        <w:rPr>
          <w:rFonts w:ascii="Times New Roman" w:hAnsi="Times New Roman" w:cs="Times New Roman"/>
          <w:sz w:val="24"/>
          <w:lang w:val="en-US"/>
        </w:rPr>
        <w:fldChar w:fldCharType="begin" w:fldLock="1"/>
      </w:r>
      <w:r w:rsidR="00FF6A80">
        <w:rPr>
          <w:rFonts w:ascii="Times New Roman" w:hAnsi="Times New Roman" w:cs="Times New Roman"/>
          <w:sz w:val="24"/>
          <w:lang w:val="en-US"/>
        </w:rPr>
        <w:instrText>ADDIN CSL_CITATION {"citationItems":[{"id":"ITEM-1","itemData":{"DOI":"10.1080/17449480.2018.1433307","ISSN":"17449499","abstract":"In January 2016, the International Accounting Standards Board issued a new standard for lease accounting: International Financial Reporting Starndard (IFRS) 16. IFRS 16 will lead to the capitalisation of the majority of current operating leases by lessees. We analyse the impact of the new accounting model on entity’s key financial, contributing to research by making significant changes in the Imhoff et al. [(1991). Operating leases: Impact of constructive capitalization. Accounting Horizons, 5(1), 51–63. Retrieved from http://search.ebscohost.com/login.aspx?direct=true&amp;db=buh&amp;AN=9604010111&amp;site=ehost-live; (1997). Operating leases: Income effects of constructive capitalization. Accounting Horizons, 11(2), 12–32. Retrieved from http://0-search.proquest.com.fama.us.es/docview/208896121?accountid=14744] methodology used by previous authors. We change how the lease term is estimated (more aligned with the final approved standard), and how the discount rate is obtained. Furthermore, we use a more comprehensive sample (646 quoted European companies). In line with previous research we find important systematic impacts on key balance sheet financial ratios (mainly leverage ratios), on a magnitude that depends on the operating lease intensity of the sector in which the entity operates. Our estimated impact is generally higher than that obtained in previous studies. The most affected sectors are retail, hotels and transportation. We do not find a consistent result with regard to the effect on profitability ratios.","author":[{"dropping-particle":"","family":"Morales-Díaz","given":"José","non-dropping-particle":"","parse-names":false,"suffix":""},{"dropping-particle":"","family":"Zamora-Ramírez","given":"Constancio","non-dropping-particle":"","parse-names":false,"suffix":""}],"container-title":"Accounting in Europe","id":"ITEM-1","issue":"1","issued":{"date-parts":[["2018"]]},"page":"105-133","publisher":"Taylor &amp; Francis","title":"The Impact of IFRS 16 on Key Financial Ratios: A New Methodological Approach","type":"article-journal","volume":"15"},"suppress-author":1,"uris":["http://www.mendeley.com/documents/?uuid=eddcc1e6-ac33-4dce-b757-89c375221f30"]}],"mendeley":{"formattedCitation":"(2018)","plainTextFormattedCitation":"(2018)","previouslyFormattedCitation":"(2018)"},"properties":{"noteIndex":0},"schema":"https://github.com/citation-style-language/schema/raw/master/csl-citation.json"}</w:instrText>
      </w:r>
      <w:r w:rsidR="00F26A61">
        <w:rPr>
          <w:rFonts w:ascii="Times New Roman" w:hAnsi="Times New Roman" w:cs="Times New Roman"/>
          <w:sz w:val="24"/>
          <w:lang w:val="en-US"/>
        </w:rPr>
        <w:fldChar w:fldCharType="separate"/>
      </w:r>
      <w:r w:rsidR="00F26A61" w:rsidRPr="00F26A61">
        <w:rPr>
          <w:rFonts w:ascii="Times New Roman" w:hAnsi="Times New Roman" w:cs="Times New Roman"/>
          <w:noProof/>
          <w:sz w:val="24"/>
          <w:lang w:val="en-US"/>
        </w:rPr>
        <w:t>(2018)</w:t>
      </w:r>
      <w:r w:rsidR="00F26A61">
        <w:rPr>
          <w:rFonts w:ascii="Times New Roman" w:hAnsi="Times New Roman" w:cs="Times New Roman"/>
          <w:sz w:val="24"/>
          <w:lang w:val="en-US"/>
        </w:rPr>
        <w:fldChar w:fldCharType="end"/>
      </w:r>
      <w:r w:rsidRPr="00C44850">
        <w:rPr>
          <w:rFonts w:ascii="Times New Roman" w:hAnsi="Times New Roman" w:cs="Times New Roman"/>
          <w:sz w:val="24"/>
          <w:lang w:val="en-US"/>
        </w:rPr>
        <w:t xml:space="preserve">. Hal ini menandakan </w:t>
      </w:r>
      <w:r>
        <w:rPr>
          <w:rFonts w:ascii="Times New Roman" w:hAnsi="Times New Roman" w:cs="Times New Roman"/>
          <w:sz w:val="24"/>
          <w:lang w:val="en-US"/>
        </w:rPr>
        <w:t xml:space="preserve">adanya </w:t>
      </w:r>
      <w:r w:rsidRPr="00C44850">
        <w:rPr>
          <w:rFonts w:ascii="Times New Roman" w:hAnsi="Times New Roman" w:cs="Times New Roman"/>
          <w:sz w:val="24"/>
          <w:lang w:val="en-US"/>
        </w:rPr>
        <w:t>perubahan yang dapat diteliti di akun aset sewa, liabilitas sewa, serta depresiasi dan beban bunga.</w:t>
      </w:r>
    </w:p>
    <w:p w14:paraId="26A788BF" w14:textId="77777777" w:rsidR="00E74AED" w:rsidRDefault="00E74AED" w:rsidP="00E74AED">
      <w:pPr>
        <w:jc w:val="both"/>
        <w:rPr>
          <w:rFonts w:ascii="Times New Roman" w:hAnsi="Times New Roman" w:cs="Times New Roman"/>
          <w:b/>
          <w:sz w:val="24"/>
          <w:szCs w:val="24"/>
          <w:lang w:val="en-US"/>
        </w:rPr>
      </w:pPr>
    </w:p>
    <w:p w14:paraId="2ED754AE" w14:textId="445DDC06" w:rsidR="00E74AED" w:rsidRPr="00ED54BA" w:rsidRDefault="00750881" w:rsidP="00E74AED">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Data </w:t>
      </w:r>
      <w:r w:rsidR="00E74AED">
        <w:rPr>
          <w:rFonts w:ascii="Times New Roman" w:hAnsi="Times New Roman" w:cs="Times New Roman"/>
          <w:b/>
          <w:sz w:val="24"/>
          <w:szCs w:val="24"/>
          <w:lang w:val="en-US"/>
        </w:rPr>
        <w:t>Penelitian</w:t>
      </w:r>
    </w:p>
    <w:p w14:paraId="1CC823D7" w14:textId="0D447D48" w:rsidR="0089480E" w:rsidRDefault="00751238" w:rsidP="00750881">
      <w:pPr>
        <w:jc w:val="both"/>
        <w:rPr>
          <w:rFonts w:ascii="Times New Roman" w:hAnsi="Times New Roman" w:cs="Times New Roman"/>
          <w:sz w:val="24"/>
          <w:lang w:val="en-US"/>
        </w:rPr>
      </w:pPr>
      <w:r>
        <w:rPr>
          <w:rFonts w:ascii="Times New Roman" w:hAnsi="Times New Roman" w:cs="Times New Roman"/>
          <w:sz w:val="24"/>
          <w:lang w:val="en-US"/>
        </w:rPr>
        <w:t>Penulis menggunakan data dari perusahaan terdaftar di Bursa Efek Indonesia (BEI</w:t>
      </w:r>
      <w:r w:rsidR="008B2FD0">
        <w:rPr>
          <w:rFonts w:ascii="Times New Roman" w:hAnsi="Times New Roman" w:cs="Times New Roman"/>
          <w:sz w:val="24"/>
          <w:lang w:val="en-US"/>
        </w:rPr>
        <w:t>)</w:t>
      </w:r>
      <w:r>
        <w:rPr>
          <w:rFonts w:ascii="Times New Roman" w:hAnsi="Times New Roman" w:cs="Times New Roman"/>
          <w:sz w:val="24"/>
          <w:lang w:val="en-US"/>
        </w:rPr>
        <w:t xml:space="preserve">. </w:t>
      </w:r>
      <w:r w:rsidR="008B2FD0">
        <w:rPr>
          <w:rFonts w:ascii="Times New Roman" w:hAnsi="Times New Roman" w:cs="Times New Roman"/>
          <w:sz w:val="24"/>
          <w:lang w:val="en-US"/>
        </w:rPr>
        <w:t xml:space="preserve">Penelitian memfokuskan pada perusahaan yang masuk dalam indeks KOMPAS 100 karena </w:t>
      </w:r>
      <w:r w:rsidR="008B2FD0" w:rsidRPr="008B2FD0">
        <w:rPr>
          <w:rFonts w:ascii="Times New Roman" w:hAnsi="Times New Roman" w:cs="Times New Roman"/>
          <w:sz w:val="24"/>
          <w:lang w:val="en-US"/>
        </w:rPr>
        <w:t>indeks tersebut merupakan indeks dari emiten-emiten yang mempunyai transaksi dengan volume dan nilai paling besar dalam setiap pasar modal</w:t>
      </w:r>
      <w:r w:rsidR="008B2FD0">
        <w:rPr>
          <w:rFonts w:ascii="Times New Roman" w:hAnsi="Times New Roman" w:cs="Times New Roman"/>
          <w:sz w:val="24"/>
          <w:lang w:val="en-US"/>
        </w:rPr>
        <w:t>. S</w:t>
      </w:r>
      <w:r w:rsidR="008B2FD0" w:rsidRPr="008B2FD0">
        <w:rPr>
          <w:rFonts w:ascii="Times New Roman" w:hAnsi="Times New Roman" w:cs="Times New Roman"/>
          <w:sz w:val="24"/>
          <w:lang w:val="en-US"/>
        </w:rPr>
        <w:t xml:space="preserve">ehingga </w:t>
      </w:r>
      <w:r w:rsidR="008B2FD0">
        <w:rPr>
          <w:rFonts w:ascii="Times New Roman" w:hAnsi="Times New Roman" w:cs="Times New Roman"/>
          <w:sz w:val="24"/>
          <w:lang w:val="en-US"/>
        </w:rPr>
        <w:t xml:space="preserve">perusahaan-perusahaan tersebut </w:t>
      </w:r>
      <w:r w:rsidR="008B2FD0" w:rsidRPr="008B2FD0">
        <w:rPr>
          <w:rFonts w:ascii="Times New Roman" w:hAnsi="Times New Roman" w:cs="Times New Roman"/>
          <w:sz w:val="24"/>
          <w:lang w:val="en-US"/>
        </w:rPr>
        <w:t>dapat dianggap mewakili relevansi informasi akuntansi di mata investor</w:t>
      </w:r>
      <w:r w:rsidR="0041013E">
        <w:rPr>
          <w:rFonts w:ascii="Times New Roman" w:hAnsi="Times New Roman" w:cs="Times New Roman"/>
          <w:sz w:val="24"/>
          <w:lang w:val="en-US"/>
        </w:rPr>
        <w:t xml:space="preserve">. </w:t>
      </w:r>
      <w:r w:rsidR="0089480E">
        <w:rPr>
          <w:rFonts w:ascii="Times New Roman" w:hAnsi="Times New Roman" w:cs="Times New Roman"/>
          <w:sz w:val="24"/>
          <w:lang w:val="en-US"/>
        </w:rPr>
        <w:t>Dari 100 perusahaan tersebut, perusahaan yang bergerak di bidang keuangan</w:t>
      </w:r>
      <w:r w:rsidR="00026874">
        <w:rPr>
          <w:rFonts w:ascii="Times New Roman" w:hAnsi="Times New Roman" w:cs="Times New Roman"/>
          <w:sz w:val="24"/>
          <w:lang w:val="en-US"/>
        </w:rPr>
        <w:t>, sebanyak 14 perusahaan,</w:t>
      </w:r>
      <w:r w:rsidR="0089480E">
        <w:rPr>
          <w:rFonts w:ascii="Times New Roman" w:hAnsi="Times New Roman" w:cs="Times New Roman"/>
          <w:sz w:val="24"/>
          <w:lang w:val="en-US"/>
        </w:rPr>
        <w:t xml:space="preserve"> akan dikecualikan karena perusahaan keuangan </w:t>
      </w:r>
      <w:r w:rsidR="00D55CA0">
        <w:rPr>
          <w:rFonts w:ascii="Times New Roman" w:hAnsi="Times New Roman" w:cs="Times New Roman"/>
          <w:sz w:val="24"/>
          <w:lang w:val="en-US"/>
        </w:rPr>
        <w:t xml:space="preserve">seringkali menjadi </w:t>
      </w:r>
      <w:r w:rsidR="00D55CA0" w:rsidRPr="008B7B04">
        <w:rPr>
          <w:rFonts w:ascii="Times New Roman" w:hAnsi="Times New Roman" w:cs="Times New Roman"/>
          <w:i/>
          <w:sz w:val="24"/>
          <w:lang w:val="en-US"/>
        </w:rPr>
        <w:t>net-lessor</w:t>
      </w:r>
      <w:r w:rsidR="00D55CA0">
        <w:rPr>
          <w:rFonts w:ascii="Times New Roman" w:hAnsi="Times New Roman" w:cs="Times New Roman"/>
          <w:sz w:val="24"/>
          <w:lang w:val="en-US"/>
        </w:rPr>
        <w:t xml:space="preserve"> seperti </w:t>
      </w:r>
      <w:r w:rsidR="005C6161">
        <w:rPr>
          <w:rFonts w:ascii="Times New Roman" w:hAnsi="Times New Roman" w:cs="Times New Roman"/>
          <w:sz w:val="24"/>
          <w:lang w:val="en-US"/>
        </w:rPr>
        <w:t xml:space="preserve">yang </w:t>
      </w:r>
      <w:r w:rsidR="008B7B04">
        <w:rPr>
          <w:rFonts w:ascii="Times New Roman" w:hAnsi="Times New Roman" w:cs="Times New Roman"/>
          <w:sz w:val="24"/>
          <w:lang w:val="en-US"/>
        </w:rPr>
        <w:t xml:space="preserve">dilakukan </w:t>
      </w:r>
      <w:r w:rsidR="00D55CA0">
        <w:rPr>
          <w:rFonts w:ascii="Times New Roman" w:hAnsi="Times New Roman" w:cs="Times New Roman"/>
          <w:sz w:val="24"/>
          <w:lang w:val="en-US"/>
        </w:rPr>
        <w:t xml:space="preserve">dalam penelitian </w:t>
      </w:r>
      <w:r w:rsidR="00695D49" w:rsidRPr="00C44850">
        <w:rPr>
          <w:rFonts w:ascii="Times New Roman" w:hAnsi="Times New Roman" w:cs="Times New Roman"/>
          <w:sz w:val="24"/>
          <w:lang w:val="en-US"/>
        </w:rPr>
        <w:t>Branswijc</w:t>
      </w:r>
      <w:r w:rsidR="00695D49">
        <w:rPr>
          <w:rFonts w:ascii="Times New Roman" w:hAnsi="Times New Roman" w:cs="Times New Roman"/>
          <w:sz w:val="24"/>
          <w:lang w:val="en-US"/>
        </w:rPr>
        <w:t>k</w:t>
      </w:r>
      <w:r w:rsidR="00695D49" w:rsidRPr="00C44850">
        <w:rPr>
          <w:rFonts w:ascii="Times New Roman" w:hAnsi="Times New Roman" w:cs="Times New Roman"/>
          <w:sz w:val="24"/>
          <w:lang w:val="en-US"/>
        </w:rPr>
        <w:t xml:space="preserve"> et al</w:t>
      </w:r>
      <w:r w:rsidR="00695D49">
        <w:rPr>
          <w:rFonts w:ascii="Times New Roman" w:hAnsi="Times New Roman" w:cs="Times New Roman"/>
          <w:sz w:val="24"/>
          <w:lang w:val="en-US"/>
        </w:rPr>
        <w:t xml:space="preserve"> </w:t>
      </w:r>
      <w:r w:rsidR="00695D49">
        <w:rPr>
          <w:rFonts w:ascii="Times New Roman" w:hAnsi="Times New Roman" w:cs="Times New Roman"/>
          <w:sz w:val="24"/>
          <w:lang w:val="en-US"/>
        </w:rPr>
        <w:fldChar w:fldCharType="begin" w:fldLock="1"/>
      </w:r>
      <w:r w:rsidR="00695D49">
        <w:rPr>
          <w:rFonts w:ascii="Times New Roman" w:hAnsi="Times New Roman" w:cs="Times New Roman"/>
          <w:sz w:val="24"/>
          <w:lang w:val="en-US"/>
        </w:rPr>
        <w:instrText>ADDIN CSL_CITATION {"citationItems":[{"id":"ITEM-1","itemData":{"ISSN":"1843-8105","abstract":"Prior literature examined the financial impact of capitalizing operating leases by using the constructive lease capitalization method of Imhoff et al. (1991). The empirical evidence of these studies results in the perception that operating leases lead to off-balance financing, improvements of financial ratios and earnings enhancement in the U.K. (e.g. Beattie et al., 1998) and in the U.S.(e.g. Ely, 1995). Therefore, the IASB published in 2010 the exposure draft for the new standard on lease accounting (IAS 17). The most striking change is the elimination of the difference between finance and operating lease. Our study investigates the impact of the proposed adaptation for listed companies in Belgium and the Netherlands for 2008. Our results indicate that debt to equity ratio, return on assets and the current ratio are significantly affected by capitalizing operating leases. Furthermore, the results show that the impact on financial ratios differs among industries.","author":[{"dropping-particle":"","family":"Branswijck","given":"Deborah","non-dropping-particle":"","parse-names":false,"suffix":""},{"dropping-particle":"","family":"Gent","given":"Hogeschool","non-dropping-particle":"","parse-names":false,"suffix":""},{"dropping-particle":"","family":"Everaert","given":"Patricia","non-dropping-particle":"","parse-names":false,"suffix":""}],"container-title":"Accounting and Management Information Systems","id":"ITEM-1","issue":"2","issued":{"date-parts":[["2011"]]},"page":"275-295","title":"The Financial Impact of the Proposed Amendments to IAS 17: Evidence from Belgium and the Netherlands","type":"article-journal","volume":"10"},"suppress-author":1,"uris":["http://www.mendeley.com/documents/?uuid=0eeba46c-3167-4395-a077-0756d73001c9"]}],"mendeley":{"formattedCitation":"(2011)","plainTextFormattedCitation":"(2011)","previouslyFormattedCitation":"(2011)"},"properties":{"noteIndex":0},"schema":"https://github.com/citation-style-language/schema/raw/master/csl-citation.json"}</w:instrText>
      </w:r>
      <w:r w:rsidR="00695D49">
        <w:rPr>
          <w:rFonts w:ascii="Times New Roman" w:hAnsi="Times New Roman" w:cs="Times New Roman"/>
          <w:sz w:val="24"/>
          <w:lang w:val="en-US"/>
        </w:rPr>
        <w:fldChar w:fldCharType="separate"/>
      </w:r>
      <w:r w:rsidR="00695D49" w:rsidRPr="00F94509">
        <w:rPr>
          <w:rFonts w:ascii="Times New Roman" w:hAnsi="Times New Roman" w:cs="Times New Roman"/>
          <w:noProof/>
          <w:sz w:val="24"/>
          <w:lang w:val="en-US"/>
        </w:rPr>
        <w:t>(2011)</w:t>
      </w:r>
      <w:r w:rsidR="00695D49">
        <w:rPr>
          <w:rFonts w:ascii="Times New Roman" w:hAnsi="Times New Roman" w:cs="Times New Roman"/>
          <w:sz w:val="24"/>
          <w:lang w:val="en-US"/>
        </w:rPr>
        <w:fldChar w:fldCharType="end"/>
      </w:r>
      <w:r w:rsidR="00D55CA0" w:rsidRPr="00D55CA0">
        <w:rPr>
          <w:rFonts w:ascii="Times New Roman" w:hAnsi="Times New Roman" w:cs="Times New Roman"/>
          <w:sz w:val="24"/>
          <w:lang w:val="en-US"/>
        </w:rPr>
        <w:t>,</w:t>
      </w:r>
      <w:r w:rsidR="00DB4CE4">
        <w:rPr>
          <w:rFonts w:ascii="Times New Roman" w:hAnsi="Times New Roman" w:cs="Times New Roman"/>
          <w:sz w:val="24"/>
          <w:lang w:val="en-US"/>
        </w:rPr>
        <w:t xml:space="preserve"> </w:t>
      </w:r>
      <w:r w:rsidR="00DB4CE4" w:rsidRPr="00D55CA0">
        <w:rPr>
          <w:rFonts w:ascii="Times New Roman" w:hAnsi="Times New Roman" w:cs="Times New Roman"/>
          <w:sz w:val="24"/>
          <w:lang w:val="en-US"/>
        </w:rPr>
        <w:t xml:space="preserve">Xu, et al </w:t>
      </w:r>
      <w:r w:rsidR="00FF6A80">
        <w:rPr>
          <w:rFonts w:ascii="Times New Roman" w:hAnsi="Times New Roman" w:cs="Times New Roman"/>
          <w:sz w:val="24"/>
          <w:lang w:val="en-US"/>
        </w:rPr>
        <w:fldChar w:fldCharType="begin" w:fldLock="1"/>
      </w:r>
      <w:r w:rsidR="00FF6A80">
        <w:rPr>
          <w:rFonts w:ascii="Times New Roman" w:hAnsi="Times New Roman" w:cs="Times New Roman"/>
          <w:sz w:val="24"/>
          <w:lang w:val="en-US"/>
        </w:rPr>
        <w:instrText>ADDIN CSL_CITATION {"citationItems":[{"id":"ITEM-1","itemData":{"DOI":"10.1108/par-01-2016-0003","ISSN":"0114-0582","abstract":"This study evidences that capitalising operating leases under International Financial Reporting Standard 16/Australian accounting standard Board 16 affects the financial statements and value relevance of financial information in companies.","author":[{"dropping-particle":"","family":"Xu","given":"Wei","non-dropping-particle":"","parse-names":false,"suffix":""},{"dropping-particle":"","family":"Davidson","given":"Robyn Alexandra","non-dropping-particle":"","parse-names":false,"suffix":""},{"dropping-particle":"","family":"Cheong","given":"Chee Seng","non-dropping-particle":"","parse-names":false,"suffix":""}],"container-title":"Pacific Accounting Review","id":"ITEM-1","issue":"1","issued":{"date-parts":[["2017"]]},"page":"34-54","title":"Converting financial statements: operating to capitalised leases","type":"article-journal","volume":"29"},"suppress-author":1,"uris":["http://www.mendeley.com/documents/?uuid=c4ae6b7a-6013-4f44-823f-534210d562c7"]}],"mendeley":{"formattedCitation":"(2017)","plainTextFormattedCitation":"(2017)","previouslyFormattedCitation":"(2017)"},"properties":{"noteIndex":0},"schema":"https://github.com/citation-style-language/schema/raw/master/csl-citation.json"}</w:instrText>
      </w:r>
      <w:r w:rsidR="00FF6A80">
        <w:rPr>
          <w:rFonts w:ascii="Times New Roman" w:hAnsi="Times New Roman" w:cs="Times New Roman"/>
          <w:sz w:val="24"/>
          <w:lang w:val="en-US"/>
        </w:rPr>
        <w:fldChar w:fldCharType="separate"/>
      </w:r>
      <w:r w:rsidR="00FF6A80" w:rsidRPr="00FF6A80">
        <w:rPr>
          <w:rFonts w:ascii="Times New Roman" w:hAnsi="Times New Roman" w:cs="Times New Roman"/>
          <w:noProof/>
          <w:sz w:val="24"/>
          <w:lang w:val="en-US"/>
        </w:rPr>
        <w:t>(2017)</w:t>
      </w:r>
      <w:r w:rsidR="00FF6A80">
        <w:rPr>
          <w:rFonts w:ascii="Times New Roman" w:hAnsi="Times New Roman" w:cs="Times New Roman"/>
          <w:sz w:val="24"/>
          <w:lang w:val="en-US"/>
        </w:rPr>
        <w:fldChar w:fldCharType="end"/>
      </w:r>
      <w:r w:rsidR="00DB4CE4">
        <w:rPr>
          <w:rFonts w:ascii="Times New Roman" w:hAnsi="Times New Roman" w:cs="Times New Roman"/>
          <w:sz w:val="24"/>
          <w:lang w:val="en-US"/>
        </w:rPr>
        <w:t>,</w:t>
      </w:r>
      <w:r w:rsidR="00D55CA0" w:rsidRPr="00D55CA0">
        <w:rPr>
          <w:rFonts w:ascii="Times New Roman" w:hAnsi="Times New Roman" w:cs="Times New Roman"/>
          <w:sz w:val="24"/>
          <w:lang w:val="en-US"/>
        </w:rPr>
        <w:t xml:space="preserve"> </w:t>
      </w:r>
      <w:r w:rsidR="00DB4CE4" w:rsidRPr="00C44850">
        <w:rPr>
          <w:rFonts w:ascii="Times New Roman" w:hAnsi="Times New Roman" w:cs="Times New Roman"/>
          <w:sz w:val="24"/>
          <w:lang w:val="en-US"/>
        </w:rPr>
        <w:t>Kusano</w:t>
      </w:r>
      <w:r w:rsidR="00DB4CE4">
        <w:rPr>
          <w:rFonts w:ascii="Times New Roman" w:hAnsi="Times New Roman" w:cs="Times New Roman"/>
          <w:sz w:val="24"/>
          <w:lang w:val="en-US"/>
        </w:rPr>
        <w:t xml:space="preserve"> </w:t>
      </w:r>
      <w:r w:rsidR="00DB4CE4">
        <w:rPr>
          <w:rFonts w:ascii="Times New Roman" w:hAnsi="Times New Roman" w:cs="Times New Roman"/>
          <w:sz w:val="24"/>
          <w:lang w:val="en-US"/>
        </w:rPr>
        <w:fldChar w:fldCharType="begin" w:fldLock="1"/>
      </w:r>
      <w:r w:rsidR="00DB4CE4">
        <w:rPr>
          <w:rFonts w:ascii="Times New Roman" w:hAnsi="Times New Roman" w:cs="Times New Roman"/>
          <w:sz w:val="24"/>
          <w:lang w:val="en-US"/>
        </w:rPr>
        <w:instrText>ADDIN CSL_CITATION {"citationItems":[{"id":"ITEM-1","itemData":{"DOI":"10.1016/j.intaccaudtax.2017.12.008","ISSN":"10619518","abstract":"The purpose of this study is to examine the effects of constructively capitalizing operating leases on credit ratings in Japan. In particular, this study investigates whether and how a credit rating agency considers operating lease information when determining credit ratings. First, this study shows that constructively capitalized operating leases are associated with credit ratings. Second, this study finds that the associations between operating leases versus finance leases and credit ratings are not substantially different. However, when operating lease disclosures are less reliable, this study finds that operating leases are not associated with credit ratings and that the risk relevance of operating leases is substantially different from that of finance leases. This study reports that the reliability of accounting information has significant effects on the risk relevance of operating leases. These results indicate that a credit rating agency considers operating lease information in determining credit ratings to the extent that this information is reliable. This study contributes to the literature on the usefulness of operating lease disclosures and to the discussions on the global convergence of accounting standards.","author":[{"dropping-particle":"","family":"Kusano","given":"Masaki","non-dropping-particle":"","parse-names":false,"suffix":""}],"container-title":"Journal of International Accounting, Auditing and Taxation","id":"ITEM-1","issued":{"date-parts":[["2018"]]},"page":"45-56","publisher":"Elsevier Inc.","title":"Effect of capitalizing operating leases on credit ratings: Evidence from Japan","type":"article-journal","volume":"30"},"suppress-author":1,"uris":["http://www.mendeley.com/documents/?uuid=dd0a1f58-5ed8-4d40-9325-84b9d8f5a3db"]}],"mendeley":{"formattedCitation":"(2018)","plainTextFormattedCitation":"(2018)","previouslyFormattedCitation":"(2018)"},"properties":{"noteIndex":0},"schema":"https://github.com/citation-style-language/schema/raw/master/csl-citation.json"}</w:instrText>
      </w:r>
      <w:r w:rsidR="00DB4CE4">
        <w:rPr>
          <w:rFonts w:ascii="Times New Roman" w:hAnsi="Times New Roman" w:cs="Times New Roman"/>
          <w:sz w:val="24"/>
          <w:lang w:val="en-US"/>
        </w:rPr>
        <w:fldChar w:fldCharType="separate"/>
      </w:r>
      <w:r w:rsidR="00DB4CE4" w:rsidRPr="00F26A61">
        <w:rPr>
          <w:rFonts w:ascii="Times New Roman" w:hAnsi="Times New Roman" w:cs="Times New Roman"/>
          <w:noProof/>
          <w:sz w:val="24"/>
          <w:lang w:val="en-US"/>
        </w:rPr>
        <w:t>(2018)</w:t>
      </w:r>
      <w:r w:rsidR="00DB4CE4">
        <w:rPr>
          <w:rFonts w:ascii="Times New Roman" w:hAnsi="Times New Roman" w:cs="Times New Roman"/>
          <w:sz w:val="24"/>
          <w:lang w:val="en-US"/>
        </w:rPr>
        <w:fldChar w:fldCharType="end"/>
      </w:r>
      <w:r w:rsidR="00D55CA0" w:rsidRPr="00D55CA0">
        <w:rPr>
          <w:rFonts w:ascii="Times New Roman" w:hAnsi="Times New Roman" w:cs="Times New Roman"/>
          <w:sz w:val="24"/>
          <w:lang w:val="en-US"/>
        </w:rPr>
        <w:t>, dan Giner, et al</w:t>
      </w:r>
      <w:r w:rsidR="00FF6A80">
        <w:rPr>
          <w:rFonts w:ascii="Times New Roman" w:hAnsi="Times New Roman" w:cs="Times New Roman"/>
          <w:sz w:val="24"/>
          <w:lang w:val="en-US"/>
        </w:rPr>
        <w:t xml:space="preserve"> </w:t>
      </w:r>
      <w:r w:rsidR="00FF6A80">
        <w:rPr>
          <w:rFonts w:ascii="Times New Roman" w:hAnsi="Times New Roman" w:cs="Times New Roman"/>
          <w:sz w:val="24"/>
          <w:lang w:val="en-US"/>
        </w:rPr>
        <w:fldChar w:fldCharType="begin" w:fldLock="1"/>
      </w:r>
      <w:r w:rsidR="00865A23">
        <w:rPr>
          <w:rFonts w:ascii="Times New Roman" w:hAnsi="Times New Roman" w:cs="Times New Roman"/>
          <w:sz w:val="24"/>
          <w:lang w:val="en-US"/>
        </w:rPr>
        <w:instrText>ADDIN CSL_CITATION {"citationItems":[{"id":"ITEM-1","itemData":{"DOI":"10.1016/j.jbusres.2018.11.049","ISSN":"01482963","abstract":"The European Commission has recently adopted a new accounting standard for leases that will be implemented in 2019, which requires operating lease contracts to be included in the balance sheet, affecting key ratios, leverage and profitability. We simulate the impact of IFRS 16 using Monte Carlo method, which incorporates the uncertainty of the future value of variables when making predictions. Unlike prior studies based on historical data, our study considers a five-year forecast horizon and, more importantly, contemplates several probable scenarios. Based on the STOXX All Europe 100, our results confirm that, in 2019, liability maturity, liquidity and return on assets will decrease, leverage and return on equity will increase, but the figures do not change substantially after 2019. The results of this dynamic approach are consistent across the five scenarios considered; however, the impact of IFRS 16 is smoothed under the strategy of reducing the life of lease contracts.","author":[{"dropping-particle":"","family":"Giner","given":"Begoña","non-dropping-particle":"","parse-names":false,"suffix":""},{"dropping-particle":"","family":"Merello","given":"Paloma","non-dropping-particle":"","parse-names":false,"suffix":""},{"dropping-particle":"","family":"Pardo","given":"Francisca","non-dropping-particle":"","parse-names":false,"suffix":""}],"container-title":"Journal of Business Research","id":"ITEM-1","issue":"November","issued":{"date-parts":[["2019"]]},"page":"836-845","publisher":"Elsevier","title":"Assessing the impact of operating lease capitalization with dynamic Monte Carlo simulation","type":"article-journal","volume":"101"},"suppress-author":1,"uris":["http://www.mendeley.com/documents/?uuid=7bdab344-3be2-4f9c-a5e7-0c2ba75471b8"]}],"mendeley":{"formattedCitation":"(2019)","plainTextFormattedCitation":"(2019)","previouslyFormattedCitation":"(2019)"},"properties":{"noteIndex":0},"schema":"https://github.com/citation-style-language/schema/raw/master/csl-citation.json"}</w:instrText>
      </w:r>
      <w:r w:rsidR="00FF6A80">
        <w:rPr>
          <w:rFonts w:ascii="Times New Roman" w:hAnsi="Times New Roman" w:cs="Times New Roman"/>
          <w:sz w:val="24"/>
          <w:lang w:val="en-US"/>
        </w:rPr>
        <w:fldChar w:fldCharType="separate"/>
      </w:r>
      <w:r w:rsidR="00FF6A80" w:rsidRPr="00FF6A80">
        <w:rPr>
          <w:rFonts w:ascii="Times New Roman" w:hAnsi="Times New Roman" w:cs="Times New Roman"/>
          <w:noProof/>
          <w:sz w:val="24"/>
          <w:lang w:val="en-US"/>
        </w:rPr>
        <w:t>(2019)</w:t>
      </w:r>
      <w:r w:rsidR="00FF6A80">
        <w:rPr>
          <w:rFonts w:ascii="Times New Roman" w:hAnsi="Times New Roman" w:cs="Times New Roman"/>
          <w:sz w:val="24"/>
          <w:lang w:val="en-US"/>
        </w:rPr>
        <w:fldChar w:fldCharType="end"/>
      </w:r>
      <w:r w:rsidR="00D55CA0">
        <w:rPr>
          <w:rFonts w:ascii="Times New Roman" w:hAnsi="Times New Roman" w:cs="Times New Roman"/>
          <w:sz w:val="24"/>
          <w:lang w:val="en-US"/>
        </w:rPr>
        <w:t xml:space="preserve">. </w:t>
      </w:r>
      <w:r w:rsidR="00301DA0">
        <w:rPr>
          <w:rFonts w:ascii="Times New Roman" w:hAnsi="Times New Roman" w:cs="Times New Roman"/>
          <w:sz w:val="24"/>
          <w:lang w:val="en-US"/>
        </w:rPr>
        <w:t xml:space="preserve">Penulis menggunakan konstituen indeks pada saat penulisan yakni 31 Desember 2020. </w:t>
      </w:r>
    </w:p>
    <w:p w14:paraId="34F99747" w14:textId="24D706A2" w:rsidR="00B9579B" w:rsidRDefault="00ED239D" w:rsidP="005F5B08">
      <w:pPr>
        <w:ind w:firstLine="425"/>
        <w:jc w:val="both"/>
        <w:rPr>
          <w:rFonts w:ascii="Times New Roman" w:hAnsi="Times New Roman" w:cs="Times New Roman"/>
          <w:sz w:val="24"/>
          <w:lang w:val="en-US"/>
        </w:rPr>
      </w:pPr>
      <w:r>
        <w:rPr>
          <w:rFonts w:ascii="Times New Roman" w:hAnsi="Times New Roman" w:cs="Times New Roman"/>
          <w:sz w:val="24"/>
          <w:lang w:val="en-US"/>
        </w:rPr>
        <w:t xml:space="preserve">Penulis akan menggunakan data tiga tahun sebelum penerapan standar, yakni tahun 2016-2018. Sampel untuk tahun 2019 dikecualikan karena fenomena </w:t>
      </w:r>
      <w:r w:rsidRPr="00ED239D">
        <w:rPr>
          <w:rFonts w:ascii="Times New Roman" w:hAnsi="Times New Roman" w:cs="Times New Roman"/>
          <w:sz w:val="24"/>
          <w:lang w:val="en-US"/>
        </w:rPr>
        <w:t>pandemi Covid-19 yang membuat harga saham berubah secara drastis dan dianggap sulit untuk merefleksikan dampak laporan keuangan terhadap harga saham</w:t>
      </w:r>
      <w:r>
        <w:rPr>
          <w:rFonts w:ascii="Times New Roman" w:hAnsi="Times New Roman" w:cs="Times New Roman"/>
          <w:sz w:val="24"/>
          <w:lang w:val="en-US"/>
        </w:rPr>
        <w:t xml:space="preserve">. </w:t>
      </w:r>
      <w:r w:rsidR="00265E4D">
        <w:rPr>
          <w:rFonts w:ascii="Times New Roman" w:hAnsi="Times New Roman" w:cs="Times New Roman"/>
          <w:sz w:val="24"/>
          <w:lang w:val="en-US"/>
        </w:rPr>
        <w:t xml:space="preserve">Kemudian penulis menggunakan </w:t>
      </w:r>
      <w:r w:rsidR="00265E4D" w:rsidRPr="00265E4D">
        <w:rPr>
          <w:rFonts w:ascii="Times New Roman" w:hAnsi="Times New Roman" w:cs="Times New Roman"/>
          <w:sz w:val="24"/>
          <w:lang w:val="en-US"/>
        </w:rPr>
        <w:t xml:space="preserve">tahun pertama penerapan </w:t>
      </w:r>
      <w:r w:rsidR="00265E4D">
        <w:rPr>
          <w:rFonts w:ascii="Times New Roman" w:hAnsi="Times New Roman" w:cs="Times New Roman"/>
          <w:sz w:val="24"/>
          <w:lang w:val="en-US"/>
        </w:rPr>
        <w:t xml:space="preserve">PSAK 73 yakni </w:t>
      </w:r>
      <w:r w:rsidR="00265E4D" w:rsidRPr="00265E4D">
        <w:rPr>
          <w:rFonts w:ascii="Times New Roman" w:hAnsi="Times New Roman" w:cs="Times New Roman"/>
          <w:sz w:val="24"/>
          <w:lang w:val="en-US"/>
        </w:rPr>
        <w:t>tahun buku 2020.</w:t>
      </w:r>
      <w:r w:rsidR="00B9579B">
        <w:rPr>
          <w:rFonts w:ascii="Times New Roman" w:hAnsi="Times New Roman" w:cs="Times New Roman"/>
          <w:sz w:val="24"/>
          <w:lang w:val="en-US"/>
        </w:rPr>
        <w:t xml:space="preserve"> S</w:t>
      </w:r>
      <w:r w:rsidR="00481999">
        <w:rPr>
          <w:rFonts w:ascii="Times New Roman" w:hAnsi="Times New Roman" w:cs="Times New Roman"/>
          <w:sz w:val="24"/>
          <w:lang w:val="en-US"/>
        </w:rPr>
        <w:t>ehingga s</w:t>
      </w:r>
      <w:r w:rsidR="00B9579B">
        <w:rPr>
          <w:rFonts w:ascii="Times New Roman" w:hAnsi="Times New Roman" w:cs="Times New Roman"/>
          <w:sz w:val="24"/>
          <w:lang w:val="en-US"/>
        </w:rPr>
        <w:t xml:space="preserve">ecara keseluruhan penulis mendapatkan </w:t>
      </w:r>
      <w:r w:rsidR="007F009B">
        <w:rPr>
          <w:rFonts w:ascii="Times New Roman" w:hAnsi="Times New Roman" w:cs="Times New Roman"/>
          <w:sz w:val="24"/>
          <w:lang w:val="en-US"/>
        </w:rPr>
        <w:t xml:space="preserve">254 sampel sebelum adopsi dan 86 </w:t>
      </w:r>
      <w:r w:rsidR="00B9579B">
        <w:rPr>
          <w:rFonts w:ascii="Times New Roman" w:hAnsi="Times New Roman" w:cs="Times New Roman"/>
          <w:sz w:val="24"/>
          <w:lang w:val="en-US"/>
        </w:rPr>
        <w:t>sampel</w:t>
      </w:r>
      <w:r w:rsidR="007F009B">
        <w:rPr>
          <w:rFonts w:ascii="Times New Roman" w:hAnsi="Times New Roman" w:cs="Times New Roman"/>
          <w:sz w:val="24"/>
          <w:lang w:val="en-US"/>
        </w:rPr>
        <w:t xml:space="preserve"> setelah adopsi</w:t>
      </w:r>
      <w:r w:rsidR="00B9579B">
        <w:rPr>
          <w:rFonts w:ascii="Times New Roman" w:hAnsi="Times New Roman" w:cs="Times New Roman"/>
          <w:sz w:val="24"/>
          <w:lang w:val="en-US"/>
        </w:rPr>
        <w:t xml:space="preserve">. </w:t>
      </w:r>
    </w:p>
    <w:p w14:paraId="0A1C65F4" w14:textId="0FEE908C" w:rsidR="003925E3" w:rsidRDefault="00BB19BD" w:rsidP="0065533D">
      <w:pPr>
        <w:ind w:firstLine="425"/>
        <w:jc w:val="both"/>
        <w:rPr>
          <w:rFonts w:ascii="Times New Roman" w:hAnsi="Times New Roman" w:cs="Times New Roman"/>
          <w:sz w:val="24"/>
          <w:lang w:val="en-US"/>
        </w:rPr>
      </w:pPr>
      <w:r>
        <w:rPr>
          <w:rFonts w:ascii="Times New Roman" w:hAnsi="Times New Roman" w:cs="Times New Roman"/>
          <w:sz w:val="24"/>
          <w:lang w:val="en-US"/>
        </w:rPr>
        <w:t xml:space="preserve">Data harga saham yang akan dipakai adalah data per tanggal </w:t>
      </w:r>
      <w:r w:rsidR="00E92E76">
        <w:rPr>
          <w:rFonts w:ascii="Times New Roman" w:hAnsi="Times New Roman" w:cs="Times New Roman"/>
          <w:sz w:val="24"/>
          <w:lang w:val="en-US"/>
        </w:rPr>
        <w:t xml:space="preserve">tenggat waktu pelaporan, yakni tanggal 31 Maret tahun berikutnya, </w:t>
      </w:r>
      <w:r w:rsidR="002E2BA1">
        <w:rPr>
          <w:rFonts w:ascii="Times New Roman" w:hAnsi="Times New Roman" w:cs="Times New Roman"/>
          <w:sz w:val="24"/>
          <w:lang w:val="en-US"/>
        </w:rPr>
        <w:t xml:space="preserve">karena </w:t>
      </w:r>
      <w:r w:rsidR="002E2BA1" w:rsidRPr="002E2BA1">
        <w:rPr>
          <w:rFonts w:ascii="Times New Roman" w:hAnsi="Times New Roman" w:cs="Times New Roman"/>
          <w:sz w:val="24"/>
          <w:lang w:val="en-US"/>
        </w:rPr>
        <w:t>dianggap terdapat waktu jeda dari informasi yang disediakan hingga pengambilan keputusan, dan perusahaan terbuka diwajibkan untuk melaporkan laporan keuangannya dalam waktu 90 hari (atau tiga bulan) dari tanggal tutup buku</w:t>
      </w:r>
      <w:r w:rsidR="000E6616">
        <w:rPr>
          <w:rFonts w:ascii="Times New Roman" w:hAnsi="Times New Roman" w:cs="Times New Roman"/>
          <w:sz w:val="24"/>
          <w:lang w:val="en-US"/>
        </w:rPr>
        <w:t xml:space="preserve">. Metode ini </w:t>
      </w:r>
      <w:r w:rsidR="002E2BA1">
        <w:rPr>
          <w:rFonts w:ascii="Times New Roman" w:hAnsi="Times New Roman" w:cs="Times New Roman"/>
          <w:sz w:val="24"/>
          <w:lang w:val="en-US"/>
        </w:rPr>
        <w:t xml:space="preserve">digunakan oleh </w:t>
      </w:r>
      <w:r w:rsidR="00E92E76">
        <w:rPr>
          <w:rFonts w:ascii="Times New Roman" w:hAnsi="Times New Roman" w:cs="Times New Roman"/>
          <w:sz w:val="24"/>
          <w:lang w:val="en-US"/>
        </w:rPr>
        <w:t xml:space="preserve"> </w:t>
      </w:r>
      <w:r w:rsidR="002E2BA1" w:rsidRPr="002E2BA1">
        <w:rPr>
          <w:rFonts w:ascii="Times New Roman" w:hAnsi="Times New Roman" w:cs="Times New Roman"/>
          <w:sz w:val="24"/>
          <w:lang w:val="en-US"/>
        </w:rPr>
        <w:t xml:space="preserve">Oliviera </w:t>
      </w:r>
      <w:r w:rsidR="00865A23">
        <w:rPr>
          <w:rFonts w:ascii="Times New Roman" w:hAnsi="Times New Roman" w:cs="Times New Roman"/>
          <w:sz w:val="24"/>
          <w:lang w:val="en-US"/>
        </w:rPr>
        <w:fldChar w:fldCharType="begin" w:fldLock="1"/>
      </w:r>
      <w:r w:rsidR="00865A23">
        <w:rPr>
          <w:rFonts w:ascii="Times New Roman" w:hAnsi="Times New Roman" w:cs="Times New Roman"/>
          <w:sz w:val="24"/>
          <w:lang w:val="en-US"/>
        </w:rPr>
        <w:instrText>ADDIN CSL_CITATION {"citationItems":[{"id":"ITEM-1","itemData":{"DOI":"10.1016/j.bar.2010.08.001","ISSN":"08908389","abstract":"We assess the value relevance of the amounts for identifiable intangible assets and goodwill reported in the financial statements of all non-finance companies listed on the main market of the Portuguese Stock Exchange from 1998 to 2008. Additionally, we use panel data to explore the impact on value relevance of Portugal's formal adoption of International Accounting Standards [IAS] and International Financial Reporting Standards [IFRS] in 2005. A distinctive feature of the accounting by our sample companies is that when they adopted IAS 38 and IFRS 3 in 2005, they were no longer required to recognise some intangible assets (such as start-up costs and research expenditures) and were no longer required to amortise goodwill.We find that net earnings, reported goodwill and other intangible assets are highly significantly associated with stock price. However, whereas earnings are related positively to stock prices when Portuguese Generally Accepted Accounting Principles (GAAP) were applied prior to 2005, the value relevance of earnings appears to have declined after the adoption of IAS/IFRS in 2005. Although the change to IAS/IFRS had no impact on the value relevance of identifiable intangibles as a whole, the evidence suggests that there was a positive effect on the value relevance of goodwill. When the subclasses of identifiable intangible assets are considered, we found evidence of an increase in value relevance of goodwill, other intangible assets, and research and development expenditures. © 2010 Elsevier Ltd.","author":[{"dropping-particle":"","family":"Oliveira","given":"Lídia","non-dropping-particle":"","parse-names":false,"suffix":""},{"dropping-particle":"","family":"Rodrigues","given":"Lúcia Lima","non-dropping-particle":"","parse-names":false,"suffix":""},{"dropping-particle":"","family":"Craig","given":"Russell","non-dropping-particle":"","parse-names":false,"suffix":""}],"container-title":"British Accounting Review","id":"ITEM-1","issue":"4","issued":{"date-parts":[["2010"]]},"page":"241-252","publisher":"Elsevier Ltd","title":"Intangible assets and value relevance: Evidence from the Portuguese stock exchange","type":"article-journal","volume":"42"},"suppress-author":1,"uris":["http://www.mendeley.com/documents/?uuid=e0122d25-9f2a-4b01-8097-ca348399941e"]}],"mendeley":{"formattedCitation":"(2010)","plainTextFormattedCitation":"(2010)","previouslyFormattedCitation":"(2010)"},"properties":{"noteIndex":0},"schema":"https://github.com/citation-style-language/schema/raw/master/csl-citation.json"}</w:instrText>
      </w:r>
      <w:r w:rsidR="00865A23">
        <w:rPr>
          <w:rFonts w:ascii="Times New Roman" w:hAnsi="Times New Roman" w:cs="Times New Roman"/>
          <w:sz w:val="24"/>
          <w:lang w:val="en-US"/>
        </w:rPr>
        <w:fldChar w:fldCharType="separate"/>
      </w:r>
      <w:r w:rsidR="00865A23" w:rsidRPr="00865A23">
        <w:rPr>
          <w:rFonts w:ascii="Times New Roman" w:hAnsi="Times New Roman" w:cs="Times New Roman"/>
          <w:noProof/>
          <w:sz w:val="24"/>
          <w:lang w:val="en-US"/>
        </w:rPr>
        <w:t>(2010)</w:t>
      </w:r>
      <w:r w:rsidR="00865A23">
        <w:rPr>
          <w:rFonts w:ascii="Times New Roman" w:hAnsi="Times New Roman" w:cs="Times New Roman"/>
          <w:sz w:val="24"/>
          <w:lang w:val="en-US"/>
        </w:rPr>
        <w:fldChar w:fldCharType="end"/>
      </w:r>
      <w:r w:rsidR="002E2BA1" w:rsidRPr="002E2BA1">
        <w:rPr>
          <w:rFonts w:ascii="Times New Roman" w:hAnsi="Times New Roman" w:cs="Times New Roman"/>
          <w:sz w:val="24"/>
          <w:lang w:val="en-US"/>
        </w:rPr>
        <w:t>, Alali &amp; Foote</w:t>
      </w:r>
      <w:r w:rsidR="00865A23">
        <w:rPr>
          <w:rFonts w:ascii="Times New Roman" w:hAnsi="Times New Roman" w:cs="Times New Roman"/>
          <w:sz w:val="24"/>
          <w:lang w:val="en-US"/>
        </w:rPr>
        <w:t xml:space="preserve"> </w:t>
      </w:r>
      <w:r w:rsidR="00865A23">
        <w:rPr>
          <w:rFonts w:ascii="Times New Roman" w:hAnsi="Times New Roman" w:cs="Times New Roman"/>
          <w:sz w:val="24"/>
          <w:lang w:val="en-US"/>
        </w:rPr>
        <w:fldChar w:fldCharType="begin" w:fldLock="1"/>
      </w:r>
      <w:r w:rsidR="00865A23">
        <w:rPr>
          <w:rFonts w:ascii="Times New Roman" w:hAnsi="Times New Roman" w:cs="Times New Roman"/>
          <w:sz w:val="24"/>
          <w:lang w:val="en-US"/>
        </w:rPr>
        <w:instrText>ADDIN CSL_CITATION {"citationItems":[{"id":"ITEM-1","itemData":{"DOI":"10.1016/j.intacc.2011.12.005","ISSN":"00207063","abstract":"This study examines the value relevance of accounting information under International Financial Reporting Standards (IFRS) in the Abu Dhabi Stock Exchange (ADX, henceforth). Based on models developed by Easton and Harris (1991), and Ohlson (1995) and using monthly market data from 2000 to 2006, this paper investigates the value relevance of accounting information of firms traded on the ADX. Our overall results show that earnings scaled by beginning of period price are positively and significantly related to cumulative returns and that earnings per share and book value per share are positively and significantly related to price per share. We also find that value relevance of accounting information has changed since the market inception in 2000. The results documented herein extend the literature on value relevance accounting information in an emerging market that requires the use of IFRS. The study therefore contributes to the debate over the mandatory adoption of IFRS and the value relevance of accounting information reported under IFRS. © 2011 University of Illinois.","author":[{"dropping-particle":"","family":"Alali","given":"Fatima A.","non-dropping-particle":"","parse-names":false,"suffix":""},{"dropping-particle":"","family":"Foote","given":"Paul Sheldon","non-dropping-particle":"","parse-names":false,"suffix":""}],"container-title":"International Journal of Accounting","id":"ITEM-1","issue":"1","issued":{"date-parts":[["2012"]]},"page":"85-108","publisher":"University of Illinois","title":"The Value Relevance of International Financial Reporting Standards: Empirical Evidence in an Emerging Market","type":"article-journal","volume":"47"},"suppress-author":1,"uris":["http://www.mendeley.com/documents/?uuid=8aa0cd25-5955-4a7d-a73b-8b455e9383f0"]}],"mendeley":{"formattedCitation":"(2012)","plainTextFormattedCitation":"(2012)","previouslyFormattedCitation":"(2012)"},"properties":{"noteIndex":0},"schema":"https://github.com/citation-style-language/schema/raw/master/csl-citation.json"}</w:instrText>
      </w:r>
      <w:r w:rsidR="00865A23">
        <w:rPr>
          <w:rFonts w:ascii="Times New Roman" w:hAnsi="Times New Roman" w:cs="Times New Roman"/>
          <w:sz w:val="24"/>
          <w:lang w:val="en-US"/>
        </w:rPr>
        <w:fldChar w:fldCharType="separate"/>
      </w:r>
      <w:r w:rsidR="00865A23" w:rsidRPr="00865A23">
        <w:rPr>
          <w:rFonts w:ascii="Times New Roman" w:hAnsi="Times New Roman" w:cs="Times New Roman"/>
          <w:noProof/>
          <w:sz w:val="24"/>
          <w:lang w:val="en-US"/>
        </w:rPr>
        <w:t>(2012)</w:t>
      </w:r>
      <w:r w:rsidR="00865A23">
        <w:rPr>
          <w:rFonts w:ascii="Times New Roman" w:hAnsi="Times New Roman" w:cs="Times New Roman"/>
          <w:sz w:val="24"/>
          <w:lang w:val="en-US"/>
        </w:rPr>
        <w:fldChar w:fldCharType="end"/>
      </w:r>
      <w:r w:rsidR="002E2BA1" w:rsidRPr="002E2BA1">
        <w:rPr>
          <w:rFonts w:ascii="Times New Roman" w:hAnsi="Times New Roman" w:cs="Times New Roman"/>
          <w:sz w:val="24"/>
          <w:lang w:val="en-US"/>
        </w:rPr>
        <w:t>, Cheb</w:t>
      </w:r>
      <w:r w:rsidR="00865A23">
        <w:rPr>
          <w:rFonts w:ascii="Times New Roman" w:hAnsi="Times New Roman" w:cs="Times New Roman"/>
          <w:sz w:val="24"/>
          <w:lang w:val="en-US"/>
        </w:rPr>
        <w:t>a</w:t>
      </w:r>
      <w:r w:rsidR="002E2BA1" w:rsidRPr="002E2BA1">
        <w:rPr>
          <w:rFonts w:ascii="Times New Roman" w:hAnsi="Times New Roman" w:cs="Times New Roman"/>
          <w:sz w:val="24"/>
          <w:lang w:val="en-US"/>
        </w:rPr>
        <w:t>ane &amp; Othman</w:t>
      </w:r>
      <w:r w:rsidR="00865A23">
        <w:rPr>
          <w:rFonts w:ascii="Times New Roman" w:hAnsi="Times New Roman" w:cs="Times New Roman"/>
          <w:sz w:val="24"/>
          <w:lang w:val="en-US"/>
        </w:rPr>
        <w:t xml:space="preserve"> </w:t>
      </w:r>
      <w:r w:rsidR="00865A23">
        <w:rPr>
          <w:rFonts w:ascii="Times New Roman" w:hAnsi="Times New Roman" w:cs="Times New Roman"/>
          <w:sz w:val="24"/>
          <w:lang w:val="en-US"/>
        </w:rPr>
        <w:fldChar w:fldCharType="begin" w:fldLock="1"/>
      </w:r>
      <w:r w:rsidR="005046F8">
        <w:rPr>
          <w:rFonts w:ascii="Times New Roman" w:hAnsi="Times New Roman" w:cs="Times New Roman"/>
          <w:sz w:val="24"/>
          <w:lang w:val="en-US"/>
        </w:rPr>
        <w:instrText>ADDIN CSL_CITATION {"citationItems":[{"id":"ITEM-1","itemData":{"DOI":"10.1016/j.sbspro.2014.06.012","ISSN":"18770428","abstract":"The purpose of this study is to examine the effect of mandatory adoption of International Financial Reporting Standards on the value relevance of earnings and the book value of equity. The evidence derived from the study suggested that despite the strength in the overall explanatory power of the model during the two periods, the role of EPS became observable in the post-adoption period. By conducting further analysis, the results highlighted that the increase of the value level are positively influenced by a common law legal system, a high level of external economic openness, a strong investor protection, a full protection of minority shareholders and by a sophisticated capital market.","author":[{"dropping-particle":"","family":"Chebaane","given":"Sawcen","non-dropping-particle":"","parse-names":false,"suffix":""},{"dropping-particle":"Ben","family":"Othman","given":"Hakim","non-dropping-particle":"","parse-names":false,"suffix":""}],"container-title":"Procedia - Social and Behavioral Sciences","id":"ITEM-1","issued":{"date-parts":[["2014"]]},"page":"70-80","publisher":"Elsevier B.V.","title":"The Impact of IFRS Adoption on Value Relevance of Earnings and Book Value of Equity: The Case of Emerging Markets in African and Asian Regions","type":"article-journal","volume":"145"},"suppress-author":1,"uris":["http://www.mendeley.com/documents/?uuid=39d70d97-d43e-49ef-a4f8-be8bcd4b4373"]}],"mendeley":{"formattedCitation":"(2014)","plainTextFormattedCitation":"(2014)","previouslyFormattedCitation":"(2014)"},"properties":{"noteIndex":0},"schema":"https://github.com/citation-style-language/schema/raw/master/csl-citation.json"}</w:instrText>
      </w:r>
      <w:r w:rsidR="00865A23">
        <w:rPr>
          <w:rFonts w:ascii="Times New Roman" w:hAnsi="Times New Roman" w:cs="Times New Roman"/>
          <w:sz w:val="24"/>
          <w:lang w:val="en-US"/>
        </w:rPr>
        <w:fldChar w:fldCharType="separate"/>
      </w:r>
      <w:r w:rsidR="00865A23" w:rsidRPr="00865A23">
        <w:rPr>
          <w:rFonts w:ascii="Times New Roman" w:hAnsi="Times New Roman" w:cs="Times New Roman"/>
          <w:noProof/>
          <w:sz w:val="24"/>
          <w:lang w:val="en-US"/>
        </w:rPr>
        <w:t>(2014)</w:t>
      </w:r>
      <w:r w:rsidR="00865A23">
        <w:rPr>
          <w:rFonts w:ascii="Times New Roman" w:hAnsi="Times New Roman" w:cs="Times New Roman"/>
          <w:sz w:val="24"/>
          <w:lang w:val="en-US"/>
        </w:rPr>
        <w:fldChar w:fldCharType="end"/>
      </w:r>
      <w:r w:rsidR="002E2BA1" w:rsidRPr="002E2BA1">
        <w:rPr>
          <w:rFonts w:ascii="Times New Roman" w:hAnsi="Times New Roman" w:cs="Times New Roman"/>
          <w:sz w:val="24"/>
          <w:lang w:val="en-US"/>
        </w:rPr>
        <w:t xml:space="preserve">, dan </w:t>
      </w:r>
      <w:r w:rsidR="0065533D" w:rsidRPr="00E36D95">
        <w:rPr>
          <w:rFonts w:ascii="Times New Roman" w:hAnsi="Times New Roman" w:cs="Times New Roman"/>
          <w:sz w:val="24"/>
          <w:szCs w:val="24"/>
          <w:lang w:val="en-US"/>
        </w:rPr>
        <w:t xml:space="preserve">Omokhudu &amp; Ibadin </w:t>
      </w:r>
      <w:r w:rsidR="0065533D">
        <w:rPr>
          <w:rFonts w:ascii="Times New Roman" w:hAnsi="Times New Roman" w:cs="Times New Roman"/>
          <w:sz w:val="24"/>
          <w:szCs w:val="24"/>
          <w:lang w:val="en-US"/>
        </w:rPr>
        <w:fldChar w:fldCharType="begin" w:fldLock="1"/>
      </w:r>
      <w:r w:rsidR="0065533D">
        <w:rPr>
          <w:rFonts w:ascii="Times New Roman" w:hAnsi="Times New Roman" w:cs="Times New Roman"/>
          <w:sz w:val="24"/>
          <w:szCs w:val="24"/>
          <w:lang w:val="en-US"/>
        </w:rPr>
        <w:instrText>ADDIN CSL_CITATION {"citationItems":[{"id":"ITEM-1","itemData":{"DOI":"10.5430/afr.v4n3p20","ISSN":"1927-5986","abstract":"Value relevance of accounting information addresses the degree to which accounting information summarizes the information that is impounded in share prices. Therefore, the purpose of this paper is to contribute to the empirical literature on value relevance by examining the extent to which accounting information is associated with firm value, from an emerging market context. The paper uses the basic Ohlson (1995) model and the modification of the model that includes cash flow from operation, and dividends, to ascertain the value relevance of accounting information in Nigeria. The paper accommodates the documented relative inefficiency of the market by using stock price at three months and six months after year end as dependent variable. The study employs a pooled and panel data in the regression of share price and returns on accounting numbers. The ordinary least square (OLS) estimation and dynamic model estimation, with the Random and Fixed effects variants were used in the regression. We find that earnings, cash flow and dividends were statistically significantly associated with firm value but book value was related but not statistically significant. Based on these findings, it is suggested that the focus of investors should be on earnings, dividends","author":[{"dropping-particle":"","family":"Omokhudu","given":"Okuns Omokhoje","non-dropping-particle":"","parse-names":false,"suffix":""},{"dropping-particle":"","family":"Ibadin","given":"Peter Okoeguale","non-dropping-particle":"","parse-names":false,"suffix":""}],"container-title":"Accounting and Finance Research","id":"ITEM-1","issue":"3","issued":{"date-parts":[["2015"]]},"page":"20-30","title":"The Value Relevance of Accounting Information: Evidence from Nigeria","type":"article-journal","volume":"4"},"suppress-author":1,"uris":["http://www.mendeley.com/documents/?uuid=1847b664-55c1-4ebd-802e-5936c5cc9178"]}],"mendeley":{"formattedCitation":"(2015)","plainTextFormattedCitation":"(2015)","previouslyFormattedCitation":"(2015)"},"properties":{"noteIndex":0},"schema":"https://github.com/citation-style-language/schema/raw/master/csl-citation.json"}</w:instrText>
      </w:r>
      <w:r w:rsidR="0065533D">
        <w:rPr>
          <w:rFonts w:ascii="Times New Roman" w:hAnsi="Times New Roman" w:cs="Times New Roman"/>
          <w:sz w:val="24"/>
          <w:szCs w:val="24"/>
          <w:lang w:val="en-US"/>
        </w:rPr>
        <w:fldChar w:fldCharType="separate"/>
      </w:r>
      <w:r w:rsidR="0065533D" w:rsidRPr="005D4B5A">
        <w:rPr>
          <w:rFonts w:ascii="Times New Roman" w:hAnsi="Times New Roman" w:cs="Times New Roman"/>
          <w:noProof/>
          <w:sz w:val="24"/>
          <w:szCs w:val="24"/>
          <w:lang w:val="en-US"/>
        </w:rPr>
        <w:t>(2015)</w:t>
      </w:r>
      <w:r w:rsidR="0065533D">
        <w:rPr>
          <w:rFonts w:ascii="Times New Roman" w:hAnsi="Times New Roman" w:cs="Times New Roman"/>
          <w:sz w:val="24"/>
          <w:szCs w:val="24"/>
          <w:lang w:val="en-US"/>
        </w:rPr>
        <w:fldChar w:fldCharType="end"/>
      </w:r>
      <w:r w:rsidR="002E2BA1">
        <w:rPr>
          <w:rFonts w:ascii="Times New Roman" w:hAnsi="Times New Roman" w:cs="Times New Roman"/>
          <w:sz w:val="24"/>
          <w:lang w:val="en-US"/>
        </w:rPr>
        <w:t xml:space="preserve">. </w:t>
      </w:r>
    </w:p>
    <w:p w14:paraId="4E2C00BB" w14:textId="77777777" w:rsidR="00AE0EC3" w:rsidRDefault="00AE0EC3" w:rsidP="0065533D">
      <w:pPr>
        <w:ind w:firstLine="425"/>
        <w:jc w:val="both"/>
        <w:rPr>
          <w:rFonts w:ascii="Times New Roman" w:hAnsi="Times New Roman" w:cs="Times New Roman"/>
          <w:sz w:val="24"/>
          <w:lang w:val="en-US"/>
        </w:rPr>
      </w:pPr>
    </w:p>
    <w:p w14:paraId="33B93C37" w14:textId="77777777" w:rsidR="0065533D" w:rsidRDefault="0065533D" w:rsidP="0065533D">
      <w:pPr>
        <w:ind w:firstLine="425"/>
        <w:jc w:val="both"/>
        <w:rPr>
          <w:rFonts w:ascii="Times New Roman" w:eastAsia="MS Mincho" w:hAnsi="Times New Roman" w:cs="Times New Roman"/>
          <w:b/>
          <w:sz w:val="24"/>
          <w:szCs w:val="24"/>
          <w:lang w:eastAsia="ja-JP"/>
        </w:rPr>
      </w:pPr>
    </w:p>
    <w:p w14:paraId="713A4C53" w14:textId="77777777" w:rsidR="00E74AED" w:rsidRDefault="00E74AED" w:rsidP="00E74AED">
      <w:pPr>
        <w:pStyle w:val="NormalWeb"/>
        <w:spacing w:before="0" w:beforeAutospacing="0" w:after="0" w:afterAutospacing="0"/>
        <w:jc w:val="both"/>
        <w:rPr>
          <w:b/>
          <w:lang w:val="id-ID"/>
        </w:rPr>
      </w:pPr>
      <w:r w:rsidRPr="00EA0121">
        <w:rPr>
          <w:b/>
          <w:lang w:val="id-ID"/>
        </w:rPr>
        <w:t>HASIL DAN PEMBAHASAN</w:t>
      </w:r>
    </w:p>
    <w:p w14:paraId="648EF6C6" w14:textId="77777777" w:rsidR="00E74AED" w:rsidRDefault="00E74AED" w:rsidP="00E74AED">
      <w:pPr>
        <w:pStyle w:val="NormalWeb"/>
        <w:spacing w:before="0" w:beforeAutospacing="0" w:after="0" w:afterAutospacing="0"/>
        <w:jc w:val="both"/>
        <w:rPr>
          <w:b/>
          <w:lang w:val="id-ID"/>
        </w:rPr>
      </w:pPr>
    </w:p>
    <w:p w14:paraId="5B9DF60D" w14:textId="77777777" w:rsidR="00E74AED" w:rsidRPr="007E3848" w:rsidRDefault="00E74AED" w:rsidP="00E74AED">
      <w:pPr>
        <w:pStyle w:val="NormalWeb"/>
        <w:spacing w:before="0" w:beforeAutospacing="0" w:after="0" w:afterAutospacing="0"/>
        <w:jc w:val="both"/>
        <w:rPr>
          <w:b/>
        </w:rPr>
      </w:pPr>
      <w:r>
        <w:rPr>
          <w:b/>
        </w:rPr>
        <w:t>Deskripsi Data</w:t>
      </w:r>
    </w:p>
    <w:p w14:paraId="3A0CC0DF" w14:textId="11BC8C5D" w:rsidR="000E3FC9" w:rsidRDefault="00E74AED" w:rsidP="006B48BA">
      <w:pPr>
        <w:pStyle w:val="NormalWeb"/>
        <w:spacing w:before="0" w:beforeAutospacing="0" w:after="0" w:afterAutospacing="0"/>
        <w:jc w:val="both"/>
      </w:pPr>
      <w:r w:rsidRPr="006A57CC">
        <w:t xml:space="preserve">Tabel 1 menunjukkan deskripsi data dari sampel yang diambil. Dari rata-rata, perusahaan mempunyai peningkatan </w:t>
      </w:r>
      <w:r>
        <w:t xml:space="preserve">cukup signifikan </w:t>
      </w:r>
      <w:r w:rsidRPr="006A57CC">
        <w:t>di dalam aset sewa (</w:t>
      </w:r>
      <w:r w:rsidRPr="0085196B">
        <w:t>LA</w:t>
      </w:r>
      <w:r w:rsidRPr="006A57CC">
        <w:t>) dan liabilitas sewa (</w:t>
      </w:r>
      <w:r w:rsidRPr="0085196B">
        <w:t>LL</w:t>
      </w:r>
      <w:r w:rsidRPr="006A57CC">
        <w:t>)</w:t>
      </w:r>
      <w:r>
        <w:t xml:space="preserve"> setelah implementasi PSAK 73 di tahun 2020</w:t>
      </w:r>
      <w:r w:rsidRPr="006A57CC">
        <w:t xml:space="preserve">. </w:t>
      </w:r>
      <w:r>
        <w:t xml:space="preserve">Hal yang sama juga terlihat dalam akun depresiasi (DA) dan beban bunga (INT) di mana peningkatan terjadi setelah implementasi. </w:t>
      </w:r>
    </w:p>
    <w:p w14:paraId="7DD1AE32" w14:textId="77777777" w:rsidR="00B81536" w:rsidRPr="00D15407" w:rsidRDefault="00B81536" w:rsidP="00B81536">
      <w:pPr>
        <w:ind w:firstLine="425"/>
        <w:jc w:val="both"/>
        <w:rPr>
          <w:rFonts w:ascii="Times New Roman" w:hAnsi="Times New Roman" w:cs="Times New Roman"/>
          <w:sz w:val="24"/>
          <w:lang w:val="en-US"/>
        </w:rPr>
      </w:pPr>
      <w:r>
        <w:rPr>
          <w:rFonts w:ascii="Times New Roman" w:hAnsi="Times New Roman" w:cs="Times New Roman"/>
          <w:sz w:val="24"/>
          <w:lang w:val="en-US"/>
        </w:rPr>
        <w:t xml:space="preserve">Dilihat dari rata-rata persentase aset sewa terhadap total aset (LA/TA) dan liabilitas sewa terhadap total liabilitas (LL/TL), persentase aset dan liabilitas sewa meningkat setelah implementasi PSAK 73. Hal ini mengindikasikan bahwa PSAK 73 telah dapat mengungkapkan transaksi-transaksi sewa yang sebelumnya tidak tercatat dalam PSAK 30.  </w:t>
      </w:r>
    </w:p>
    <w:p w14:paraId="09618901" w14:textId="77777777" w:rsidR="00B81536" w:rsidRPr="006B48BA" w:rsidRDefault="00B81536" w:rsidP="006B48BA">
      <w:pPr>
        <w:pStyle w:val="NormalWeb"/>
        <w:spacing w:before="0" w:beforeAutospacing="0" w:after="0" w:afterAutospacing="0"/>
        <w:jc w:val="both"/>
      </w:pPr>
    </w:p>
    <w:p w14:paraId="32A63122" w14:textId="77777777" w:rsidR="00E74AED" w:rsidRDefault="00E74AED" w:rsidP="00E74AED">
      <w:pPr>
        <w:pStyle w:val="NormalWeb"/>
        <w:spacing w:before="0" w:beforeAutospacing="0" w:after="0" w:afterAutospacing="0"/>
        <w:jc w:val="both"/>
        <w:rPr>
          <w:b/>
        </w:rPr>
      </w:pPr>
    </w:p>
    <w:tbl>
      <w:tblPr>
        <w:tblStyle w:val="TableGrid"/>
        <w:tblW w:w="0" w:type="auto"/>
        <w:jc w:val="center"/>
        <w:tblLook w:val="04A0" w:firstRow="1" w:lastRow="0" w:firstColumn="1" w:lastColumn="0" w:noHBand="0" w:noVBand="1"/>
      </w:tblPr>
      <w:tblGrid>
        <w:gridCol w:w="1614"/>
        <w:gridCol w:w="1207"/>
        <w:gridCol w:w="1073"/>
      </w:tblGrid>
      <w:tr w:rsidR="00E74AED" w:rsidRPr="00516149" w14:paraId="174CCB91" w14:textId="77777777" w:rsidTr="007C5203">
        <w:trPr>
          <w:trHeight w:val="300"/>
          <w:jc w:val="center"/>
        </w:trPr>
        <w:tc>
          <w:tcPr>
            <w:tcW w:w="3894" w:type="dxa"/>
            <w:gridSpan w:val="3"/>
            <w:noWrap/>
            <w:hideMark/>
          </w:tcPr>
          <w:p w14:paraId="165007ED" w14:textId="77777777" w:rsidR="00E74AED" w:rsidRPr="00516149" w:rsidRDefault="00E74AED" w:rsidP="007C5203">
            <w:pPr>
              <w:jc w:val="center"/>
              <w:rPr>
                <w:rFonts w:ascii="Times New Roman" w:hAnsi="Times New Roman" w:cs="Times New Roman"/>
                <w:b/>
                <w:bCs/>
                <w:sz w:val="18"/>
                <w:lang w:val="en-US"/>
              </w:rPr>
            </w:pPr>
            <w:r w:rsidRPr="00516149">
              <w:rPr>
                <w:rFonts w:ascii="Times New Roman" w:hAnsi="Times New Roman" w:cs="Times New Roman"/>
                <w:b/>
                <w:sz w:val="18"/>
                <w:lang w:val="en-US"/>
              </w:rPr>
              <w:t xml:space="preserve">Tabel </w:t>
            </w:r>
            <w:proofErr w:type="gramStart"/>
            <w:r w:rsidRPr="00516149">
              <w:rPr>
                <w:rFonts w:ascii="Times New Roman" w:hAnsi="Times New Roman" w:cs="Times New Roman"/>
                <w:b/>
                <w:sz w:val="18"/>
                <w:lang w:val="en-US"/>
              </w:rPr>
              <w:t>1 :</w:t>
            </w:r>
            <w:proofErr w:type="gramEnd"/>
            <w:r w:rsidRPr="00516149">
              <w:rPr>
                <w:rFonts w:ascii="Times New Roman" w:hAnsi="Times New Roman" w:cs="Times New Roman"/>
                <w:b/>
                <w:sz w:val="18"/>
                <w:lang w:val="en-US"/>
              </w:rPr>
              <w:t xml:space="preserve"> Deskripsi </w:t>
            </w:r>
            <w:r w:rsidRPr="00516149">
              <w:rPr>
                <w:rFonts w:ascii="Times New Roman" w:hAnsi="Times New Roman" w:cs="Times New Roman"/>
                <w:b/>
                <w:bCs/>
                <w:sz w:val="18"/>
                <w:lang w:val="en-US"/>
              </w:rPr>
              <w:t>Rata-Rata Data</w:t>
            </w:r>
          </w:p>
        </w:tc>
      </w:tr>
      <w:tr w:rsidR="00E74AED" w:rsidRPr="00516149" w14:paraId="079021DD" w14:textId="77777777" w:rsidTr="007C5203">
        <w:trPr>
          <w:trHeight w:val="300"/>
          <w:jc w:val="center"/>
        </w:trPr>
        <w:tc>
          <w:tcPr>
            <w:tcW w:w="1614" w:type="dxa"/>
            <w:noWrap/>
            <w:hideMark/>
          </w:tcPr>
          <w:p w14:paraId="782A438D" w14:textId="77777777" w:rsidR="00E74AED" w:rsidRPr="00516149" w:rsidRDefault="00E74AED" w:rsidP="007C5203">
            <w:pPr>
              <w:jc w:val="center"/>
              <w:rPr>
                <w:rFonts w:ascii="Times New Roman" w:hAnsi="Times New Roman" w:cs="Times New Roman"/>
                <w:b/>
                <w:bCs/>
                <w:sz w:val="18"/>
                <w:lang w:val="en-US"/>
              </w:rPr>
            </w:pPr>
            <w:r w:rsidRPr="00516149">
              <w:rPr>
                <w:rFonts w:ascii="Times New Roman" w:hAnsi="Times New Roman" w:cs="Times New Roman"/>
                <w:b/>
                <w:bCs/>
                <w:sz w:val="18"/>
              </w:rPr>
              <w:t>Period</w:t>
            </w:r>
            <w:r w:rsidRPr="00516149">
              <w:rPr>
                <w:rFonts w:ascii="Times New Roman" w:hAnsi="Times New Roman" w:cs="Times New Roman"/>
                <w:b/>
                <w:bCs/>
                <w:sz w:val="18"/>
                <w:lang w:val="en-US"/>
              </w:rPr>
              <w:t>e</w:t>
            </w:r>
          </w:p>
        </w:tc>
        <w:tc>
          <w:tcPr>
            <w:tcW w:w="1207" w:type="dxa"/>
            <w:noWrap/>
            <w:hideMark/>
          </w:tcPr>
          <w:p w14:paraId="086E7C2D" w14:textId="77777777" w:rsidR="00E74AED" w:rsidRPr="00516149" w:rsidRDefault="00E74AED" w:rsidP="007C5203">
            <w:pPr>
              <w:jc w:val="center"/>
              <w:rPr>
                <w:rFonts w:ascii="Times New Roman" w:hAnsi="Times New Roman" w:cs="Times New Roman"/>
                <w:b/>
                <w:bCs/>
                <w:sz w:val="18"/>
                <w:lang w:val="en-US"/>
              </w:rPr>
            </w:pPr>
            <w:r>
              <w:rPr>
                <w:rFonts w:ascii="Times New Roman" w:hAnsi="Times New Roman" w:cs="Times New Roman"/>
                <w:b/>
                <w:bCs/>
                <w:sz w:val="18"/>
                <w:lang w:val="en-US"/>
              </w:rPr>
              <w:t>2016-2018</w:t>
            </w:r>
          </w:p>
        </w:tc>
        <w:tc>
          <w:tcPr>
            <w:tcW w:w="1073" w:type="dxa"/>
            <w:noWrap/>
            <w:hideMark/>
          </w:tcPr>
          <w:p w14:paraId="119E78E2" w14:textId="77777777" w:rsidR="00E74AED" w:rsidRPr="00516149" w:rsidRDefault="00E74AED" w:rsidP="007C5203">
            <w:pPr>
              <w:jc w:val="center"/>
              <w:rPr>
                <w:rFonts w:ascii="Times New Roman" w:hAnsi="Times New Roman" w:cs="Times New Roman"/>
                <w:b/>
                <w:bCs/>
                <w:sz w:val="18"/>
                <w:lang w:val="en-US"/>
              </w:rPr>
            </w:pPr>
            <w:r>
              <w:rPr>
                <w:rFonts w:ascii="Times New Roman" w:hAnsi="Times New Roman" w:cs="Times New Roman"/>
                <w:b/>
                <w:bCs/>
                <w:sz w:val="18"/>
                <w:lang w:val="en-US"/>
              </w:rPr>
              <w:t>2020</w:t>
            </w:r>
          </w:p>
        </w:tc>
      </w:tr>
      <w:tr w:rsidR="00E74AED" w:rsidRPr="00516149" w14:paraId="7F8A2584" w14:textId="77777777" w:rsidTr="007C5203">
        <w:trPr>
          <w:trHeight w:val="300"/>
          <w:jc w:val="center"/>
        </w:trPr>
        <w:tc>
          <w:tcPr>
            <w:tcW w:w="1614" w:type="dxa"/>
            <w:noWrap/>
            <w:hideMark/>
          </w:tcPr>
          <w:p w14:paraId="3F6FD1C2" w14:textId="77777777" w:rsidR="00E74AED" w:rsidRPr="00516149" w:rsidRDefault="00E74AED" w:rsidP="007C5203">
            <w:pPr>
              <w:jc w:val="left"/>
              <w:rPr>
                <w:rFonts w:ascii="Times New Roman" w:hAnsi="Times New Roman" w:cs="Times New Roman"/>
                <w:sz w:val="18"/>
                <w:lang w:val="en-US"/>
              </w:rPr>
            </w:pPr>
            <w:r>
              <w:rPr>
                <w:rFonts w:ascii="Times New Roman" w:hAnsi="Times New Roman" w:cs="Times New Roman"/>
                <w:sz w:val="18"/>
                <w:lang w:val="en-US"/>
              </w:rPr>
              <w:lastRenderedPageBreak/>
              <w:t>Harga Saham</w:t>
            </w:r>
          </w:p>
        </w:tc>
        <w:tc>
          <w:tcPr>
            <w:tcW w:w="1207" w:type="dxa"/>
            <w:noWrap/>
            <w:hideMark/>
          </w:tcPr>
          <w:p w14:paraId="3FCEDB57" w14:textId="77777777" w:rsidR="00E74AED" w:rsidRPr="00516149" w:rsidRDefault="00E74AED" w:rsidP="007C5203">
            <w:pPr>
              <w:jc w:val="center"/>
              <w:rPr>
                <w:rFonts w:ascii="Times New Roman" w:hAnsi="Times New Roman" w:cs="Times New Roman"/>
                <w:sz w:val="18"/>
              </w:rPr>
            </w:pPr>
            <w:r w:rsidRPr="00516149">
              <w:rPr>
                <w:rFonts w:ascii="Times New Roman" w:hAnsi="Times New Roman" w:cs="Times New Roman"/>
                <w:sz w:val="18"/>
              </w:rPr>
              <w:t>5,820</w:t>
            </w:r>
          </w:p>
        </w:tc>
        <w:tc>
          <w:tcPr>
            <w:tcW w:w="1073" w:type="dxa"/>
            <w:noWrap/>
            <w:hideMark/>
          </w:tcPr>
          <w:p w14:paraId="7DC1669A" w14:textId="77777777" w:rsidR="00E74AED" w:rsidRPr="00516149" w:rsidRDefault="00E74AED" w:rsidP="007C5203">
            <w:pPr>
              <w:jc w:val="center"/>
              <w:rPr>
                <w:rFonts w:ascii="Times New Roman" w:hAnsi="Times New Roman" w:cs="Times New Roman"/>
                <w:sz w:val="18"/>
              </w:rPr>
            </w:pPr>
            <w:r w:rsidRPr="00516149">
              <w:rPr>
                <w:rFonts w:ascii="Times New Roman" w:hAnsi="Times New Roman" w:cs="Times New Roman"/>
                <w:sz w:val="18"/>
              </w:rPr>
              <w:t>4,442</w:t>
            </w:r>
          </w:p>
        </w:tc>
      </w:tr>
      <w:tr w:rsidR="00E74AED" w:rsidRPr="00516149" w14:paraId="54269F16" w14:textId="77777777" w:rsidTr="007C5203">
        <w:trPr>
          <w:trHeight w:val="300"/>
          <w:jc w:val="center"/>
        </w:trPr>
        <w:tc>
          <w:tcPr>
            <w:tcW w:w="1614" w:type="dxa"/>
            <w:noWrap/>
            <w:hideMark/>
          </w:tcPr>
          <w:p w14:paraId="71CE37A7" w14:textId="77777777" w:rsidR="00E74AED" w:rsidRPr="00516149" w:rsidRDefault="00E74AED" w:rsidP="007C5203">
            <w:pPr>
              <w:rPr>
                <w:rFonts w:ascii="Times New Roman" w:hAnsi="Times New Roman" w:cs="Times New Roman"/>
                <w:sz w:val="18"/>
              </w:rPr>
            </w:pPr>
            <w:r w:rsidRPr="00516149">
              <w:rPr>
                <w:rFonts w:ascii="Times New Roman" w:hAnsi="Times New Roman" w:cs="Times New Roman"/>
                <w:sz w:val="18"/>
              </w:rPr>
              <w:t>BVPS</w:t>
            </w:r>
          </w:p>
        </w:tc>
        <w:tc>
          <w:tcPr>
            <w:tcW w:w="1207" w:type="dxa"/>
            <w:noWrap/>
            <w:hideMark/>
          </w:tcPr>
          <w:p w14:paraId="0F3A07DE" w14:textId="77777777" w:rsidR="00E74AED" w:rsidRPr="00516149" w:rsidRDefault="00E74AED" w:rsidP="007C5203">
            <w:pPr>
              <w:jc w:val="center"/>
              <w:rPr>
                <w:rFonts w:ascii="Times New Roman" w:hAnsi="Times New Roman" w:cs="Times New Roman"/>
                <w:sz w:val="18"/>
              </w:rPr>
            </w:pPr>
            <w:r w:rsidRPr="00516149">
              <w:rPr>
                <w:rFonts w:ascii="Times New Roman" w:hAnsi="Times New Roman" w:cs="Times New Roman"/>
                <w:sz w:val="18"/>
              </w:rPr>
              <w:t>3,147</w:t>
            </w:r>
          </w:p>
        </w:tc>
        <w:tc>
          <w:tcPr>
            <w:tcW w:w="1073" w:type="dxa"/>
            <w:noWrap/>
            <w:hideMark/>
          </w:tcPr>
          <w:p w14:paraId="404C8F6A" w14:textId="77777777" w:rsidR="00E74AED" w:rsidRPr="00516149" w:rsidRDefault="00E74AED" w:rsidP="007C5203">
            <w:pPr>
              <w:jc w:val="center"/>
              <w:rPr>
                <w:rFonts w:ascii="Times New Roman" w:hAnsi="Times New Roman" w:cs="Times New Roman"/>
                <w:sz w:val="18"/>
              </w:rPr>
            </w:pPr>
            <w:r w:rsidRPr="00516149">
              <w:rPr>
                <w:rFonts w:ascii="Times New Roman" w:hAnsi="Times New Roman" w:cs="Times New Roman"/>
                <w:sz w:val="18"/>
              </w:rPr>
              <w:t>2,795</w:t>
            </w:r>
          </w:p>
        </w:tc>
      </w:tr>
      <w:tr w:rsidR="00E74AED" w:rsidRPr="00516149" w14:paraId="35BFB649" w14:textId="77777777" w:rsidTr="007C5203">
        <w:trPr>
          <w:trHeight w:val="300"/>
          <w:jc w:val="center"/>
        </w:trPr>
        <w:tc>
          <w:tcPr>
            <w:tcW w:w="1614" w:type="dxa"/>
            <w:noWrap/>
            <w:hideMark/>
          </w:tcPr>
          <w:p w14:paraId="68B1F711" w14:textId="77777777" w:rsidR="00E74AED" w:rsidRPr="00516149" w:rsidRDefault="00E74AED" w:rsidP="007C5203">
            <w:pPr>
              <w:rPr>
                <w:rFonts w:ascii="Times New Roman" w:hAnsi="Times New Roman" w:cs="Times New Roman"/>
                <w:sz w:val="18"/>
              </w:rPr>
            </w:pPr>
            <w:r w:rsidRPr="00516149">
              <w:rPr>
                <w:rFonts w:ascii="Times New Roman" w:hAnsi="Times New Roman" w:cs="Times New Roman"/>
                <w:sz w:val="18"/>
              </w:rPr>
              <w:t>EPS</w:t>
            </w:r>
          </w:p>
        </w:tc>
        <w:tc>
          <w:tcPr>
            <w:tcW w:w="1207" w:type="dxa"/>
            <w:noWrap/>
            <w:hideMark/>
          </w:tcPr>
          <w:p w14:paraId="0E602C7B" w14:textId="77777777" w:rsidR="00E74AED" w:rsidRPr="00516149" w:rsidRDefault="00E74AED" w:rsidP="007C5203">
            <w:pPr>
              <w:jc w:val="center"/>
              <w:rPr>
                <w:rFonts w:ascii="Times New Roman" w:hAnsi="Times New Roman" w:cs="Times New Roman"/>
                <w:sz w:val="18"/>
              </w:rPr>
            </w:pPr>
            <w:r w:rsidRPr="00516149">
              <w:rPr>
                <w:rFonts w:ascii="Times New Roman" w:hAnsi="Times New Roman" w:cs="Times New Roman"/>
                <w:sz w:val="18"/>
              </w:rPr>
              <w:t>437</w:t>
            </w:r>
          </w:p>
        </w:tc>
        <w:tc>
          <w:tcPr>
            <w:tcW w:w="1073" w:type="dxa"/>
            <w:noWrap/>
            <w:hideMark/>
          </w:tcPr>
          <w:p w14:paraId="1A973457" w14:textId="77777777" w:rsidR="00E74AED" w:rsidRPr="00516149" w:rsidRDefault="00E74AED" w:rsidP="007C5203">
            <w:pPr>
              <w:jc w:val="center"/>
              <w:rPr>
                <w:rFonts w:ascii="Times New Roman" w:hAnsi="Times New Roman" w:cs="Times New Roman"/>
                <w:sz w:val="18"/>
              </w:rPr>
            </w:pPr>
            <w:r w:rsidRPr="00516149">
              <w:rPr>
                <w:rFonts w:ascii="Times New Roman" w:hAnsi="Times New Roman" w:cs="Times New Roman"/>
                <w:sz w:val="18"/>
              </w:rPr>
              <w:t>214</w:t>
            </w:r>
          </w:p>
        </w:tc>
      </w:tr>
      <w:tr w:rsidR="00E74AED" w:rsidRPr="00516149" w14:paraId="14845946" w14:textId="77777777" w:rsidTr="007C5203">
        <w:trPr>
          <w:trHeight w:val="300"/>
          <w:jc w:val="center"/>
        </w:trPr>
        <w:tc>
          <w:tcPr>
            <w:tcW w:w="1614" w:type="dxa"/>
            <w:noWrap/>
            <w:hideMark/>
          </w:tcPr>
          <w:p w14:paraId="16C0EFB4" w14:textId="77777777" w:rsidR="00E74AED" w:rsidRPr="00516149" w:rsidRDefault="00E74AED" w:rsidP="007C5203">
            <w:pPr>
              <w:rPr>
                <w:rFonts w:ascii="Times New Roman" w:hAnsi="Times New Roman" w:cs="Times New Roman"/>
                <w:sz w:val="18"/>
                <w:lang w:val="en-US"/>
              </w:rPr>
            </w:pPr>
            <w:r w:rsidRPr="00516149">
              <w:rPr>
                <w:rFonts w:ascii="Times New Roman" w:hAnsi="Times New Roman" w:cs="Times New Roman"/>
                <w:sz w:val="18"/>
              </w:rPr>
              <w:t>BVPS</w:t>
            </w:r>
            <w:r>
              <w:rPr>
                <w:rFonts w:ascii="Times New Roman" w:hAnsi="Times New Roman" w:cs="Times New Roman"/>
                <w:sz w:val="18"/>
                <w:lang w:val="en-US"/>
              </w:rPr>
              <w:t xml:space="preserve"> (-LA&amp;LL)</w:t>
            </w:r>
          </w:p>
        </w:tc>
        <w:tc>
          <w:tcPr>
            <w:tcW w:w="1207" w:type="dxa"/>
            <w:noWrap/>
            <w:hideMark/>
          </w:tcPr>
          <w:p w14:paraId="02B8966D" w14:textId="77777777" w:rsidR="00E74AED" w:rsidRPr="00516149" w:rsidRDefault="00E74AED" w:rsidP="007C5203">
            <w:pPr>
              <w:jc w:val="center"/>
              <w:rPr>
                <w:rFonts w:ascii="Times New Roman" w:hAnsi="Times New Roman" w:cs="Times New Roman"/>
                <w:sz w:val="18"/>
              </w:rPr>
            </w:pPr>
            <w:r w:rsidRPr="00516149">
              <w:rPr>
                <w:rFonts w:ascii="Times New Roman" w:hAnsi="Times New Roman" w:cs="Times New Roman"/>
                <w:sz w:val="18"/>
              </w:rPr>
              <w:t>3,137</w:t>
            </w:r>
          </w:p>
        </w:tc>
        <w:tc>
          <w:tcPr>
            <w:tcW w:w="1073" w:type="dxa"/>
            <w:noWrap/>
            <w:hideMark/>
          </w:tcPr>
          <w:p w14:paraId="7E6F7264" w14:textId="77777777" w:rsidR="00E74AED" w:rsidRPr="00516149" w:rsidRDefault="00E74AED" w:rsidP="007C5203">
            <w:pPr>
              <w:jc w:val="center"/>
              <w:rPr>
                <w:rFonts w:ascii="Times New Roman" w:hAnsi="Times New Roman" w:cs="Times New Roman"/>
                <w:sz w:val="18"/>
              </w:rPr>
            </w:pPr>
            <w:r w:rsidRPr="00516149">
              <w:rPr>
                <w:rFonts w:ascii="Times New Roman" w:hAnsi="Times New Roman" w:cs="Times New Roman"/>
                <w:sz w:val="18"/>
              </w:rPr>
              <w:t>2,800</w:t>
            </w:r>
          </w:p>
        </w:tc>
      </w:tr>
      <w:tr w:rsidR="00E74AED" w:rsidRPr="00516149" w14:paraId="5D4851DE" w14:textId="77777777" w:rsidTr="007C5203">
        <w:trPr>
          <w:trHeight w:val="300"/>
          <w:jc w:val="center"/>
        </w:trPr>
        <w:tc>
          <w:tcPr>
            <w:tcW w:w="1614" w:type="dxa"/>
            <w:noWrap/>
            <w:hideMark/>
          </w:tcPr>
          <w:p w14:paraId="34618F0C" w14:textId="77777777" w:rsidR="00E74AED" w:rsidRPr="00516149" w:rsidRDefault="00E74AED" w:rsidP="007C5203">
            <w:pPr>
              <w:rPr>
                <w:rFonts w:ascii="Times New Roman" w:hAnsi="Times New Roman" w:cs="Times New Roman"/>
                <w:sz w:val="18"/>
              </w:rPr>
            </w:pPr>
            <w:r w:rsidRPr="00516149">
              <w:rPr>
                <w:rFonts w:ascii="Times New Roman" w:hAnsi="Times New Roman" w:cs="Times New Roman"/>
                <w:sz w:val="18"/>
              </w:rPr>
              <w:t>LA</w:t>
            </w:r>
          </w:p>
        </w:tc>
        <w:tc>
          <w:tcPr>
            <w:tcW w:w="1207" w:type="dxa"/>
            <w:noWrap/>
            <w:hideMark/>
          </w:tcPr>
          <w:p w14:paraId="1DB9972E" w14:textId="77777777" w:rsidR="00E74AED" w:rsidRPr="00516149" w:rsidRDefault="00E74AED" w:rsidP="007C5203">
            <w:pPr>
              <w:jc w:val="center"/>
              <w:rPr>
                <w:rFonts w:ascii="Times New Roman" w:hAnsi="Times New Roman" w:cs="Times New Roman"/>
                <w:sz w:val="18"/>
              </w:rPr>
            </w:pPr>
            <w:r w:rsidRPr="00516149">
              <w:rPr>
                <w:rFonts w:ascii="Times New Roman" w:hAnsi="Times New Roman" w:cs="Times New Roman"/>
                <w:sz w:val="18"/>
              </w:rPr>
              <w:t>60</w:t>
            </w:r>
          </w:p>
        </w:tc>
        <w:tc>
          <w:tcPr>
            <w:tcW w:w="1073" w:type="dxa"/>
            <w:noWrap/>
            <w:hideMark/>
          </w:tcPr>
          <w:p w14:paraId="73E96EB0" w14:textId="77777777" w:rsidR="00E74AED" w:rsidRPr="00516149" w:rsidRDefault="00E74AED" w:rsidP="007C5203">
            <w:pPr>
              <w:jc w:val="center"/>
              <w:rPr>
                <w:rFonts w:ascii="Times New Roman" w:hAnsi="Times New Roman" w:cs="Times New Roman"/>
                <w:sz w:val="18"/>
              </w:rPr>
            </w:pPr>
            <w:r w:rsidRPr="00516149">
              <w:rPr>
                <w:rFonts w:ascii="Times New Roman" w:hAnsi="Times New Roman" w:cs="Times New Roman"/>
                <w:sz w:val="18"/>
              </w:rPr>
              <w:t>152</w:t>
            </w:r>
          </w:p>
        </w:tc>
      </w:tr>
      <w:tr w:rsidR="00E74AED" w:rsidRPr="00516149" w14:paraId="3E54339C" w14:textId="77777777" w:rsidTr="007C5203">
        <w:trPr>
          <w:trHeight w:val="300"/>
          <w:jc w:val="center"/>
        </w:trPr>
        <w:tc>
          <w:tcPr>
            <w:tcW w:w="1614" w:type="dxa"/>
            <w:noWrap/>
            <w:hideMark/>
          </w:tcPr>
          <w:p w14:paraId="69205A33" w14:textId="77777777" w:rsidR="00E74AED" w:rsidRPr="00516149" w:rsidRDefault="00E74AED" w:rsidP="007C5203">
            <w:pPr>
              <w:rPr>
                <w:rFonts w:ascii="Times New Roman" w:hAnsi="Times New Roman" w:cs="Times New Roman"/>
                <w:sz w:val="18"/>
                <w:lang w:val="en-US"/>
              </w:rPr>
            </w:pPr>
            <w:r>
              <w:rPr>
                <w:rFonts w:ascii="Times New Roman" w:hAnsi="Times New Roman" w:cs="Times New Roman"/>
                <w:sz w:val="18"/>
                <w:lang w:val="en-US"/>
              </w:rPr>
              <w:t>EPS (-DA&amp;INT)</w:t>
            </w:r>
          </w:p>
        </w:tc>
        <w:tc>
          <w:tcPr>
            <w:tcW w:w="1207" w:type="dxa"/>
            <w:noWrap/>
            <w:hideMark/>
          </w:tcPr>
          <w:p w14:paraId="1931402E" w14:textId="77777777" w:rsidR="00E74AED" w:rsidRPr="00516149" w:rsidRDefault="00E74AED" w:rsidP="007C5203">
            <w:pPr>
              <w:jc w:val="center"/>
              <w:rPr>
                <w:rFonts w:ascii="Times New Roman" w:hAnsi="Times New Roman" w:cs="Times New Roman"/>
                <w:sz w:val="18"/>
              </w:rPr>
            </w:pPr>
            <w:r w:rsidRPr="00516149">
              <w:rPr>
                <w:rFonts w:ascii="Times New Roman" w:hAnsi="Times New Roman" w:cs="Times New Roman"/>
                <w:sz w:val="18"/>
              </w:rPr>
              <w:t>755</w:t>
            </w:r>
          </w:p>
        </w:tc>
        <w:tc>
          <w:tcPr>
            <w:tcW w:w="1073" w:type="dxa"/>
            <w:noWrap/>
            <w:hideMark/>
          </w:tcPr>
          <w:p w14:paraId="1177DC89" w14:textId="77777777" w:rsidR="00E74AED" w:rsidRPr="00516149" w:rsidRDefault="00E74AED" w:rsidP="007C5203">
            <w:pPr>
              <w:jc w:val="center"/>
              <w:rPr>
                <w:rFonts w:ascii="Times New Roman" w:hAnsi="Times New Roman" w:cs="Times New Roman"/>
                <w:sz w:val="18"/>
              </w:rPr>
            </w:pPr>
            <w:r w:rsidRPr="00516149">
              <w:rPr>
                <w:rFonts w:ascii="Times New Roman" w:hAnsi="Times New Roman" w:cs="Times New Roman"/>
                <w:sz w:val="18"/>
              </w:rPr>
              <w:t>603</w:t>
            </w:r>
          </w:p>
        </w:tc>
      </w:tr>
      <w:tr w:rsidR="00E74AED" w:rsidRPr="00516149" w14:paraId="13DD8218" w14:textId="77777777" w:rsidTr="007C5203">
        <w:trPr>
          <w:trHeight w:val="300"/>
          <w:jc w:val="center"/>
        </w:trPr>
        <w:tc>
          <w:tcPr>
            <w:tcW w:w="1614" w:type="dxa"/>
            <w:noWrap/>
            <w:hideMark/>
          </w:tcPr>
          <w:p w14:paraId="3F4CB838" w14:textId="77777777" w:rsidR="00E74AED" w:rsidRPr="00516149" w:rsidRDefault="00E74AED" w:rsidP="007C5203">
            <w:pPr>
              <w:rPr>
                <w:rFonts w:ascii="Times New Roman" w:hAnsi="Times New Roman" w:cs="Times New Roman"/>
                <w:sz w:val="18"/>
              </w:rPr>
            </w:pPr>
            <w:r w:rsidRPr="00516149">
              <w:rPr>
                <w:rFonts w:ascii="Times New Roman" w:hAnsi="Times New Roman" w:cs="Times New Roman"/>
                <w:sz w:val="18"/>
              </w:rPr>
              <w:t>DA</w:t>
            </w:r>
          </w:p>
        </w:tc>
        <w:tc>
          <w:tcPr>
            <w:tcW w:w="1207" w:type="dxa"/>
            <w:noWrap/>
            <w:hideMark/>
          </w:tcPr>
          <w:p w14:paraId="7D44204B" w14:textId="77777777" w:rsidR="00E74AED" w:rsidRPr="00516149" w:rsidRDefault="00E74AED" w:rsidP="007C5203">
            <w:pPr>
              <w:jc w:val="center"/>
              <w:rPr>
                <w:rFonts w:ascii="Times New Roman" w:hAnsi="Times New Roman" w:cs="Times New Roman"/>
                <w:sz w:val="18"/>
              </w:rPr>
            </w:pPr>
            <w:r w:rsidRPr="00516149">
              <w:rPr>
                <w:rFonts w:ascii="Times New Roman" w:hAnsi="Times New Roman" w:cs="Times New Roman"/>
                <w:sz w:val="18"/>
              </w:rPr>
              <w:t>242</w:t>
            </w:r>
          </w:p>
        </w:tc>
        <w:tc>
          <w:tcPr>
            <w:tcW w:w="1073" w:type="dxa"/>
            <w:noWrap/>
            <w:hideMark/>
          </w:tcPr>
          <w:p w14:paraId="3997E94A" w14:textId="77777777" w:rsidR="00E74AED" w:rsidRPr="00516149" w:rsidRDefault="00E74AED" w:rsidP="007C5203">
            <w:pPr>
              <w:jc w:val="center"/>
              <w:rPr>
                <w:rFonts w:ascii="Times New Roman" w:hAnsi="Times New Roman" w:cs="Times New Roman"/>
                <w:sz w:val="18"/>
              </w:rPr>
            </w:pPr>
            <w:r w:rsidRPr="00516149">
              <w:rPr>
                <w:rFonts w:ascii="Times New Roman" w:hAnsi="Times New Roman" w:cs="Times New Roman"/>
                <w:sz w:val="18"/>
              </w:rPr>
              <w:t>290</w:t>
            </w:r>
          </w:p>
        </w:tc>
      </w:tr>
      <w:tr w:rsidR="00E74AED" w:rsidRPr="00516149" w14:paraId="227C8F35" w14:textId="77777777" w:rsidTr="007C5203">
        <w:trPr>
          <w:trHeight w:val="300"/>
          <w:jc w:val="center"/>
        </w:trPr>
        <w:tc>
          <w:tcPr>
            <w:tcW w:w="1614" w:type="dxa"/>
            <w:noWrap/>
            <w:hideMark/>
          </w:tcPr>
          <w:p w14:paraId="33D48DC3" w14:textId="77777777" w:rsidR="00E74AED" w:rsidRPr="00516149" w:rsidRDefault="00E74AED" w:rsidP="007C5203">
            <w:pPr>
              <w:rPr>
                <w:rFonts w:ascii="Times New Roman" w:hAnsi="Times New Roman" w:cs="Times New Roman"/>
                <w:sz w:val="18"/>
              </w:rPr>
            </w:pPr>
            <w:r w:rsidRPr="00516149">
              <w:rPr>
                <w:rFonts w:ascii="Times New Roman" w:hAnsi="Times New Roman" w:cs="Times New Roman"/>
                <w:sz w:val="18"/>
              </w:rPr>
              <w:t>INT</w:t>
            </w:r>
          </w:p>
        </w:tc>
        <w:tc>
          <w:tcPr>
            <w:tcW w:w="1207" w:type="dxa"/>
            <w:noWrap/>
            <w:hideMark/>
          </w:tcPr>
          <w:p w14:paraId="7C4F50C5" w14:textId="77777777" w:rsidR="00E74AED" w:rsidRPr="00516149" w:rsidRDefault="00E74AED" w:rsidP="007C5203">
            <w:pPr>
              <w:jc w:val="center"/>
              <w:rPr>
                <w:rFonts w:ascii="Times New Roman" w:hAnsi="Times New Roman" w:cs="Times New Roman"/>
                <w:sz w:val="18"/>
              </w:rPr>
            </w:pPr>
            <w:r w:rsidRPr="00516149">
              <w:rPr>
                <w:rFonts w:ascii="Times New Roman" w:hAnsi="Times New Roman" w:cs="Times New Roman"/>
                <w:sz w:val="18"/>
              </w:rPr>
              <w:t>76</w:t>
            </w:r>
          </w:p>
        </w:tc>
        <w:tc>
          <w:tcPr>
            <w:tcW w:w="1073" w:type="dxa"/>
            <w:noWrap/>
            <w:hideMark/>
          </w:tcPr>
          <w:p w14:paraId="09DA9B18" w14:textId="77777777" w:rsidR="00E74AED" w:rsidRPr="00516149" w:rsidRDefault="00E74AED" w:rsidP="007C5203">
            <w:pPr>
              <w:jc w:val="center"/>
              <w:rPr>
                <w:rFonts w:ascii="Times New Roman" w:hAnsi="Times New Roman" w:cs="Times New Roman"/>
                <w:sz w:val="18"/>
              </w:rPr>
            </w:pPr>
            <w:r w:rsidRPr="00516149">
              <w:rPr>
                <w:rFonts w:ascii="Times New Roman" w:hAnsi="Times New Roman" w:cs="Times New Roman"/>
                <w:sz w:val="18"/>
              </w:rPr>
              <w:t>99</w:t>
            </w:r>
          </w:p>
        </w:tc>
      </w:tr>
      <w:tr w:rsidR="00E74AED" w:rsidRPr="00516149" w14:paraId="7539857A" w14:textId="77777777" w:rsidTr="007C5203">
        <w:trPr>
          <w:trHeight w:val="300"/>
          <w:jc w:val="center"/>
        </w:trPr>
        <w:tc>
          <w:tcPr>
            <w:tcW w:w="1614" w:type="dxa"/>
            <w:noWrap/>
          </w:tcPr>
          <w:p w14:paraId="1F8EB388" w14:textId="77777777" w:rsidR="00E74AED" w:rsidRDefault="00E74AED" w:rsidP="007C5203">
            <w:pPr>
              <w:rPr>
                <w:rFonts w:ascii="Times New Roman" w:hAnsi="Times New Roman" w:cs="Times New Roman"/>
                <w:sz w:val="18"/>
                <w:lang w:val="en-US"/>
              </w:rPr>
            </w:pPr>
            <w:r>
              <w:rPr>
                <w:rFonts w:ascii="Times New Roman" w:hAnsi="Times New Roman" w:cs="Times New Roman"/>
                <w:sz w:val="18"/>
                <w:lang w:val="en-US"/>
              </w:rPr>
              <w:t xml:space="preserve">Persentase </w:t>
            </w:r>
            <w:r w:rsidRPr="00B14DF0">
              <w:rPr>
                <w:rFonts w:ascii="Times New Roman" w:hAnsi="Times New Roman" w:cs="Times New Roman"/>
                <w:sz w:val="18"/>
                <w:lang w:val="en-US"/>
              </w:rPr>
              <w:t>LA / TA</w:t>
            </w:r>
          </w:p>
        </w:tc>
        <w:tc>
          <w:tcPr>
            <w:tcW w:w="1207" w:type="dxa"/>
            <w:noWrap/>
          </w:tcPr>
          <w:p w14:paraId="408A22A0" w14:textId="77777777" w:rsidR="00E74AED" w:rsidRPr="00B14DF0" w:rsidRDefault="00E74AED" w:rsidP="007C5203">
            <w:pPr>
              <w:jc w:val="center"/>
              <w:rPr>
                <w:rFonts w:ascii="Times New Roman" w:hAnsi="Times New Roman" w:cs="Times New Roman"/>
                <w:sz w:val="18"/>
                <w:lang w:val="en-US"/>
              </w:rPr>
            </w:pPr>
            <w:r>
              <w:rPr>
                <w:rFonts w:ascii="Times New Roman" w:hAnsi="Times New Roman" w:cs="Times New Roman"/>
                <w:sz w:val="18"/>
                <w:lang w:val="en-US"/>
              </w:rPr>
              <w:t>1.01%</w:t>
            </w:r>
          </w:p>
        </w:tc>
        <w:tc>
          <w:tcPr>
            <w:tcW w:w="1073" w:type="dxa"/>
            <w:noWrap/>
          </w:tcPr>
          <w:p w14:paraId="0E5F3323" w14:textId="77777777" w:rsidR="00E74AED" w:rsidRPr="00B14DF0" w:rsidRDefault="00E74AED" w:rsidP="007C5203">
            <w:pPr>
              <w:jc w:val="center"/>
              <w:rPr>
                <w:rFonts w:ascii="Times New Roman" w:hAnsi="Times New Roman" w:cs="Times New Roman"/>
                <w:sz w:val="18"/>
                <w:lang w:val="en-US"/>
              </w:rPr>
            </w:pPr>
            <w:r>
              <w:rPr>
                <w:rFonts w:ascii="Times New Roman" w:hAnsi="Times New Roman" w:cs="Times New Roman"/>
                <w:sz w:val="18"/>
                <w:lang w:val="en-US"/>
              </w:rPr>
              <w:t>3.24%</w:t>
            </w:r>
          </w:p>
        </w:tc>
      </w:tr>
      <w:tr w:rsidR="00E74AED" w:rsidRPr="00516149" w14:paraId="6639C2FF" w14:textId="77777777" w:rsidTr="007C5203">
        <w:trPr>
          <w:trHeight w:val="300"/>
          <w:jc w:val="center"/>
        </w:trPr>
        <w:tc>
          <w:tcPr>
            <w:tcW w:w="1614" w:type="dxa"/>
            <w:noWrap/>
          </w:tcPr>
          <w:p w14:paraId="3AC28944" w14:textId="77777777" w:rsidR="00E74AED" w:rsidRDefault="00E74AED" w:rsidP="007C5203">
            <w:pPr>
              <w:rPr>
                <w:rFonts w:ascii="Times New Roman" w:hAnsi="Times New Roman" w:cs="Times New Roman"/>
                <w:sz w:val="18"/>
                <w:lang w:val="en-US"/>
              </w:rPr>
            </w:pPr>
            <w:r>
              <w:rPr>
                <w:rFonts w:ascii="Times New Roman" w:hAnsi="Times New Roman" w:cs="Times New Roman"/>
                <w:sz w:val="18"/>
                <w:lang w:val="en-US"/>
              </w:rPr>
              <w:t xml:space="preserve">Persentase </w:t>
            </w:r>
            <w:r w:rsidRPr="00B14DF0">
              <w:rPr>
                <w:rFonts w:ascii="Times New Roman" w:hAnsi="Times New Roman" w:cs="Times New Roman"/>
                <w:sz w:val="18"/>
                <w:lang w:val="en-US"/>
              </w:rPr>
              <w:t>L</w:t>
            </w:r>
            <w:r>
              <w:rPr>
                <w:rFonts w:ascii="Times New Roman" w:hAnsi="Times New Roman" w:cs="Times New Roman"/>
                <w:sz w:val="18"/>
                <w:lang w:val="en-US"/>
              </w:rPr>
              <w:t>L</w:t>
            </w:r>
            <w:r w:rsidRPr="00B14DF0">
              <w:rPr>
                <w:rFonts w:ascii="Times New Roman" w:hAnsi="Times New Roman" w:cs="Times New Roman"/>
                <w:sz w:val="18"/>
                <w:lang w:val="en-US"/>
              </w:rPr>
              <w:t xml:space="preserve"> / T</w:t>
            </w:r>
            <w:r>
              <w:rPr>
                <w:rFonts w:ascii="Times New Roman" w:hAnsi="Times New Roman" w:cs="Times New Roman"/>
                <w:sz w:val="18"/>
                <w:lang w:val="en-US"/>
              </w:rPr>
              <w:t>L</w:t>
            </w:r>
          </w:p>
        </w:tc>
        <w:tc>
          <w:tcPr>
            <w:tcW w:w="1207" w:type="dxa"/>
            <w:noWrap/>
          </w:tcPr>
          <w:p w14:paraId="5418B790" w14:textId="77777777" w:rsidR="00E74AED" w:rsidRPr="00B14DF0" w:rsidRDefault="00E74AED" w:rsidP="007C5203">
            <w:pPr>
              <w:jc w:val="center"/>
              <w:rPr>
                <w:rFonts w:ascii="Times New Roman" w:hAnsi="Times New Roman" w:cs="Times New Roman"/>
                <w:sz w:val="18"/>
                <w:lang w:val="en-US"/>
              </w:rPr>
            </w:pPr>
            <w:r>
              <w:rPr>
                <w:rFonts w:ascii="Times New Roman" w:hAnsi="Times New Roman" w:cs="Times New Roman"/>
                <w:sz w:val="18"/>
                <w:lang w:val="en-US"/>
              </w:rPr>
              <w:t>1.45%</w:t>
            </w:r>
          </w:p>
        </w:tc>
        <w:tc>
          <w:tcPr>
            <w:tcW w:w="1073" w:type="dxa"/>
            <w:noWrap/>
          </w:tcPr>
          <w:p w14:paraId="5347028D" w14:textId="77777777" w:rsidR="00E74AED" w:rsidRPr="00B14DF0" w:rsidRDefault="00E74AED" w:rsidP="007C5203">
            <w:pPr>
              <w:jc w:val="center"/>
              <w:rPr>
                <w:rFonts w:ascii="Times New Roman" w:hAnsi="Times New Roman" w:cs="Times New Roman"/>
                <w:sz w:val="18"/>
                <w:lang w:val="en-US"/>
              </w:rPr>
            </w:pPr>
            <w:r>
              <w:rPr>
                <w:rFonts w:ascii="Times New Roman" w:hAnsi="Times New Roman" w:cs="Times New Roman"/>
                <w:sz w:val="18"/>
                <w:lang w:val="en-US"/>
              </w:rPr>
              <w:t>5.20%</w:t>
            </w:r>
          </w:p>
        </w:tc>
      </w:tr>
      <w:tr w:rsidR="00E74AED" w:rsidRPr="00516149" w14:paraId="48270B65" w14:textId="77777777" w:rsidTr="007C5203">
        <w:trPr>
          <w:trHeight w:val="300"/>
          <w:jc w:val="center"/>
        </w:trPr>
        <w:tc>
          <w:tcPr>
            <w:tcW w:w="1614" w:type="dxa"/>
            <w:noWrap/>
            <w:hideMark/>
          </w:tcPr>
          <w:p w14:paraId="50FAA06E" w14:textId="77777777" w:rsidR="00E74AED" w:rsidRPr="00516149" w:rsidRDefault="00E74AED" w:rsidP="007C5203">
            <w:pPr>
              <w:rPr>
                <w:rFonts w:ascii="Times New Roman" w:hAnsi="Times New Roman" w:cs="Times New Roman"/>
                <w:sz w:val="18"/>
                <w:lang w:val="en-US"/>
              </w:rPr>
            </w:pPr>
            <w:r>
              <w:rPr>
                <w:rFonts w:ascii="Times New Roman" w:hAnsi="Times New Roman" w:cs="Times New Roman"/>
                <w:sz w:val="18"/>
                <w:lang w:val="en-US"/>
              </w:rPr>
              <w:t>n</w:t>
            </w:r>
          </w:p>
        </w:tc>
        <w:tc>
          <w:tcPr>
            <w:tcW w:w="1207" w:type="dxa"/>
            <w:noWrap/>
            <w:hideMark/>
          </w:tcPr>
          <w:p w14:paraId="39E9761A" w14:textId="77777777" w:rsidR="00E74AED" w:rsidRPr="00516149" w:rsidRDefault="00E74AED" w:rsidP="007C5203">
            <w:pPr>
              <w:jc w:val="center"/>
              <w:rPr>
                <w:rFonts w:ascii="Times New Roman" w:hAnsi="Times New Roman" w:cs="Times New Roman"/>
                <w:sz w:val="18"/>
              </w:rPr>
            </w:pPr>
            <w:r w:rsidRPr="00516149">
              <w:rPr>
                <w:rFonts w:ascii="Times New Roman" w:hAnsi="Times New Roman" w:cs="Times New Roman"/>
                <w:sz w:val="18"/>
              </w:rPr>
              <w:t>133</w:t>
            </w:r>
          </w:p>
        </w:tc>
        <w:tc>
          <w:tcPr>
            <w:tcW w:w="1073" w:type="dxa"/>
            <w:noWrap/>
            <w:hideMark/>
          </w:tcPr>
          <w:p w14:paraId="4C648AA0" w14:textId="77777777" w:rsidR="00E74AED" w:rsidRPr="00516149" w:rsidRDefault="00E74AED" w:rsidP="007C5203">
            <w:pPr>
              <w:jc w:val="center"/>
              <w:rPr>
                <w:rFonts w:ascii="Times New Roman" w:hAnsi="Times New Roman" w:cs="Times New Roman"/>
                <w:sz w:val="18"/>
              </w:rPr>
            </w:pPr>
            <w:r w:rsidRPr="00516149">
              <w:rPr>
                <w:rFonts w:ascii="Times New Roman" w:hAnsi="Times New Roman" w:cs="Times New Roman"/>
                <w:sz w:val="18"/>
              </w:rPr>
              <w:t>45</w:t>
            </w:r>
          </w:p>
        </w:tc>
      </w:tr>
    </w:tbl>
    <w:p w14:paraId="1CECF16B" w14:textId="77777777" w:rsidR="00E74AED" w:rsidRDefault="00E74AED" w:rsidP="00E74AED">
      <w:pPr>
        <w:jc w:val="both"/>
        <w:rPr>
          <w:rFonts w:ascii="Times New Roman" w:hAnsi="Times New Roman" w:cs="Times New Roman"/>
          <w:sz w:val="24"/>
          <w:lang w:val="en-US"/>
        </w:rPr>
      </w:pPr>
    </w:p>
    <w:p w14:paraId="2CEF9B6B" w14:textId="77777777" w:rsidR="00E74AED" w:rsidRDefault="00E74AED" w:rsidP="00E74AED">
      <w:pPr>
        <w:ind w:firstLine="425"/>
        <w:jc w:val="both"/>
        <w:rPr>
          <w:b/>
        </w:rPr>
      </w:pPr>
      <w:r w:rsidRPr="00516149">
        <w:rPr>
          <w:b/>
        </w:rPr>
        <w:t xml:space="preserve"> </w:t>
      </w:r>
    </w:p>
    <w:p w14:paraId="7F2A19E1" w14:textId="77777777" w:rsidR="00E74AED" w:rsidRPr="007E3848" w:rsidRDefault="00E74AED" w:rsidP="00E74AED">
      <w:pPr>
        <w:pStyle w:val="NormalWeb"/>
        <w:spacing w:before="0" w:beforeAutospacing="0" w:after="0" w:afterAutospacing="0"/>
        <w:jc w:val="both"/>
        <w:rPr>
          <w:b/>
        </w:rPr>
      </w:pPr>
      <w:r>
        <w:rPr>
          <w:b/>
        </w:rPr>
        <w:t>Perhitungan Korelasi</w:t>
      </w:r>
    </w:p>
    <w:p w14:paraId="0D2FCDEB" w14:textId="77777777" w:rsidR="00E74AED" w:rsidRDefault="00E74AED" w:rsidP="00E74AED">
      <w:pPr>
        <w:jc w:val="both"/>
        <w:rPr>
          <w:rFonts w:ascii="Times New Roman" w:hAnsi="Times New Roman" w:cs="Times New Roman"/>
          <w:sz w:val="24"/>
          <w:lang w:val="en-US"/>
        </w:rPr>
      </w:pPr>
      <w:r>
        <w:rPr>
          <w:rFonts w:ascii="Times New Roman" w:hAnsi="Times New Roman" w:cs="Times New Roman"/>
          <w:sz w:val="24"/>
          <w:lang w:val="en-US"/>
        </w:rPr>
        <w:t xml:space="preserve">Tabel 2 menunjukkan hubungan korelasi dari setiap variabel model terhadap harga saham. </w:t>
      </w:r>
    </w:p>
    <w:p w14:paraId="7DFB698A" w14:textId="77777777" w:rsidR="00E74AED" w:rsidRDefault="00E74AED" w:rsidP="00E74AED">
      <w:pPr>
        <w:pStyle w:val="NormalWeb"/>
        <w:spacing w:before="0" w:beforeAutospacing="0" w:after="0" w:afterAutospacing="0"/>
        <w:jc w:val="both"/>
        <w:rPr>
          <w:b/>
        </w:rPr>
      </w:pPr>
    </w:p>
    <w:tbl>
      <w:tblPr>
        <w:tblStyle w:val="TableGrid"/>
        <w:tblW w:w="4380" w:type="dxa"/>
        <w:jc w:val="center"/>
        <w:tblLook w:val="04A0" w:firstRow="1" w:lastRow="0" w:firstColumn="1" w:lastColumn="0" w:noHBand="0" w:noVBand="1"/>
      </w:tblPr>
      <w:tblGrid>
        <w:gridCol w:w="1865"/>
        <w:gridCol w:w="1249"/>
        <w:gridCol w:w="1258"/>
        <w:gridCol w:w="8"/>
      </w:tblGrid>
      <w:tr w:rsidR="00E74AED" w:rsidRPr="00586511" w14:paraId="51BB9718" w14:textId="77777777" w:rsidTr="007C5203">
        <w:trPr>
          <w:trHeight w:val="300"/>
          <w:jc w:val="center"/>
        </w:trPr>
        <w:tc>
          <w:tcPr>
            <w:tcW w:w="4380" w:type="dxa"/>
            <w:gridSpan w:val="4"/>
            <w:noWrap/>
            <w:hideMark/>
          </w:tcPr>
          <w:p w14:paraId="310CC3AD" w14:textId="77777777" w:rsidR="00E74AED" w:rsidRPr="00A21655" w:rsidRDefault="00E74AED" w:rsidP="007C5203">
            <w:pPr>
              <w:pStyle w:val="NormalWeb"/>
              <w:jc w:val="center"/>
              <w:rPr>
                <w:b/>
                <w:bCs/>
                <w:sz w:val="18"/>
              </w:rPr>
            </w:pPr>
            <w:r w:rsidRPr="00586511">
              <w:rPr>
                <w:b/>
                <w:bCs/>
                <w:sz w:val="18"/>
                <w:lang w:val="id-ID"/>
              </w:rPr>
              <w:t>Tabel 2 : Hasil Korelasi Sample</w:t>
            </w:r>
            <w:r>
              <w:rPr>
                <w:b/>
                <w:bCs/>
                <w:sz w:val="18"/>
              </w:rPr>
              <w:t xml:space="preserve"> Terhadap Harga Saham</w:t>
            </w:r>
          </w:p>
        </w:tc>
      </w:tr>
      <w:tr w:rsidR="00E74AED" w:rsidRPr="00586511" w14:paraId="1DA7D2EB" w14:textId="77777777" w:rsidTr="007C5203">
        <w:trPr>
          <w:gridAfter w:val="1"/>
          <w:wAfter w:w="8" w:type="dxa"/>
          <w:trHeight w:val="300"/>
          <w:jc w:val="center"/>
        </w:trPr>
        <w:tc>
          <w:tcPr>
            <w:tcW w:w="1865" w:type="dxa"/>
            <w:noWrap/>
            <w:hideMark/>
          </w:tcPr>
          <w:p w14:paraId="24A045FE" w14:textId="77777777" w:rsidR="00E74AED" w:rsidRPr="00586511" w:rsidRDefault="00E74AED" w:rsidP="007C5203">
            <w:pPr>
              <w:pStyle w:val="NormalWeb"/>
              <w:jc w:val="center"/>
              <w:rPr>
                <w:bCs/>
                <w:sz w:val="18"/>
                <w:lang w:val="id-ID"/>
              </w:rPr>
            </w:pPr>
            <w:r w:rsidRPr="00586511">
              <w:rPr>
                <w:bCs/>
                <w:sz w:val="18"/>
                <w:lang w:val="id-ID"/>
              </w:rPr>
              <w:t>Periode</w:t>
            </w:r>
          </w:p>
        </w:tc>
        <w:tc>
          <w:tcPr>
            <w:tcW w:w="1249" w:type="dxa"/>
            <w:noWrap/>
            <w:hideMark/>
          </w:tcPr>
          <w:p w14:paraId="33A9E5AF" w14:textId="77777777" w:rsidR="00E74AED" w:rsidRPr="00586511" w:rsidRDefault="00E74AED" w:rsidP="007C5203">
            <w:pPr>
              <w:pStyle w:val="NormalWeb"/>
              <w:jc w:val="center"/>
              <w:rPr>
                <w:b/>
                <w:bCs/>
                <w:sz w:val="18"/>
                <w:lang w:val="id-ID"/>
              </w:rPr>
            </w:pPr>
            <w:r w:rsidRPr="00586511">
              <w:rPr>
                <w:b/>
                <w:bCs/>
                <w:sz w:val="18"/>
                <w:lang w:val="id-ID"/>
              </w:rPr>
              <w:t>2016-2018</w:t>
            </w:r>
          </w:p>
        </w:tc>
        <w:tc>
          <w:tcPr>
            <w:tcW w:w="1258" w:type="dxa"/>
            <w:noWrap/>
            <w:hideMark/>
          </w:tcPr>
          <w:p w14:paraId="17DD3E32" w14:textId="77777777" w:rsidR="00E74AED" w:rsidRPr="00586511" w:rsidRDefault="00E74AED" w:rsidP="007C5203">
            <w:pPr>
              <w:pStyle w:val="NormalWeb"/>
              <w:jc w:val="center"/>
              <w:rPr>
                <w:b/>
                <w:bCs/>
                <w:sz w:val="18"/>
                <w:lang w:val="id-ID"/>
              </w:rPr>
            </w:pPr>
            <w:r w:rsidRPr="00586511">
              <w:rPr>
                <w:b/>
                <w:bCs/>
                <w:sz w:val="18"/>
                <w:lang w:val="id-ID"/>
              </w:rPr>
              <w:t>2020</w:t>
            </w:r>
          </w:p>
        </w:tc>
      </w:tr>
      <w:tr w:rsidR="00E74AED" w:rsidRPr="00586511" w14:paraId="645671E7" w14:textId="77777777" w:rsidTr="007C5203">
        <w:trPr>
          <w:gridAfter w:val="1"/>
          <w:wAfter w:w="8" w:type="dxa"/>
          <w:trHeight w:val="300"/>
          <w:jc w:val="center"/>
        </w:trPr>
        <w:tc>
          <w:tcPr>
            <w:tcW w:w="1865" w:type="dxa"/>
            <w:noWrap/>
            <w:hideMark/>
          </w:tcPr>
          <w:p w14:paraId="4A53312D" w14:textId="77777777" w:rsidR="00E74AED" w:rsidRPr="00586511" w:rsidRDefault="00E74AED" w:rsidP="007C5203">
            <w:pPr>
              <w:pStyle w:val="NormalWeb"/>
              <w:jc w:val="left"/>
              <w:rPr>
                <w:sz w:val="18"/>
                <w:lang w:val="id-ID"/>
              </w:rPr>
            </w:pPr>
            <w:r w:rsidRPr="00586511">
              <w:rPr>
                <w:sz w:val="18"/>
                <w:lang w:val="id-ID"/>
              </w:rPr>
              <w:t>BVPS (-LA&amp;LL)</w:t>
            </w:r>
          </w:p>
        </w:tc>
        <w:tc>
          <w:tcPr>
            <w:tcW w:w="1249" w:type="dxa"/>
            <w:noWrap/>
            <w:hideMark/>
          </w:tcPr>
          <w:p w14:paraId="749260D7" w14:textId="77777777" w:rsidR="00E74AED" w:rsidRPr="005145F7" w:rsidRDefault="00E74AED" w:rsidP="007C5203">
            <w:pPr>
              <w:pStyle w:val="NormalWeb"/>
              <w:jc w:val="center"/>
              <w:rPr>
                <w:sz w:val="18"/>
              </w:rPr>
            </w:pPr>
            <w:r w:rsidRPr="00586511">
              <w:rPr>
                <w:sz w:val="18"/>
                <w:lang w:val="id-ID"/>
              </w:rPr>
              <w:t>.569</w:t>
            </w:r>
            <w:r>
              <w:rPr>
                <w:sz w:val="18"/>
              </w:rPr>
              <w:t>*</w:t>
            </w:r>
          </w:p>
        </w:tc>
        <w:tc>
          <w:tcPr>
            <w:tcW w:w="1258" w:type="dxa"/>
            <w:noWrap/>
            <w:hideMark/>
          </w:tcPr>
          <w:p w14:paraId="2E99FB9D" w14:textId="77777777" w:rsidR="00E74AED" w:rsidRPr="005145F7" w:rsidRDefault="00E74AED" w:rsidP="007C5203">
            <w:pPr>
              <w:pStyle w:val="NormalWeb"/>
              <w:jc w:val="center"/>
              <w:rPr>
                <w:sz w:val="18"/>
              </w:rPr>
            </w:pPr>
            <w:r w:rsidRPr="00586511">
              <w:rPr>
                <w:sz w:val="18"/>
                <w:lang w:val="id-ID"/>
              </w:rPr>
              <w:t>.945</w:t>
            </w:r>
            <w:r>
              <w:rPr>
                <w:sz w:val="18"/>
              </w:rPr>
              <w:t>*</w:t>
            </w:r>
          </w:p>
        </w:tc>
      </w:tr>
      <w:tr w:rsidR="00E74AED" w:rsidRPr="00586511" w14:paraId="6F9260F9" w14:textId="77777777" w:rsidTr="007C5203">
        <w:trPr>
          <w:gridAfter w:val="1"/>
          <w:wAfter w:w="8" w:type="dxa"/>
          <w:trHeight w:val="300"/>
          <w:jc w:val="center"/>
        </w:trPr>
        <w:tc>
          <w:tcPr>
            <w:tcW w:w="1865" w:type="dxa"/>
            <w:noWrap/>
            <w:hideMark/>
          </w:tcPr>
          <w:p w14:paraId="635C89C6" w14:textId="77777777" w:rsidR="00E74AED" w:rsidRPr="00586511" w:rsidRDefault="00E74AED" w:rsidP="007C5203">
            <w:pPr>
              <w:pStyle w:val="NormalWeb"/>
              <w:jc w:val="left"/>
              <w:rPr>
                <w:sz w:val="18"/>
                <w:lang w:val="id-ID"/>
              </w:rPr>
            </w:pPr>
            <w:r w:rsidRPr="00586511">
              <w:rPr>
                <w:sz w:val="18"/>
                <w:lang w:val="id-ID"/>
              </w:rPr>
              <w:t>LA</w:t>
            </w:r>
          </w:p>
        </w:tc>
        <w:tc>
          <w:tcPr>
            <w:tcW w:w="1249" w:type="dxa"/>
            <w:noWrap/>
            <w:hideMark/>
          </w:tcPr>
          <w:p w14:paraId="701E6F7B" w14:textId="77777777" w:rsidR="00E74AED" w:rsidRPr="005145F7" w:rsidRDefault="00E74AED" w:rsidP="007C5203">
            <w:pPr>
              <w:pStyle w:val="NormalWeb"/>
              <w:jc w:val="center"/>
              <w:rPr>
                <w:sz w:val="18"/>
              </w:rPr>
            </w:pPr>
            <w:r w:rsidRPr="00586511">
              <w:rPr>
                <w:sz w:val="18"/>
                <w:lang w:val="id-ID"/>
              </w:rPr>
              <w:t>.022</w:t>
            </w:r>
            <w:r>
              <w:rPr>
                <w:sz w:val="18"/>
              </w:rPr>
              <w:t xml:space="preserve"> (.798)</w:t>
            </w:r>
          </w:p>
        </w:tc>
        <w:tc>
          <w:tcPr>
            <w:tcW w:w="1258" w:type="dxa"/>
            <w:noWrap/>
            <w:hideMark/>
          </w:tcPr>
          <w:p w14:paraId="5AA7B9DE" w14:textId="77777777" w:rsidR="00E74AED" w:rsidRPr="005145F7" w:rsidRDefault="00E74AED" w:rsidP="007C5203">
            <w:pPr>
              <w:pStyle w:val="NormalWeb"/>
              <w:jc w:val="center"/>
              <w:rPr>
                <w:sz w:val="18"/>
              </w:rPr>
            </w:pPr>
            <w:r w:rsidRPr="00586511">
              <w:rPr>
                <w:sz w:val="18"/>
                <w:lang w:val="id-ID"/>
              </w:rPr>
              <w:t>.044</w:t>
            </w:r>
            <w:r>
              <w:rPr>
                <w:sz w:val="18"/>
              </w:rPr>
              <w:t xml:space="preserve"> (.774)</w:t>
            </w:r>
          </w:p>
        </w:tc>
      </w:tr>
      <w:tr w:rsidR="00E74AED" w:rsidRPr="00586511" w14:paraId="022604F4" w14:textId="77777777" w:rsidTr="007C5203">
        <w:trPr>
          <w:gridAfter w:val="1"/>
          <w:wAfter w:w="8" w:type="dxa"/>
          <w:trHeight w:val="300"/>
          <w:jc w:val="center"/>
        </w:trPr>
        <w:tc>
          <w:tcPr>
            <w:tcW w:w="1865" w:type="dxa"/>
            <w:noWrap/>
            <w:hideMark/>
          </w:tcPr>
          <w:p w14:paraId="5D9F1CCD" w14:textId="77777777" w:rsidR="00E74AED" w:rsidRPr="00586511" w:rsidRDefault="00E74AED" w:rsidP="007C5203">
            <w:pPr>
              <w:pStyle w:val="NormalWeb"/>
              <w:jc w:val="left"/>
              <w:rPr>
                <w:sz w:val="18"/>
                <w:lang w:val="id-ID"/>
              </w:rPr>
            </w:pPr>
            <w:r w:rsidRPr="00586511">
              <w:rPr>
                <w:sz w:val="18"/>
                <w:lang w:val="id-ID"/>
              </w:rPr>
              <w:t>LL</w:t>
            </w:r>
          </w:p>
        </w:tc>
        <w:tc>
          <w:tcPr>
            <w:tcW w:w="1249" w:type="dxa"/>
            <w:noWrap/>
            <w:hideMark/>
          </w:tcPr>
          <w:p w14:paraId="3C20D77D" w14:textId="77777777" w:rsidR="00E74AED" w:rsidRPr="005145F7" w:rsidRDefault="00E74AED" w:rsidP="007C5203">
            <w:pPr>
              <w:pStyle w:val="NormalWeb"/>
              <w:jc w:val="center"/>
              <w:rPr>
                <w:sz w:val="18"/>
              </w:rPr>
            </w:pPr>
            <w:r>
              <w:rPr>
                <w:sz w:val="18"/>
              </w:rPr>
              <w:t>-</w:t>
            </w:r>
            <w:r w:rsidRPr="00586511">
              <w:rPr>
                <w:sz w:val="18"/>
                <w:lang w:val="id-ID"/>
              </w:rPr>
              <w:t>.020</w:t>
            </w:r>
            <w:r>
              <w:rPr>
                <w:sz w:val="18"/>
              </w:rPr>
              <w:t xml:space="preserve"> (.816)</w:t>
            </w:r>
          </w:p>
        </w:tc>
        <w:tc>
          <w:tcPr>
            <w:tcW w:w="1258" w:type="dxa"/>
            <w:noWrap/>
            <w:hideMark/>
          </w:tcPr>
          <w:p w14:paraId="52F7A948" w14:textId="77777777" w:rsidR="00E74AED" w:rsidRPr="005145F7" w:rsidRDefault="00E74AED" w:rsidP="007C5203">
            <w:pPr>
              <w:pStyle w:val="NormalWeb"/>
              <w:jc w:val="center"/>
              <w:rPr>
                <w:sz w:val="18"/>
              </w:rPr>
            </w:pPr>
            <w:r>
              <w:rPr>
                <w:sz w:val="18"/>
              </w:rPr>
              <w:t>-</w:t>
            </w:r>
            <w:r w:rsidRPr="00586511">
              <w:rPr>
                <w:sz w:val="18"/>
                <w:lang w:val="id-ID"/>
              </w:rPr>
              <w:t>.028</w:t>
            </w:r>
            <w:r>
              <w:rPr>
                <w:sz w:val="18"/>
              </w:rPr>
              <w:t xml:space="preserve"> (.856)</w:t>
            </w:r>
          </w:p>
        </w:tc>
      </w:tr>
      <w:tr w:rsidR="00E74AED" w:rsidRPr="00586511" w14:paraId="53E4EE45" w14:textId="77777777" w:rsidTr="007C5203">
        <w:trPr>
          <w:gridAfter w:val="1"/>
          <w:wAfter w:w="8" w:type="dxa"/>
          <w:trHeight w:val="300"/>
          <w:jc w:val="center"/>
        </w:trPr>
        <w:tc>
          <w:tcPr>
            <w:tcW w:w="1865" w:type="dxa"/>
            <w:noWrap/>
            <w:hideMark/>
          </w:tcPr>
          <w:p w14:paraId="0798B74C" w14:textId="77777777" w:rsidR="00E74AED" w:rsidRPr="00586511" w:rsidRDefault="00E74AED" w:rsidP="007C5203">
            <w:pPr>
              <w:pStyle w:val="NormalWeb"/>
              <w:jc w:val="left"/>
              <w:rPr>
                <w:sz w:val="18"/>
                <w:lang w:val="id-ID"/>
              </w:rPr>
            </w:pPr>
            <w:r w:rsidRPr="00586511">
              <w:rPr>
                <w:sz w:val="18"/>
                <w:lang w:val="id-ID"/>
              </w:rPr>
              <w:t>EPS (-DA&amp;INT)</w:t>
            </w:r>
          </w:p>
        </w:tc>
        <w:tc>
          <w:tcPr>
            <w:tcW w:w="1249" w:type="dxa"/>
            <w:noWrap/>
            <w:hideMark/>
          </w:tcPr>
          <w:p w14:paraId="08BC8A00" w14:textId="77777777" w:rsidR="00E74AED" w:rsidRPr="005145F7" w:rsidRDefault="00E74AED" w:rsidP="007C5203">
            <w:pPr>
              <w:pStyle w:val="NormalWeb"/>
              <w:jc w:val="center"/>
              <w:rPr>
                <w:sz w:val="18"/>
              </w:rPr>
            </w:pPr>
            <w:r w:rsidRPr="00586511">
              <w:rPr>
                <w:sz w:val="18"/>
                <w:lang w:val="id-ID"/>
              </w:rPr>
              <w:t>.634</w:t>
            </w:r>
            <w:r>
              <w:rPr>
                <w:sz w:val="18"/>
              </w:rPr>
              <w:t>*</w:t>
            </w:r>
          </w:p>
        </w:tc>
        <w:tc>
          <w:tcPr>
            <w:tcW w:w="1258" w:type="dxa"/>
            <w:noWrap/>
            <w:hideMark/>
          </w:tcPr>
          <w:p w14:paraId="4406CCA0" w14:textId="77777777" w:rsidR="00E74AED" w:rsidRPr="005145F7" w:rsidRDefault="00E74AED" w:rsidP="007C5203">
            <w:pPr>
              <w:pStyle w:val="NormalWeb"/>
              <w:jc w:val="center"/>
              <w:rPr>
                <w:sz w:val="18"/>
              </w:rPr>
            </w:pPr>
            <w:r w:rsidRPr="00586511">
              <w:rPr>
                <w:sz w:val="18"/>
                <w:lang w:val="id-ID"/>
              </w:rPr>
              <w:t>.908</w:t>
            </w:r>
            <w:r>
              <w:rPr>
                <w:sz w:val="18"/>
              </w:rPr>
              <w:t>*</w:t>
            </w:r>
          </w:p>
        </w:tc>
      </w:tr>
      <w:tr w:rsidR="00E74AED" w:rsidRPr="00586511" w14:paraId="379B19A7" w14:textId="77777777" w:rsidTr="007C5203">
        <w:trPr>
          <w:gridAfter w:val="1"/>
          <w:wAfter w:w="8" w:type="dxa"/>
          <w:trHeight w:val="300"/>
          <w:jc w:val="center"/>
        </w:trPr>
        <w:tc>
          <w:tcPr>
            <w:tcW w:w="1865" w:type="dxa"/>
            <w:noWrap/>
            <w:hideMark/>
          </w:tcPr>
          <w:p w14:paraId="10959F57" w14:textId="77777777" w:rsidR="00E74AED" w:rsidRPr="00586511" w:rsidRDefault="00E74AED" w:rsidP="007C5203">
            <w:pPr>
              <w:pStyle w:val="NormalWeb"/>
              <w:jc w:val="left"/>
              <w:rPr>
                <w:sz w:val="18"/>
                <w:lang w:val="id-ID"/>
              </w:rPr>
            </w:pPr>
            <w:r w:rsidRPr="00586511">
              <w:rPr>
                <w:sz w:val="18"/>
                <w:lang w:val="id-ID"/>
              </w:rPr>
              <w:t>DA</w:t>
            </w:r>
          </w:p>
        </w:tc>
        <w:tc>
          <w:tcPr>
            <w:tcW w:w="1249" w:type="dxa"/>
            <w:noWrap/>
            <w:hideMark/>
          </w:tcPr>
          <w:p w14:paraId="570E9104" w14:textId="77777777" w:rsidR="00E74AED" w:rsidRPr="005145F7" w:rsidRDefault="00E74AED" w:rsidP="007C5203">
            <w:pPr>
              <w:pStyle w:val="NormalWeb"/>
              <w:jc w:val="center"/>
              <w:rPr>
                <w:sz w:val="18"/>
              </w:rPr>
            </w:pPr>
            <w:r w:rsidRPr="00586511">
              <w:rPr>
                <w:sz w:val="18"/>
                <w:lang w:val="id-ID"/>
              </w:rPr>
              <w:t>.444</w:t>
            </w:r>
            <w:r>
              <w:rPr>
                <w:sz w:val="18"/>
              </w:rPr>
              <w:t>*</w:t>
            </w:r>
          </w:p>
        </w:tc>
        <w:tc>
          <w:tcPr>
            <w:tcW w:w="1258" w:type="dxa"/>
            <w:noWrap/>
            <w:hideMark/>
          </w:tcPr>
          <w:p w14:paraId="64DE1A12" w14:textId="77777777" w:rsidR="00E74AED" w:rsidRPr="005145F7" w:rsidRDefault="00E74AED" w:rsidP="007C5203">
            <w:pPr>
              <w:pStyle w:val="NormalWeb"/>
              <w:jc w:val="center"/>
              <w:rPr>
                <w:sz w:val="18"/>
              </w:rPr>
            </w:pPr>
            <w:r>
              <w:rPr>
                <w:sz w:val="18"/>
              </w:rPr>
              <w:t>-</w:t>
            </w:r>
            <w:r w:rsidRPr="00586511">
              <w:rPr>
                <w:sz w:val="18"/>
                <w:lang w:val="id-ID"/>
              </w:rPr>
              <w:t>.688</w:t>
            </w:r>
            <w:r>
              <w:rPr>
                <w:sz w:val="18"/>
              </w:rPr>
              <w:t>*</w:t>
            </w:r>
          </w:p>
        </w:tc>
      </w:tr>
      <w:tr w:rsidR="00E74AED" w:rsidRPr="00586511" w14:paraId="63893D34" w14:textId="77777777" w:rsidTr="007C5203">
        <w:trPr>
          <w:gridAfter w:val="1"/>
          <w:wAfter w:w="8" w:type="dxa"/>
          <w:trHeight w:val="300"/>
          <w:jc w:val="center"/>
        </w:trPr>
        <w:tc>
          <w:tcPr>
            <w:tcW w:w="1865" w:type="dxa"/>
            <w:noWrap/>
            <w:hideMark/>
          </w:tcPr>
          <w:p w14:paraId="5433F1D6" w14:textId="77777777" w:rsidR="00E74AED" w:rsidRPr="00586511" w:rsidRDefault="00E74AED" w:rsidP="007C5203">
            <w:pPr>
              <w:pStyle w:val="NormalWeb"/>
              <w:jc w:val="left"/>
              <w:rPr>
                <w:sz w:val="18"/>
                <w:lang w:val="id-ID"/>
              </w:rPr>
            </w:pPr>
            <w:r w:rsidRPr="00586511">
              <w:rPr>
                <w:sz w:val="18"/>
                <w:lang w:val="id-ID"/>
              </w:rPr>
              <w:t>INT</w:t>
            </w:r>
          </w:p>
        </w:tc>
        <w:tc>
          <w:tcPr>
            <w:tcW w:w="1249" w:type="dxa"/>
            <w:noWrap/>
            <w:hideMark/>
          </w:tcPr>
          <w:p w14:paraId="67D1743C" w14:textId="77777777" w:rsidR="00E74AED" w:rsidRPr="005145F7" w:rsidRDefault="00E74AED" w:rsidP="007C5203">
            <w:pPr>
              <w:pStyle w:val="NormalWeb"/>
              <w:jc w:val="center"/>
              <w:rPr>
                <w:sz w:val="18"/>
              </w:rPr>
            </w:pPr>
            <w:r>
              <w:rPr>
                <w:sz w:val="18"/>
              </w:rPr>
              <w:t>-</w:t>
            </w:r>
            <w:r w:rsidRPr="00586511">
              <w:rPr>
                <w:sz w:val="18"/>
                <w:lang w:val="id-ID"/>
              </w:rPr>
              <w:t>.433</w:t>
            </w:r>
            <w:r>
              <w:rPr>
                <w:sz w:val="18"/>
              </w:rPr>
              <w:t>*</w:t>
            </w:r>
          </w:p>
        </w:tc>
        <w:tc>
          <w:tcPr>
            <w:tcW w:w="1258" w:type="dxa"/>
            <w:noWrap/>
            <w:hideMark/>
          </w:tcPr>
          <w:p w14:paraId="6965054D" w14:textId="77777777" w:rsidR="00E74AED" w:rsidRPr="005145F7" w:rsidRDefault="00E74AED" w:rsidP="007C5203">
            <w:pPr>
              <w:pStyle w:val="NormalWeb"/>
              <w:jc w:val="center"/>
              <w:rPr>
                <w:sz w:val="18"/>
              </w:rPr>
            </w:pPr>
            <w:r>
              <w:rPr>
                <w:sz w:val="18"/>
              </w:rPr>
              <w:t>-</w:t>
            </w:r>
            <w:r w:rsidRPr="00586511">
              <w:rPr>
                <w:sz w:val="18"/>
                <w:lang w:val="id-ID"/>
              </w:rPr>
              <w:t>.363</w:t>
            </w:r>
            <w:r>
              <w:rPr>
                <w:sz w:val="18"/>
              </w:rPr>
              <w:t>**</w:t>
            </w:r>
          </w:p>
        </w:tc>
      </w:tr>
      <w:tr w:rsidR="00E74AED" w:rsidRPr="00586511" w14:paraId="7FF655D6" w14:textId="77777777" w:rsidTr="007C5203">
        <w:trPr>
          <w:gridAfter w:val="1"/>
          <w:wAfter w:w="8" w:type="dxa"/>
          <w:trHeight w:val="300"/>
          <w:jc w:val="center"/>
        </w:trPr>
        <w:tc>
          <w:tcPr>
            <w:tcW w:w="1865" w:type="dxa"/>
            <w:noWrap/>
            <w:hideMark/>
          </w:tcPr>
          <w:p w14:paraId="22FDD2C0" w14:textId="77777777" w:rsidR="00E74AED" w:rsidRPr="00586511" w:rsidRDefault="00E74AED" w:rsidP="007C5203">
            <w:pPr>
              <w:pStyle w:val="NormalWeb"/>
              <w:jc w:val="left"/>
              <w:rPr>
                <w:sz w:val="18"/>
                <w:lang w:val="id-ID"/>
              </w:rPr>
            </w:pPr>
            <w:r w:rsidRPr="00586511">
              <w:rPr>
                <w:sz w:val="18"/>
                <w:lang w:val="id-ID"/>
              </w:rPr>
              <w:t>N</w:t>
            </w:r>
          </w:p>
        </w:tc>
        <w:tc>
          <w:tcPr>
            <w:tcW w:w="1249" w:type="dxa"/>
            <w:noWrap/>
            <w:hideMark/>
          </w:tcPr>
          <w:p w14:paraId="7E8AE7F0" w14:textId="77777777" w:rsidR="00E74AED" w:rsidRPr="00586511" w:rsidRDefault="00E74AED" w:rsidP="007C5203">
            <w:pPr>
              <w:pStyle w:val="NormalWeb"/>
              <w:jc w:val="center"/>
              <w:rPr>
                <w:sz w:val="18"/>
                <w:lang w:val="id-ID"/>
              </w:rPr>
            </w:pPr>
            <w:r w:rsidRPr="00586511">
              <w:rPr>
                <w:sz w:val="18"/>
                <w:lang w:val="id-ID"/>
              </w:rPr>
              <w:t>133</w:t>
            </w:r>
          </w:p>
        </w:tc>
        <w:tc>
          <w:tcPr>
            <w:tcW w:w="1258" w:type="dxa"/>
            <w:noWrap/>
            <w:hideMark/>
          </w:tcPr>
          <w:p w14:paraId="31F0DA60" w14:textId="77777777" w:rsidR="00E74AED" w:rsidRPr="00586511" w:rsidRDefault="00E74AED" w:rsidP="007C5203">
            <w:pPr>
              <w:pStyle w:val="NormalWeb"/>
              <w:jc w:val="center"/>
              <w:rPr>
                <w:sz w:val="18"/>
                <w:lang w:val="id-ID"/>
              </w:rPr>
            </w:pPr>
            <w:r w:rsidRPr="00586511">
              <w:rPr>
                <w:sz w:val="18"/>
                <w:lang w:val="id-ID"/>
              </w:rPr>
              <w:t>45</w:t>
            </w:r>
          </w:p>
        </w:tc>
      </w:tr>
      <w:tr w:rsidR="00E74AED" w:rsidRPr="00586511" w14:paraId="68464201" w14:textId="77777777" w:rsidTr="007C5203">
        <w:trPr>
          <w:trHeight w:val="300"/>
          <w:jc w:val="center"/>
        </w:trPr>
        <w:tc>
          <w:tcPr>
            <w:tcW w:w="4380" w:type="dxa"/>
            <w:gridSpan w:val="4"/>
            <w:noWrap/>
            <w:hideMark/>
          </w:tcPr>
          <w:p w14:paraId="2847DF17" w14:textId="77777777" w:rsidR="00E74AED" w:rsidRPr="00586511" w:rsidRDefault="00E74AED" w:rsidP="007C5203">
            <w:pPr>
              <w:pStyle w:val="NormalWeb"/>
              <w:jc w:val="center"/>
              <w:rPr>
                <w:sz w:val="18"/>
                <w:lang w:val="id-ID"/>
              </w:rPr>
            </w:pPr>
            <w:r>
              <w:rPr>
                <w:sz w:val="18"/>
              </w:rPr>
              <w:t>*p&lt; .01; **p&lt; .05; (angka dalam kurung = p-value)</w:t>
            </w:r>
          </w:p>
        </w:tc>
      </w:tr>
    </w:tbl>
    <w:p w14:paraId="6A5F1998" w14:textId="77777777" w:rsidR="00E74AED" w:rsidRDefault="00E74AED" w:rsidP="00E74AED">
      <w:pPr>
        <w:pStyle w:val="NormalWeb"/>
        <w:spacing w:before="0" w:beforeAutospacing="0" w:after="0" w:afterAutospacing="0"/>
        <w:jc w:val="both"/>
        <w:rPr>
          <w:b/>
        </w:rPr>
      </w:pPr>
    </w:p>
    <w:p w14:paraId="5D65D860" w14:textId="77777777" w:rsidR="00E74AED" w:rsidRDefault="00E74AED" w:rsidP="00E74AED">
      <w:pPr>
        <w:ind w:firstLine="425"/>
        <w:jc w:val="both"/>
        <w:rPr>
          <w:rFonts w:ascii="Times New Roman" w:hAnsi="Times New Roman" w:cs="Times New Roman"/>
          <w:sz w:val="24"/>
          <w:lang w:val="en-US"/>
        </w:rPr>
      </w:pPr>
      <w:r>
        <w:rPr>
          <w:rFonts w:ascii="Times New Roman" w:hAnsi="Times New Roman" w:cs="Times New Roman"/>
          <w:sz w:val="24"/>
          <w:lang w:val="en-US"/>
        </w:rPr>
        <w:t>Merujuk pada perhitungan korelasi, dapat terlihat bahwa hubungan terhadap harga saham meningkat di periode setelah implementasi. Namun hal ini hanya mengindikasikan bahwa harga saham dan variabel model terkait bergerak naik atau turun pada arah yang bersamaan. Hal ini belum tentu menunjukkan pengaruh dari suatu variabel kepada variabel lainnya.</w:t>
      </w:r>
    </w:p>
    <w:p w14:paraId="272AB3E4" w14:textId="77777777" w:rsidR="00E74AED" w:rsidRPr="00D15407" w:rsidRDefault="00E74AED" w:rsidP="00E74AED">
      <w:pPr>
        <w:ind w:firstLine="425"/>
        <w:jc w:val="both"/>
        <w:rPr>
          <w:rFonts w:ascii="Times New Roman" w:hAnsi="Times New Roman" w:cs="Times New Roman"/>
          <w:sz w:val="24"/>
          <w:lang w:val="en-US"/>
        </w:rPr>
      </w:pPr>
      <w:r>
        <w:rPr>
          <w:rFonts w:ascii="Times New Roman" w:hAnsi="Times New Roman" w:cs="Times New Roman"/>
          <w:sz w:val="24"/>
          <w:lang w:val="en-US"/>
        </w:rPr>
        <w:t xml:space="preserve">Nilai korelasi untuk nilai buku dan laba per saham meningkat, dengan </w:t>
      </w:r>
      <w:r>
        <w:rPr>
          <w:rFonts w:ascii="Times New Roman" w:hAnsi="Times New Roman" w:cs="Times New Roman"/>
          <w:i/>
          <w:sz w:val="24"/>
          <w:lang w:val="en-US"/>
        </w:rPr>
        <w:t>p-value</w:t>
      </w:r>
      <w:r>
        <w:rPr>
          <w:rFonts w:ascii="Times New Roman" w:hAnsi="Times New Roman" w:cs="Times New Roman"/>
          <w:sz w:val="24"/>
          <w:lang w:val="en-US"/>
        </w:rPr>
        <w:t xml:space="preserve"> yang signifikan. </w:t>
      </w:r>
      <w:proofErr w:type="gramStart"/>
      <w:r>
        <w:rPr>
          <w:rFonts w:ascii="Times New Roman" w:hAnsi="Times New Roman" w:cs="Times New Roman"/>
          <w:sz w:val="24"/>
          <w:lang w:val="en-US"/>
        </w:rPr>
        <w:t>Sementara  nilai</w:t>
      </w:r>
      <w:proofErr w:type="gramEnd"/>
      <w:r>
        <w:rPr>
          <w:rFonts w:ascii="Times New Roman" w:hAnsi="Times New Roman" w:cs="Times New Roman"/>
          <w:sz w:val="24"/>
          <w:lang w:val="en-US"/>
        </w:rPr>
        <w:t xml:space="preserve"> korelasi beban bunga terhadap nilai saham sedikit menurun. Kemudian korelasi aset dan liabilitas sewa meningkat, namun masih dalam tingkat yang tidak signifikan.</w:t>
      </w:r>
    </w:p>
    <w:p w14:paraId="2C440394" w14:textId="77777777" w:rsidR="00E74AED" w:rsidRDefault="00E74AED" w:rsidP="00E74AED">
      <w:pPr>
        <w:pStyle w:val="NormalWeb"/>
        <w:spacing w:before="0" w:beforeAutospacing="0" w:after="0" w:afterAutospacing="0"/>
        <w:jc w:val="both"/>
        <w:rPr>
          <w:b/>
        </w:rPr>
      </w:pPr>
    </w:p>
    <w:p w14:paraId="4849FEC3" w14:textId="77777777" w:rsidR="00E74AED" w:rsidRPr="007E3848" w:rsidRDefault="00E74AED" w:rsidP="00E74AED">
      <w:pPr>
        <w:pStyle w:val="NormalWeb"/>
        <w:spacing w:before="0" w:beforeAutospacing="0" w:after="0" w:afterAutospacing="0"/>
        <w:jc w:val="both"/>
        <w:rPr>
          <w:b/>
        </w:rPr>
      </w:pPr>
      <w:r>
        <w:rPr>
          <w:b/>
        </w:rPr>
        <w:t>Perhitungan Regresi</w:t>
      </w:r>
    </w:p>
    <w:p w14:paraId="59BF48F1" w14:textId="00587A4D" w:rsidR="00E74AED" w:rsidRDefault="00E74AED" w:rsidP="00E74AED">
      <w:pPr>
        <w:jc w:val="both"/>
        <w:rPr>
          <w:rFonts w:ascii="Times New Roman" w:hAnsi="Times New Roman" w:cs="Times New Roman"/>
          <w:sz w:val="24"/>
          <w:lang w:val="en-US"/>
        </w:rPr>
      </w:pPr>
      <w:r w:rsidRPr="000E7AED">
        <w:rPr>
          <w:rFonts w:ascii="Times New Roman" w:hAnsi="Times New Roman" w:cs="Times New Roman"/>
          <w:sz w:val="24"/>
          <w:lang w:val="en-US"/>
        </w:rPr>
        <w:t xml:space="preserve">Dari </w:t>
      </w:r>
      <w:r>
        <w:rPr>
          <w:rFonts w:ascii="Times New Roman" w:hAnsi="Times New Roman" w:cs="Times New Roman"/>
          <w:sz w:val="24"/>
          <w:lang w:val="en-US"/>
        </w:rPr>
        <w:t xml:space="preserve">tabel 3, penulis mendapatkan hasil regresi untuk 45 perusahaan sampel. Tabel 3 menunjukkan besaran </w:t>
      </w:r>
      <w:r w:rsidR="000E6616" w:rsidRPr="000E6616">
        <w:rPr>
          <w:rFonts w:ascii="Times New Roman" w:hAnsi="Times New Roman" w:cs="Times New Roman"/>
          <w:sz w:val="24"/>
          <w:lang w:val="en-US"/>
        </w:rPr>
        <w:t>koefisien beta</w:t>
      </w:r>
      <w:r w:rsidR="000E6616">
        <w:rPr>
          <w:rFonts w:ascii="Times New Roman" w:hAnsi="Times New Roman" w:cs="Times New Roman"/>
          <w:i/>
          <w:sz w:val="24"/>
          <w:lang w:val="en-US"/>
        </w:rPr>
        <w:t xml:space="preserve"> </w:t>
      </w:r>
      <w:r>
        <w:rPr>
          <w:rFonts w:ascii="Times New Roman" w:hAnsi="Times New Roman" w:cs="Times New Roman"/>
          <w:sz w:val="24"/>
          <w:lang w:val="en-US"/>
        </w:rPr>
        <w:t xml:space="preserve">untuk setiap aspek dalam regresi berdasarkan model penelitian. Hasil regresi menunjukkan bahwa besaran </w:t>
      </w:r>
      <w:r w:rsidR="003C6954">
        <w:rPr>
          <w:rFonts w:ascii="Times New Roman" w:hAnsi="Times New Roman" w:cs="Times New Roman"/>
          <w:sz w:val="24"/>
          <w:lang w:val="en-US"/>
        </w:rPr>
        <w:t xml:space="preserve">koefisien </w:t>
      </w:r>
      <w:r w:rsidRPr="003C6954">
        <w:rPr>
          <w:rFonts w:ascii="Times New Roman" w:hAnsi="Times New Roman" w:cs="Times New Roman"/>
          <w:sz w:val="24"/>
          <w:lang w:val="en-US"/>
        </w:rPr>
        <w:t>beta</w:t>
      </w:r>
      <w:r>
        <w:rPr>
          <w:rFonts w:ascii="Times New Roman" w:hAnsi="Times New Roman" w:cs="Times New Roman"/>
          <w:i/>
          <w:sz w:val="24"/>
          <w:lang w:val="en-US"/>
        </w:rPr>
        <w:t xml:space="preserve"> </w:t>
      </w:r>
      <w:r>
        <w:rPr>
          <w:rFonts w:ascii="Times New Roman" w:hAnsi="Times New Roman" w:cs="Times New Roman"/>
          <w:sz w:val="24"/>
          <w:lang w:val="en-US"/>
        </w:rPr>
        <w:t xml:space="preserve">setelah implementasi lebih kecil daripada sebelum implementasi, selain untuk akun aset sewa. Pengaruh signifikan, diindikasikan oleh </w:t>
      </w:r>
      <w:r w:rsidRPr="001D2D2C">
        <w:rPr>
          <w:rFonts w:ascii="Times New Roman" w:hAnsi="Times New Roman" w:cs="Times New Roman"/>
          <w:i/>
          <w:sz w:val="24"/>
          <w:lang w:val="en-US"/>
        </w:rPr>
        <w:t>p-value</w:t>
      </w:r>
      <w:r>
        <w:rPr>
          <w:rFonts w:ascii="Times New Roman" w:hAnsi="Times New Roman" w:cs="Times New Roman"/>
          <w:sz w:val="24"/>
          <w:lang w:val="en-US"/>
        </w:rPr>
        <w:t xml:space="preserve">, juga terdapat dalam BVPS tanpa aset dan liabilitas sewa serta EPS tanpa depresiasi dan beban bunga. </w:t>
      </w:r>
    </w:p>
    <w:p w14:paraId="1A5E380B" w14:textId="77777777" w:rsidR="00E74AED" w:rsidRPr="0077064A" w:rsidRDefault="00E74AED" w:rsidP="00E74AED">
      <w:pPr>
        <w:ind w:firstLine="425"/>
        <w:jc w:val="both"/>
        <w:rPr>
          <w:rFonts w:ascii="Times New Roman" w:hAnsi="Times New Roman" w:cs="Times New Roman"/>
          <w:sz w:val="24"/>
          <w:lang w:val="en-US"/>
        </w:rPr>
      </w:pPr>
    </w:p>
    <w:tbl>
      <w:tblPr>
        <w:tblStyle w:val="TableGrid"/>
        <w:tblW w:w="0" w:type="auto"/>
        <w:jc w:val="center"/>
        <w:tblLook w:val="04A0" w:firstRow="1" w:lastRow="0" w:firstColumn="1" w:lastColumn="0" w:noHBand="0" w:noVBand="1"/>
      </w:tblPr>
      <w:tblGrid>
        <w:gridCol w:w="1464"/>
        <w:gridCol w:w="1219"/>
        <w:gridCol w:w="1281"/>
      </w:tblGrid>
      <w:tr w:rsidR="00E74AED" w:rsidRPr="00084CCA" w14:paraId="1F021C6C" w14:textId="77777777" w:rsidTr="007C5203">
        <w:trPr>
          <w:trHeight w:val="300"/>
          <w:jc w:val="center"/>
        </w:trPr>
        <w:tc>
          <w:tcPr>
            <w:tcW w:w="3964" w:type="dxa"/>
            <w:gridSpan w:val="3"/>
            <w:noWrap/>
            <w:hideMark/>
          </w:tcPr>
          <w:p w14:paraId="2B98C674" w14:textId="77777777" w:rsidR="00E74AED" w:rsidRPr="00177B77" w:rsidRDefault="00E74AED" w:rsidP="007C5203">
            <w:pPr>
              <w:jc w:val="center"/>
              <w:rPr>
                <w:rFonts w:ascii="Times New Roman" w:hAnsi="Times New Roman" w:cs="Times New Roman"/>
                <w:b/>
                <w:bCs/>
                <w:sz w:val="18"/>
                <w:lang w:val="en-US"/>
              </w:rPr>
            </w:pPr>
            <w:r w:rsidRPr="00084CCA">
              <w:rPr>
                <w:rFonts w:ascii="Times New Roman" w:hAnsi="Times New Roman" w:cs="Times New Roman"/>
                <w:b/>
                <w:bCs/>
                <w:sz w:val="18"/>
              </w:rPr>
              <w:t xml:space="preserve">Tabel </w:t>
            </w:r>
            <w:r>
              <w:rPr>
                <w:rFonts w:ascii="Times New Roman" w:hAnsi="Times New Roman" w:cs="Times New Roman"/>
                <w:b/>
                <w:bCs/>
                <w:sz w:val="18"/>
                <w:lang w:val="en-US"/>
              </w:rPr>
              <w:t>3</w:t>
            </w:r>
            <w:r w:rsidRPr="00084CCA">
              <w:rPr>
                <w:rFonts w:ascii="Times New Roman" w:hAnsi="Times New Roman" w:cs="Times New Roman"/>
                <w:b/>
                <w:bCs/>
                <w:sz w:val="18"/>
              </w:rPr>
              <w:t xml:space="preserve"> : Hasil Regresi</w:t>
            </w:r>
            <w:r>
              <w:rPr>
                <w:rFonts w:ascii="Times New Roman" w:hAnsi="Times New Roman" w:cs="Times New Roman"/>
                <w:b/>
                <w:bCs/>
                <w:sz w:val="18"/>
                <w:lang w:val="en-US"/>
              </w:rPr>
              <w:t xml:space="preserve"> Sampel</w:t>
            </w:r>
          </w:p>
        </w:tc>
      </w:tr>
      <w:tr w:rsidR="00E74AED" w:rsidRPr="00084CCA" w14:paraId="65244BD3" w14:textId="77777777" w:rsidTr="007C5203">
        <w:trPr>
          <w:trHeight w:val="300"/>
          <w:jc w:val="center"/>
        </w:trPr>
        <w:tc>
          <w:tcPr>
            <w:tcW w:w="1464" w:type="dxa"/>
            <w:noWrap/>
            <w:hideMark/>
          </w:tcPr>
          <w:p w14:paraId="2F090B44" w14:textId="77777777" w:rsidR="00E74AED" w:rsidRPr="00084CCA" w:rsidRDefault="00E74AED" w:rsidP="007C5203">
            <w:pPr>
              <w:jc w:val="center"/>
              <w:rPr>
                <w:rFonts w:ascii="Times New Roman" w:hAnsi="Times New Roman" w:cs="Times New Roman"/>
                <w:b/>
                <w:bCs/>
                <w:sz w:val="18"/>
              </w:rPr>
            </w:pPr>
            <w:r w:rsidRPr="00084CCA">
              <w:rPr>
                <w:rFonts w:ascii="Times New Roman" w:hAnsi="Times New Roman" w:cs="Times New Roman"/>
                <w:b/>
                <w:bCs/>
                <w:sz w:val="18"/>
              </w:rPr>
              <w:t>Periode</w:t>
            </w:r>
          </w:p>
        </w:tc>
        <w:tc>
          <w:tcPr>
            <w:tcW w:w="1219" w:type="dxa"/>
            <w:noWrap/>
            <w:hideMark/>
          </w:tcPr>
          <w:p w14:paraId="0901F3BE" w14:textId="77777777" w:rsidR="00E74AED" w:rsidRPr="00084CCA" w:rsidRDefault="00E74AED" w:rsidP="007C5203">
            <w:pPr>
              <w:jc w:val="center"/>
              <w:rPr>
                <w:rFonts w:ascii="Times New Roman" w:hAnsi="Times New Roman" w:cs="Times New Roman"/>
                <w:b/>
                <w:bCs/>
                <w:sz w:val="18"/>
              </w:rPr>
            </w:pPr>
            <w:r w:rsidRPr="00084CCA">
              <w:rPr>
                <w:rFonts w:ascii="Times New Roman" w:hAnsi="Times New Roman" w:cs="Times New Roman"/>
                <w:b/>
                <w:bCs/>
                <w:sz w:val="18"/>
              </w:rPr>
              <w:t>2016-2018</w:t>
            </w:r>
          </w:p>
        </w:tc>
        <w:tc>
          <w:tcPr>
            <w:tcW w:w="1281" w:type="dxa"/>
            <w:noWrap/>
            <w:hideMark/>
          </w:tcPr>
          <w:p w14:paraId="2AF070CE" w14:textId="77777777" w:rsidR="00E74AED" w:rsidRPr="00084CCA" w:rsidRDefault="00E74AED" w:rsidP="007C5203">
            <w:pPr>
              <w:jc w:val="center"/>
              <w:rPr>
                <w:rFonts w:ascii="Times New Roman" w:hAnsi="Times New Roman" w:cs="Times New Roman"/>
                <w:b/>
                <w:bCs/>
                <w:sz w:val="18"/>
              </w:rPr>
            </w:pPr>
            <w:r w:rsidRPr="00084CCA">
              <w:rPr>
                <w:rFonts w:ascii="Times New Roman" w:hAnsi="Times New Roman" w:cs="Times New Roman"/>
                <w:b/>
                <w:bCs/>
                <w:sz w:val="18"/>
              </w:rPr>
              <w:t>2020</w:t>
            </w:r>
          </w:p>
        </w:tc>
      </w:tr>
      <w:tr w:rsidR="00E74AED" w:rsidRPr="00084CCA" w14:paraId="056779E0" w14:textId="77777777" w:rsidTr="007C5203">
        <w:trPr>
          <w:trHeight w:val="300"/>
          <w:jc w:val="center"/>
        </w:trPr>
        <w:tc>
          <w:tcPr>
            <w:tcW w:w="1464" w:type="dxa"/>
            <w:noWrap/>
            <w:hideMark/>
          </w:tcPr>
          <w:p w14:paraId="3C7DD84F" w14:textId="77777777" w:rsidR="00E74AED" w:rsidRPr="00084CCA" w:rsidRDefault="00E74AED" w:rsidP="007C5203">
            <w:pPr>
              <w:rPr>
                <w:rFonts w:ascii="Times New Roman" w:hAnsi="Times New Roman" w:cs="Times New Roman"/>
                <w:sz w:val="18"/>
              </w:rPr>
            </w:pPr>
            <w:r w:rsidRPr="00084CCA">
              <w:rPr>
                <w:rFonts w:ascii="Times New Roman" w:hAnsi="Times New Roman" w:cs="Times New Roman"/>
                <w:sz w:val="18"/>
              </w:rPr>
              <w:t>BVPS(-LA&amp;LL)</w:t>
            </w:r>
          </w:p>
        </w:tc>
        <w:tc>
          <w:tcPr>
            <w:tcW w:w="1219" w:type="dxa"/>
            <w:noWrap/>
            <w:hideMark/>
          </w:tcPr>
          <w:p w14:paraId="42E035CD" w14:textId="77777777" w:rsidR="00E74AED" w:rsidRPr="00084CCA" w:rsidRDefault="00E74AED" w:rsidP="007C5203">
            <w:pPr>
              <w:jc w:val="center"/>
              <w:rPr>
                <w:rFonts w:ascii="Times New Roman" w:hAnsi="Times New Roman" w:cs="Times New Roman"/>
                <w:sz w:val="18"/>
                <w:lang w:val="en-US"/>
              </w:rPr>
            </w:pPr>
            <w:r>
              <w:rPr>
                <w:rFonts w:ascii="Times New Roman" w:hAnsi="Times New Roman" w:cs="Times New Roman"/>
                <w:sz w:val="18"/>
                <w:lang w:val="en-US"/>
              </w:rPr>
              <w:t>-</w:t>
            </w:r>
            <w:r w:rsidRPr="00084CCA">
              <w:rPr>
                <w:rFonts w:ascii="Times New Roman" w:hAnsi="Times New Roman" w:cs="Times New Roman"/>
                <w:sz w:val="18"/>
              </w:rPr>
              <w:t>0.69</w:t>
            </w:r>
            <w:r>
              <w:rPr>
                <w:rFonts w:ascii="Times New Roman" w:hAnsi="Times New Roman" w:cs="Times New Roman"/>
                <w:sz w:val="18"/>
                <w:lang w:val="en-US"/>
              </w:rPr>
              <w:t>1*</w:t>
            </w:r>
          </w:p>
        </w:tc>
        <w:tc>
          <w:tcPr>
            <w:tcW w:w="1281" w:type="dxa"/>
            <w:noWrap/>
            <w:hideMark/>
          </w:tcPr>
          <w:p w14:paraId="2E7CD0EA" w14:textId="77777777" w:rsidR="00E74AED" w:rsidRPr="00C90267" w:rsidRDefault="00E74AED" w:rsidP="007C5203">
            <w:pPr>
              <w:jc w:val="center"/>
              <w:rPr>
                <w:rFonts w:ascii="Times New Roman" w:hAnsi="Times New Roman" w:cs="Times New Roman"/>
                <w:sz w:val="18"/>
                <w:lang w:val="en-US"/>
              </w:rPr>
            </w:pPr>
            <w:r w:rsidRPr="00084CCA">
              <w:rPr>
                <w:rFonts w:ascii="Times New Roman" w:hAnsi="Times New Roman" w:cs="Times New Roman"/>
                <w:sz w:val="18"/>
              </w:rPr>
              <w:t>0.</w:t>
            </w:r>
            <w:r>
              <w:rPr>
                <w:rFonts w:ascii="Times New Roman" w:hAnsi="Times New Roman" w:cs="Times New Roman"/>
                <w:sz w:val="18"/>
                <w:lang w:val="en-US"/>
              </w:rPr>
              <w:t>500</w:t>
            </w:r>
            <w:r>
              <w:rPr>
                <w:rFonts w:ascii="Times New Roman" w:hAnsi="Times New Roman" w:cs="Times New Roman"/>
                <w:sz w:val="18"/>
              </w:rPr>
              <w:t>*</w:t>
            </w:r>
            <w:r>
              <w:rPr>
                <w:rFonts w:ascii="Times New Roman" w:hAnsi="Times New Roman" w:cs="Times New Roman"/>
                <w:sz w:val="18"/>
                <w:lang w:val="en-US"/>
              </w:rPr>
              <w:t>*</w:t>
            </w:r>
          </w:p>
        </w:tc>
      </w:tr>
      <w:tr w:rsidR="00E74AED" w:rsidRPr="00084CCA" w14:paraId="75B1F90F" w14:textId="77777777" w:rsidTr="007C5203">
        <w:trPr>
          <w:trHeight w:val="300"/>
          <w:jc w:val="center"/>
        </w:trPr>
        <w:tc>
          <w:tcPr>
            <w:tcW w:w="1464" w:type="dxa"/>
            <w:noWrap/>
            <w:hideMark/>
          </w:tcPr>
          <w:p w14:paraId="6DBB4A2F" w14:textId="77777777" w:rsidR="00E74AED" w:rsidRPr="00084CCA" w:rsidRDefault="00E74AED" w:rsidP="007C5203">
            <w:pPr>
              <w:rPr>
                <w:rFonts w:ascii="Times New Roman" w:hAnsi="Times New Roman" w:cs="Times New Roman"/>
                <w:sz w:val="18"/>
              </w:rPr>
            </w:pPr>
            <w:r w:rsidRPr="00084CCA">
              <w:rPr>
                <w:rFonts w:ascii="Times New Roman" w:hAnsi="Times New Roman" w:cs="Times New Roman"/>
                <w:sz w:val="18"/>
              </w:rPr>
              <w:t>LA</w:t>
            </w:r>
          </w:p>
        </w:tc>
        <w:tc>
          <w:tcPr>
            <w:tcW w:w="1219" w:type="dxa"/>
            <w:noWrap/>
            <w:hideMark/>
          </w:tcPr>
          <w:p w14:paraId="4519D5AD" w14:textId="77777777" w:rsidR="00E74AED" w:rsidRPr="000D399E" w:rsidRDefault="00E74AED" w:rsidP="007C5203">
            <w:pPr>
              <w:jc w:val="center"/>
              <w:rPr>
                <w:rFonts w:ascii="Times New Roman" w:hAnsi="Times New Roman" w:cs="Times New Roman"/>
                <w:sz w:val="18"/>
                <w:lang w:val="en-US"/>
              </w:rPr>
            </w:pPr>
            <w:r w:rsidRPr="00084CCA">
              <w:rPr>
                <w:rFonts w:ascii="Times New Roman" w:hAnsi="Times New Roman" w:cs="Times New Roman"/>
                <w:sz w:val="18"/>
              </w:rPr>
              <w:t>0.04</w:t>
            </w:r>
            <w:r>
              <w:rPr>
                <w:rFonts w:ascii="Times New Roman" w:hAnsi="Times New Roman" w:cs="Times New Roman"/>
                <w:sz w:val="18"/>
                <w:lang w:val="en-US"/>
              </w:rPr>
              <w:t>4 (.883)</w:t>
            </w:r>
          </w:p>
        </w:tc>
        <w:tc>
          <w:tcPr>
            <w:tcW w:w="1281" w:type="dxa"/>
            <w:noWrap/>
            <w:hideMark/>
          </w:tcPr>
          <w:p w14:paraId="0B271735" w14:textId="77777777" w:rsidR="00E74AED" w:rsidRPr="000D399E" w:rsidRDefault="00E74AED" w:rsidP="007C5203">
            <w:pPr>
              <w:jc w:val="center"/>
              <w:rPr>
                <w:rFonts w:ascii="Times New Roman" w:hAnsi="Times New Roman" w:cs="Times New Roman"/>
                <w:sz w:val="18"/>
                <w:lang w:val="en-US"/>
              </w:rPr>
            </w:pPr>
            <w:r>
              <w:rPr>
                <w:rFonts w:ascii="Times New Roman" w:hAnsi="Times New Roman" w:cs="Times New Roman"/>
                <w:sz w:val="18"/>
                <w:lang w:val="en-US"/>
              </w:rPr>
              <w:t>-</w:t>
            </w:r>
            <w:r w:rsidRPr="00084CCA">
              <w:rPr>
                <w:rFonts w:ascii="Times New Roman" w:hAnsi="Times New Roman" w:cs="Times New Roman"/>
                <w:sz w:val="18"/>
              </w:rPr>
              <w:t>0.</w:t>
            </w:r>
            <w:r>
              <w:rPr>
                <w:rFonts w:ascii="Times New Roman" w:hAnsi="Times New Roman" w:cs="Times New Roman"/>
                <w:sz w:val="18"/>
                <w:lang w:val="en-US"/>
              </w:rPr>
              <w:t>205 (.745)</w:t>
            </w:r>
          </w:p>
        </w:tc>
      </w:tr>
      <w:tr w:rsidR="00E74AED" w:rsidRPr="00084CCA" w14:paraId="51C5DD6A" w14:textId="77777777" w:rsidTr="007C5203">
        <w:trPr>
          <w:trHeight w:val="300"/>
          <w:jc w:val="center"/>
        </w:trPr>
        <w:tc>
          <w:tcPr>
            <w:tcW w:w="1464" w:type="dxa"/>
            <w:noWrap/>
            <w:hideMark/>
          </w:tcPr>
          <w:p w14:paraId="47ACA61E" w14:textId="77777777" w:rsidR="00E74AED" w:rsidRPr="00084CCA" w:rsidRDefault="00E74AED" w:rsidP="007C5203">
            <w:pPr>
              <w:rPr>
                <w:rFonts w:ascii="Times New Roman" w:hAnsi="Times New Roman" w:cs="Times New Roman"/>
                <w:sz w:val="18"/>
              </w:rPr>
            </w:pPr>
            <w:r w:rsidRPr="00084CCA">
              <w:rPr>
                <w:rFonts w:ascii="Times New Roman" w:hAnsi="Times New Roman" w:cs="Times New Roman"/>
                <w:sz w:val="18"/>
              </w:rPr>
              <w:t>LL</w:t>
            </w:r>
          </w:p>
        </w:tc>
        <w:tc>
          <w:tcPr>
            <w:tcW w:w="1219" w:type="dxa"/>
            <w:noWrap/>
            <w:hideMark/>
          </w:tcPr>
          <w:p w14:paraId="456D9581" w14:textId="77777777" w:rsidR="00E74AED" w:rsidRPr="00084CCA" w:rsidRDefault="00E74AED" w:rsidP="007C5203">
            <w:pPr>
              <w:jc w:val="center"/>
              <w:rPr>
                <w:rFonts w:ascii="Times New Roman" w:hAnsi="Times New Roman" w:cs="Times New Roman"/>
                <w:sz w:val="18"/>
                <w:lang w:val="en-US"/>
              </w:rPr>
            </w:pPr>
            <w:r w:rsidRPr="00084CCA">
              <w:rPr>
                <w:rFonts w:ascii="Times New Roman" w:hAnsi="Times New Roman" w:cs="Times New Roman"/>
                <w:sz w:val="18"/>
              </w:rPr>
              <w:t>0.74</w:t>
            </w:r>
            <w:r>
              <w:rPr>
                <w:rFonts w:ascii="Times New Roman" w:hAnsi="Times New Roman" w:cs="Times New Roman"/>
                <w:sz w:val="18"/>
                <w:lang w:val="en-US"/>
              </w:rPr>
              <w:t>8*</w:t>
            </w:r>
          </w:p>
        </w:tc>
        <w:tc>
          <w:tcPr>
            <w:tcW w:w="1281" w:type="dxa"/>
            <w:noWrap/>
            <w:hideMark/>
          </w:tcPr>
          <w:p w14:paraId="180D5014" w14:textId="77777777" w:rsidR="00E74AED" w:rsidRPr="000D399E" w:rsidRDefault="00E74AED" w:rsidP="007C5203">
            <w:pPr>
              <w:jc w:val="center"/>
              <w:rPr>
                <w:rFonts w:ascii="Times New Roman" w:hAnsi="Times New Roman" w:cs="Times New Roman"/>
                <w:sz w:val="18"/>
                <w:lang w:val="en-US"/>
              </w:rPr>
            </w:pPr>
            <w:r>
              <w:rPr>
                <w:rFonts w:ascii="Times New Roman" w:hAnsi="Times New Roman" w:cs="Times New Roman"/>
                <w:sz w:val="18"/>
                <w:lang w:val="en-US"/>
              </w:rPr>
              <w:t>-</w:t>
            </w:r>
            <w:r w:rsidRPr="00084CCA">
              <w:rPr>
                <w:rFonts w:ascii="Times New Roman" w:hAnsi="Times New Roman" w:cs="Times New Roman"/>
                <w:sz w:val="18"/>
              </w:rPr>
              <w:t>0.</w:t>
            </w:r>
            <w:r>
              <w:rPr>
                <w:rFonts w:ascii="Times New Roman" w:hAnsi="Times New Roman" w:cs="Times New Roman"/>
                <w:sz w:val="18"/>
                <w:lang w:val="en-US"/>
              </w:rPr>
              <w:t>149 (.814)</w:t>
            </w:r>
          </w:p>
        </w:tc>
      </w:tr>
      <w:tr w:rsidR="00E74AED" w:rsidRPr="00084CCA" w14:paraId="328E3D2E" w14:textId="77777777" w:rsidTr="007C5203">
        <w:trPr>
          <w:trHeight w:val="300"/>
          <w:jc w:val="center"/>
        </w:trPr>
        <w:tc>
          <w:tcPr>
            <w:tcW w:w="1464" w:type="dxa"/>
            <w:noWrap/>
            <w:hideMark/>
          </w:tcPr>
          <w:p w14:paraId="2ECC16A8" w14:textId="77777777" w:rsidR="00E74AED" w:rsidRPr="00084CCA" w:rsidRDefault="00E74AED" w:rsidP="007C5203">
            <w:pPr>
              <w:rPr>
                <w:rFonts w:ascii="Times New Roman" w:hAnsi="Times New Roman" w:cs="Times New Roman"/>
                <w:sz w:val="18"/>
              </w:rPr>
            </w:pPr>
            <w:r w:rsidRPr="00084CCA">
              <w:rPr>
                <w:rFonts w:ascii="Times New Roman" w:hAnsi="Times New Roman" w:cs="Times New Roman"/>
                <w:sz w:val="18"/>
              </w:rPr>
              <w:t>EPS (-DA&amp;INT)</w:t>
            </w:r>
          </w:p>
        </w:tc>
        <w:tc>
          <w:tcPr>
            <w:tcW w:w="1219" w:type="dxa"/>
            <w:noWrap/>
            <w:hideMark/>
          </w:tcPr>
          <w:p w14:paraId="668DFB21" w14:textId="77777777" w:rsidR="00E74AED" w:rsidRPr="00084CCA" w:rsidRDefault="00E74AED" w:rsidP="007C5203">
            <w:pPr>
              <w:jc w:val="center"/>
              <w:rPr>
                <w:rFonts w:ascii="Times New Roman" w:hAnsi="Times New Roman" w:cs="Times New Roman"/>
                <w:sz w:val="18"/>
                <w:lang w:val="en-US"/>
              </w:rPr>
            </w:pPr>
            <w:r w:rsidRPr="00084CCA">
              <w:rPr>
                <w:rFonts w:ascii="Times New Roman" w:hAnsi="Times New Roman" w:cs="Times New Roman"/>
                <w:sz w:val="18"/>
              </w:rPr>
              <w:t>1.244</w:t>
            </w:r>
            <w:r>
              <w:rPr>
                <w:rFonts w:ascii="Times New Roman" w:hAnsi="Times New Roman" w:cs="Times New Roman"/>
                <w:sz w:val="18"/>
                <w:lang w:val="en-US"/>
              </w:rPr>
              <w:t>*</w:t>
            </w:r>
          </w:p>
        </w:tc>
        <w:tc>
          <w:tcPr>
            <w:tcW w:w="1281" w:type="dxa"/>
            <w:noWrap/>
            <w:hideMark/>
          </w:tcPr>
          <w:p w14:paraId="6FE8017E" w14:textId="77777777" w:rsidR="00E74AED" w:rsidRPr="00984D65" w:rsidRDefault="00E74AED" w:rsidP="007C5203">
            <w:pPr>
              <w:jc w:val="center"/>
              <w:rPr>
                <w:rFonts w:ascii="Times New Roman" w:hAnsi="Times New Roman" w:cs="Times New Roman"/>
                <w:sz w:val="18"/>
                <w:lang w:val="en-US"/>
              </w:rPr>
            </w:pPr>
            <w:r w:rsidRPr="00084CCA">
              <w:rPr>
                <w:rFonts w:ascii="Times New Roman" w:hAnsi="Times New Roman" w:cs="Times New Roman"/>
                <w:sz w:val="18"/>
              </w:rPr>
              <w:t>0.</w:t>
            </w:r>
            <w:r>
              <w:rPr>
                <w:rFonts w:ascii="Times New Roman" w:hAnsi="Times New Roman" w:cs="Times New Roman"/>
                <w:sz w:val="18"/>
                <w:lang w:val="en-US"/>
              </w:rPr>
              <w:t>596*</w:t>
            </w:r>
          </w:p>
        </w:tc>
      </w:tr>
      <w:tr w:rsidR="00E74AED" w:rsidRPr="00084CCA" w14:paraId="52446E25" w14:textId="77777777" w:rsidTr="007C5203">
        <w:trPr>
          <w:trHeight w:val="300"/>
          <w:jc w:val="center"/>
        </w:trPr>
        <w:tc>
          <w:tcPr>
            <w:tcW w:w="1464" w:type="dxa"/>
            <w:noWrap/>
            <w:hideMark/>
          </w:tcPr>
          <w:p w14:paraId="15CDD1AC" w14:textId="77777777" w:rsidR="00E74AED" w:rsidRPr="00084CCA" w:rsidRDefault="00E74AED" w:rsidP="007C5203">
            <w:pPr>
              <w:rPr>
                <w:rFonts w:ascii="Times New Roman" w:hAnsi="Times New Roman" w:cs="Times New Roman"/>
                <w:sz w:val="18"/>
              </w:rPr>
            </w:pPr>
            <w:r w:rsidRPr="00084CCA">
              <w:rPr>
                <w:rFonts w:ascii="Times New Roman" w:hAnsi="Times New Roman" w:cs="Times New Roman"/>
                <w:sz w:val="18"/>
              </w:rPr>
              <w:t>DA</w:t>
            </w:r>
          </w:p>
        </w:tc>
        <w:tc>
          <w:tcPr>
            <w:tcW w:w="1219" w:type="dxa"/>
            <w:noWrap/>
            <w:hideMark/>
          </w:tcPr>
          <w:p w14:paraId="13F183A9" w14:textId="77777777" w:rsidR="00E74AED" w:rsidRPr="000D399E" w:rsidRDefault="00E74AED" w:rsidP="007C5203">
            <w:pPr>
              <w:jc w:val="center"/>
              <w:rPr>
                <w:rFonts w:ascii="Times New Roman" w:hAnsi="Times New Roman" w:cs="Times New Roman"/>
                <w:sz w:val="18"/>
                <w:lang w:val="en-US"/>
              </w:rPr>
            </w:pPr>
            <w:r>
              <w:rPr>
                <w:rFonts w:ascii="Times New Roman" w:hAnsi="Times New Roman" w:cs="Times New Roman"/>
                <w:sz w:val="18"/>
                <w:lang w:val="en-US"/>
              </w:rPr>
              <w:t>-</w:t>
            </w:r>
            <w:r w:rsidRPr="00084CCA">
              <w:rPr>
                <w:rFonts w:ascii="Times New Roman" w:hAnsi="Times New Roman" w:cs="Times New Roman"/>
                <w:sz w:val="18"/>
              </w:rPr>
              <w:t>0.35</w:t>
            </w:r>
            <w:r>
              <w:rPr>
                <w:rFonts w:ascii="Times New Roman" w:hAnsi="Times New Roman" w:cs="Times New Roman"/>
                <w:sz w:val="18"/>
                <w:lang w:val="en-US"/>
              </w:rPr>
              <w:t>4 (.171)</w:t>
            </w:r>
          </w:p>
        </w:tc>
        <w:tc>
          <w:tcPr>
            <w:tcW w:w="1281" w:type="dxa"/>
            <w:noWrap/>
            <w:hideMark/>
          </w:tcPr>
          <w:p w14:paraId="3354AB82" w14:textId="77777777" w:rsidR="00E74AED" w:rsidRPr="000D399E" w:rsidRDefault="00E74AED" w:rsidP="007C5203">
            <w:pPr>
              <w:jc w:val="center"/>
              <w:rPr>
                <w:rFonts w:ascii="Times New Roman" w:hAnsi="Times New Roman" w:cs="Times New Roman"/>
                <w:sz w:val="18"/>
                <w:lang w:val="en-US"/>
              </w:rPr>
            </w:pPr>
            <w:r w:rsidRPr="00084CCA">
              <w:rPr>
                <w:rFonts w:ascii="Times New Roman" w:hAnsi="Times New Roman" w:cs="Times New Roman"/>
                <w:sz w:val="18"/>
              </w:rPr>
              <w:t>0.1</w:t>
            </w:r>
            <w:r>
              <w:rPr>
                <w:rFonts w:ascii="Times New Roman" w:hAnsi="Times New Roman" w:cs="Times New Roman"/>
                <w:sz w:val="18"/>
                <w:lang w:val="en-US"/>
              </w:rPr>
              <w:t>32 (.409)</w:t>
            </w:r>
          </w:p>
        </w:tc>
      </w:tr>
      <w:tr w:rsidR="00E74AED" w:rsidRPr="00084CCA" w14:paraId="6BE7716C" w14:textId="77777777" w:rsidTr="007C5203">
        <w:trPr>
          <w:trHeight w:val="300"/>
          <w:jc w:val="center"/>
        </w:trPr>
        <w:tc>
          <w:tcPr>
            <w:tcW w:w="1464" w:type="dxa"/>
            <w:noWrap/>
            <w:hideMark/>
          </w:tcPr>
          <w:p w14:paraId="26426C11" w14:textId="77777777" w:rsidR="00E74AED" w:rsidRPr="00084CCA" w:rsidRDefault="00E74AED" w:rsidP="007C5203">
            <w:pPr>
              <w:rPr>
                <w:rFonts w:ascii="Times New Roman" w:hAnsi="Times New Roman" w:cs="Times New Roman"/>
                <w:sz w:val="18"/>
              </w:rPr>
            </w:pPr>
            <w:r w:rsidRPr="00084CCA">
              <w:rPr>
                <w:rFonts w:ascii="Times New Roman" w:hAnsi="Times New Roman" w:cs="Times New Roman"/>
                <w:sz w:val="18"/>
              </w:rPr>
              <w:t>INT</w:t>
            </w:r>
          </w:p>
        </w:tc>
        <w:tc>
          <w:tcPr>
            <w:tcW w:w="1219" w:type="dxa"/>
            <w:noWrap/>
            <w:hideMark/>
          </w:tcPr>
          <w:p w14:paraId="5D388DDC" w14:textId="77777777" w:rsidR="00E74AED" w:rsidRPr="000D399E" w:rsidRDefault="00E74AED" w:rsidP="007C5203">
            <w:pPr>
              <w:jc w:val="center"/>
              <w:rPr>
                <w:rFonts w:ascii="Times New Roman" w:hAnsi="Times New Roman" w:cs="Times New Roman"/>
                <w:sz w:val="18"/>
                <w:lang w:val="en-US"/>
              </w:rPr>
            </w:pPr>
            <w:r>
              <w:rPr>
                <w:rFonts w:ascii="Times New Roman" w:hAnsi="Times New Roman" w:cs="Times New Roman"/>
                <w:sz w:val="18"/>
                <w:lang w:val="en-US"/>
              </w:rPr>
              <w:t>-</w:t>
            </w:r>
            <w:r w:rsidRPr="00084CCA">
              <w:rPr>
                <w:rFonts w:ascii="Times New Roman" w:hAnsi="Times New Roman" w:cs="Times New Roman"/>
                <w:sz w:val="18"/>
              </w:rPr>
              <w:t>0.163</w:t>
            </w:r>
            <w:r>
              <w:rPr>
                <w:rFonts w:ascii="Times New Roman" w:hAnsi="Times New Roman" w:cs="Times New Roman"/>
                <w:sz w:val="18"/>
                <w:lang w:val="en-US"/>
              </w:rPr>
              <w:t xml:space="preserve"> (.172)</w:t>
            </w:r>
          </w:p>
        </w:tc>
        <w:tc>
          <w:tcPr>
            <w:tcW w:w="1281" w:type="dxa"/>
            <w:noWrap/>
            <w:hideMark/>
          </w:tcPr>
          <w:p w14:paraId="5DA707EA" w14:textId="77777777" w:rsidR="00E74AED" w:rsidRPr="000D399E" w:rsidRDefault="00E74AED" w:rsidP="007C5203">
            <w:pPr>
              <w:jc w:val="center"/>
              <w:rPr>
                <w:rFonts w:ascii="Times New Roman" w:hAnsi="Times New Roman" w:cs="Times New Roman"/>
                <w:sz w:val="18"/>
                <w:lang w:val="en-US"/>
              </w:rPr>
            </w:pPr>
            <w:r w:rsidRPr="00084CCA">
              <w:rPr>
                <w:rFonts w:ascii="Times New Roman" w:hAnsi="Times New Roman" w:cs="Times New Roman"/>
                <w:sz w:val="18"/>
              </w:rPr>
              <w:t>0.03</w:t>
            </w:r>
            <w:r>
              <w:rPr>
                <w:rFonts w:ascii="Times New Roman" w:hAnsi="Times New Roman" w:cs="Times New Roman"/>
                <w:sz w:val="18"/>
                <w:lang w:val="en-US"/>
              </w:rPr>
              <w:t>0 (.663)</w:t>
            </w:r>
          </w:p>
        </w:tc>
      </w:tr>
      <w:tr w:rsidR="00E74AED" w:rsidRPr="00084CCA" w14:paraId="3F8A9AFA" w14:textId="77777777" w:rsidTr="007C5203">
        <w:trPr>
          <w:trHeight w:val="300"/>
          <w:jc w:val="center"/>
        </w:trPr>
        <w:tc>
          <w:tcPr>
            <w:tcW w:w="1464" w:type="dxa"/>
            <w:noWrap/>
            <w:hideMark/>
          </w:tcPr>
          <w:p w14:paraId="28F73F23" w14:textId="77777777" w:rsidR="00E74AED" w:rsidRPr="003213F2" w:rsidRDefault="00E74AED" w:rsidP="007C5203">
            <w:pPr>
              <w:rPr>
                <w:rFonts w:ascii="Times New Roman" w:hAnsi="Times New Roman" w:cs="Times New Roman"/>
                <w:sz w:val="18"/>
                <w:lang w:val="en-US"/>
              </w:rPr>
            </w:pPr>
            <w:r>
              <w:rPr>
                <w:rFonts w:ascii="Times New Roman" w:hAnsi="Times New Roman" w:cs="Times New Roman"/>
                <w:sz w:val="18"/>
                <w:lang w:val="en-US"/>
              </w:rPr>
              <w:t>n</w:t>
            </w:r>
          </w:p>
        </w:tc>
        <w:tc>
          <w:tcPr>
            <w:tcW w:w="1219" w:type="dxa"/>
            <w:noWrap/>
            <w:hideMark/>
          </w:tcPr>
          <w:p w14:paraId="303DE1C8" w14:textId="77777777" w:rsidR="00E74AED" w:rsidRPr="00084CCA" w:rsidRDefault="00E74AED" w:rsidP="007C5203">
            <w:pPr>
              <w:jc w:val="center"/>
              <w:rPr>
                <w:rFonts w:ascii="Times New Roman" w:hAnsi="Times New Roman" w:cs="Times New Roman"/>
                <w:sz w:val="18"/>
              </w:rPr>
            </w:pPr>
            <w:r w:rsidRPr="00084CCA">
              <w:rPr>
                <w:rFonts w:ascii="Times New Roman" w:hAnsi="Times New Roman" w:cs="Times New Roman"/>
                <w:sz w:val="18"/>
              </w:rPr>
              <w:t>133</w:t>
            </w:r>
          </w:p>
        </w:tc>
        <w:tc>
          <w:tcPr>
            <w:tcW w:w="1281" w:type="dxa"/>
            <w:noWrap/>
            <w:hideMark/>
          </w:tcPr>
          <w:p w14:paraId="510B74BF" w14:textId="77777777" w:rsidR="00E74AED" w:rsidRPr="00084CCA" w:rsidRDefault="00E74AED" w:rsidP="007C5203">
            <w:pPr>
              <w:jc w:val="center"/>
              <w:rPr>
                <w:rFonts w:ascii="Times New Roman" w:hAnsi="Times New Roman" w:cs="Times New Roman"/>
                <w:sz w:val="18"/>
              </w:rPr>
            </w:pPr>
            <w:r w:rsidRPr="00084CCA">
              <w:rPr>
                <w:rFonts w:ascii="Times New Roman" w:hAnsi="Times New Roman" w:cs="Times New Roman"/>
                <w:sz w:val="18"/>
              </w:rPr>
              <w:t>45</w:t>
            </w:r>
          </w:p>
        </w:tc>
      </w:tr>
      <w:tr w:rsidR="00E74AED" w:rsidRPr="00084CCA" w14:paraId="13C368B2" w14:textId="77777777" w:rsidTr="007C5203">
        <w:trPr>
          <w:trHeight w:val="300"/>
          <w:jc w:val="center"/>
        </w:trPr>
        <w:tc>
          <w:tcPr>
            <w:tcW w:w="3964" w:type="dxa"/>
            <w:gridSpan w:val="3"/>
            <w:noWrap/>
            <w:hideMark/>
          </w:tcPr>
          <w:p w14:paraId="43684F9F" w14:textId="77777777" w:rsidR="00E74AED" w:rsidRPr="00084CCA" w:rsidRDefault="00E74AED" w:rsidP="007C5203">
            <w:pPr>
              <w:rPr>
                <w:rFonts w:ascii="Times New Roman" w:hAnsi="Times New Roman" w:cs="Times New Roman"/>
                <w:sz w:val="18"/>
                <w:lang w:val="en-US"/>
              </w:rPr>
            </w:pPr>
            <w:r w:rsidRPr="00084CCA">
              <w:rPr>
                <w:rFonts w:ascii="Times New Roman" w:hAnsi="Times New Roman" w:cs="Times New Roman"/>
                <w:sz w:val="18"/>
              </w:rPr>
              <w:t> </w:t>
            </w:r>
            <w:r>
              <w:rPr>
                <w:rFonts w:ascii="Times New Roman" w:hAnsi="Times New Roman" w:cs="Times New Roman"/>
                <w:sz w:val="18"/>
                <w:lang w:val="en-US"/>
              </w:rPr>
              <w:t>*p&lt; .01; **p&lt; .05; (angka dalam kurung = p-value)</w:t>
            </w:r>
          </w:p>
        </w:tc>
      </w:tr>
    </w:tbl>
    <w:p w14:paraId="4A9437A6" w14:textId="77777777" w:rsidR="00E74AED" w:rsidRPr="008B2FD0" w:rsidRDefault="00E74AED" w:rsidP="00E74AED">
      <w:pPr>
        <w:jc w:val="both"/>
        <w:rPr>
          <w:rFonts w:ascii="Times New Roman" w:hAnsi="Times New Roman" w:cs="Times New Roman"/>
          <w:sz w:val="24"/>
          <w:lang w:val="en-US"/>
        </w:rPr>
      </w:pPr>
    </w:p>
    <w:p w14:paraId="3327C3FB" w14:textId="77777777" w:rsidR="00E74AED" w:rsidRDefault="00E74AED" w:rsidP="00E74AED">
      <w:pPr>
        <w:ind w:firstLine="425"/>
        <w:jc w:val="both"/>
        <w:rPr>
          <w:rFonts w:ascii="Times New Roman" w:hAnsi="Times New Roman" w:cs="Times New Roman"/>
          <w:sz w:val="24"/>
          <w:lang w:val="en-US"/>
        </w:rPr>
      </w:pPr>
      <w:r>
        <w:rPr>
          <w:rFonts w:ascii="Times New Roman" w:hAnsi="Times New Roman" w:cs="Times New Roman"/>
          <w:sz w:val="24"/>
          <w:lang w:val="en-US"/>
        </w:rPr>
        <w:t xml:space="preserve">Hasil regresi mengindikasikan bahwa implementasi PSAK 73 tidak </w:t>
      </w:r>
      <w:proofErr w:type="gramStart"/>
      <w:r>
        <w:rPr>
          <w:rFonts w:ascii="Times New Roman" w:hAnsi="Times New Roman" w:cs="Times New Roman"/>
          <w:sz w:val="24"/>
          <w:lang w:val="en-US"/>
        </w:rPr>
        <w:t>meningkatkan  relevansi</w:t>
      </w:r>
      <w:proofErr w:type="gramEnd"/>
      <w:r>
        <w:rPr>
          <w:rFonts w:ascii="Times New Roman" w:hAnsi="Times New Roman" w:cs="Times New Roman"/>
          <w:sz w:val="24"/>
          <w:lang w:val="en-US"/>
        </w:rPr>
        <w:t xml:space="preserve"> nilai. Hal ini berlawanan dengan hipotesa yang didapat dari kajian literatur, dimana implementasi PSAK 73 diperkirakan akan meningkatkan relevansi nilai. </w:t>
      </w:r>
    </w:p>
    <w:p w14:paraId="17964482" w14:textId="77777777" w:rsidR="00E74AED" w:rsidRPr="00065669" w:rsidRDefault="00E74AED" w:rsidP="00E74AED">
      <w:pPr>
        <w:ind w:firstLine="425"/>
        <w:jc w:val="both"/>
        <w:rPr>
          <w:rFonts w:ascii="Times New Roman" w:hAnsi="Times New Roman" w:cs="Times New Roman"/>
          <w:sz w:val="24"/>
          <w:lang w:val="en-US"/>
        </w:rPr>
      </w:pPr>
      <w:r w:rsidRPr="00065669">
        <w:rPr>
          <w:rFonts w:ascii="Times New Roman" w:hAnsi="Times New Roman" w:cs="Times New Roman"/>
          <w:sz w:val="24"/>
          <w:lang w:val="en-US"/>
        </w:rPr>
        <w:t xml:space="preserve">Beberapa penelitian terdahulu, seperti Tahtah &amp; Roeloefsen </w:t>
      </w:r>
      <w:r w:rsidRPr="00065669">
        <w:rPr>
          <w:rFonts w:ascii="Times New Roman" w:hAnsi="Times New Roman" w:cs="Times New Roman"/>
          <w:sz w:val="24"/>
          <w:lang w:val="en-US"/>
        </w:rPr>
        <w:fldChar w:fldCharType="begin" w:fldLock="1"/>
      </w:r>
      <w:r w:rsidRPr="00065669">
        <w:rPr>
          <w:rFonts w:ascii="Times New Roman" w:hAnsi="Times New Roman" w:cs="Times New Roman"/>
          <w:sz w:val="24"/>
          <w:lang w:val="en-US"/>
        </w:rPr>
        <w:instrText>ADDIN CSL_CITATION {"citationItems":[{"id":"ITEM-1","itemData":{"abstract":"In collaboration with the RotterdamSchool of Management, in the Netherlands, we have conducted a global study to assess the impact of the new leases standard on the financial statements, key financial ratios and performancemeasures on a sample of 3,199 listed IFRS reporting organisations across a range of industries and countries (excluding the United States). The study identifies theminimumimpact of capitalising the operating lease commitments as disclosed in the published financial statements for 2014. In view of organisations assessment of the lease termunder the new standard, the inclusion of amongst others in-substance fixed payments and variable payments linked to an index or rate, the eventual impactmay bemuch greater. Furthermore, the study takes no account of transitional reliefs that are available upon adoption of the new leases standard on 1 January 2019.","author":[{"dropping-particle":"","family":"Tahtah","given":"Jay","non-dropping-particle":"","parse-names":false,"suffix":""},{"dropping-particle":"","family":"Roelofsen","given":"Erik","non-dropping-particle":"","parse-names":false,"suffix":""}],"container-title":"PwC report","id":"ITEM-1","issue":"February","issued":{"date-parts":[["2016"]]},"page":"14","title":"A study on the impact of lease capitalisation IFRS 16 : The new leases standard","type":"article-journal"},"suppress-author":1,"uris":["http://www.mendeley.com/documents/?uuid=46c01c49-cb88-4f82-be1c-ad2cda2e6232"]}],"mendeley":{"formattedCitation":"(2016)","plainTextFormattedCitation":"(2016)","previouslyFormattedCitation":"(2016)"},"properties":{"noteIndex":0},"schema":"https://github.com/citation-style-language/schema/raw/master/csl-citation.json"}</w:instrText>
      </w:r>
      <w:r w:rsidRPr="00065669">
        <w:rPr>
          <w:rFonts w:ascii="Times New Roman" w:hAnsi="Times New Roman" w:cs="Times New Roman"/>
          <w:sz w:val="24"/>
          <w:lang w:val="en-US"/>
        </w:rPr>
        <w:fldChar w:fldCharType="separate"/>
      </w:r>
      <w:r w:rsidRPr="00065669">
        <w:rPr>
          <w:rFonts w:ascii="Times New Roman" w:hAnsi="Times New Roman" w:cs="Times New Roman"/>
          <w:noProof/>
          <w:sz w:val="24"/>
          <w:lang w:val="en-US"/>
        </w:rPr>
        <w:t>(2016)</w:t>
      </w:r>
      <w:r w:rsidRPr="00065669">
        <w:rPr>
          <w:rFonts w:ascii="Times New Roman" w:hAnsi="Times New Roman" w:cs="Times New Roman"/>
          <w:sz w:val="24"/>
          <w:lang w:val="en-US"/>
        </w:rPr>
        <w:fldChar w:fldCharType="end"/>
      </w:r>
      <w:r w:rsidRPr="00065669">
        <w:rPr>
          <w:rFonts w:ascii="Times New Roman" w:hAnsi="Times New Roman" w:cs="Times New Roman"/>
          <w:sz w:val="24"/>
          <w:lang w:val="en-US"/>
        </w:rPr>
        <w:t xml:space="preserve">, dan Diaz &amp; Ramirez </w:t>
      </w:r>
      <w:r w:rsidRPr="00065669">
        <w:rPr>
          <w:rFonts w:ascii="Times New Roman" w:hAnsi="Times New Roman" w:cs="Times New Roman"/>
          <w:sz w:val="24"/>
          <w:lang w:val="en-US"/>
        </w:rPr>
        <w:fldChar w:fldCharType="begin" w:fldLock="1"/>
      </w:r>
      <w:r w:rsidRPr="00065669">
        <w:rPr>
          <w:rFonts w:ascii="Times New Roman" w:hAnsi="Times New Roman" w:cs="Times New Roman"/>
          <w:sz w:val="24"/>
          <w:lang w:val="en-US"/>
        </w:rPr>
        <w:instrText>ADDIN CSL_CITATION {"citationItems":[{"id":"ITEM-1","itemData":{"DOI":"10.1080/17449480.2018.1433307","ISSN":"17449499","abstract":"In January 2016, the International Accounting Standards Board issued a new standard for lease accounting: International Financial Reporting Starndard (IFRS) 16. IFRS 16 will lead to the capitalisation of the majority of current operating leases by lessees. We analyse the impact of the new accounting model on entity’s key financial, contributing to research by making significant changes in the Imhoff et al. [(1991). Operating leases: Impact of constructive capitalization. Accounting Horizons, 5(1), 51–63. Retrieved from http://search.ebscohost.com/login.aspx?direct=true&amp;db=buh&amp;AN=9604010111&amp;site=ehost-live; (1997). Operating leases: Income effects of constructive capitalization. Accounting Horizons, 11(2), 12–32. Retrieved from http://0-search.proquest.com.fama.us.es/docview/208896121?accountid=14744] methodology used by previous authors. We change how the lease term is estimated (more aligned with the final approved standard), and how the discount rate is obtained. Furthermore, we use a more comprehensive sample (646 quoted European companies). In line with previous research we find important systematic impacts on key balance sheet financial ratios (mainly leverage ratios), on a magnitude that depends on the operating lease intensity of the sector in which the entity operates. Our estimated impact is generally higher than that obtained in previous studies. The most affected sectors are retail, hotels and transportation. We do not find a consistent result with regard to the effect on profitability ratios.","author":[{"dropping-particle":"","family":"Morales-Díaz","given":"José","non-dropping-particle":"","parse-names":false,"suffix":""},{"dropping-particle":"","family":"Zamora-Ramírez","given":"Constancio","non-dropping-particle":"","parse-names":false,"suffix":""}],"container-title":"Accounting in Europe","id":"ITEM-1","issue":"1","issued":{"date-parts":[["2018"]]},"page":"105-133","publisher":"Taylor &amp; Francis","title":"The Impact of IFRS 16 on Key Financial Ratios: A New Methodological Approach","type":"article-journal","volume":"15"},"suppress-author":1,"uris":["http://www.mendeley.com/documents/?uuid=8bbe9ccc-f8b1-4fe3-87c7-19ede5bad7fb"]}],"mendeley":{"formattedCitation":"(2018)","plainTextFormattedCitation":"(2018)","previouslyFormattedCitation":"(2018)"},"properties":{"noteIndex":0},"schema":"https://github.com/citation-style-language/schema/raw/master/csl-citation.json"}</w:instrText>
      </w:r>
      <w:r w:rsidRPr="00065669">
        <w:rPr>
          <w:rFonts w:ascii="Times New Roman" w:hAnsi="Times New Roman" w:cs="Times New Roman"/>
          <w:sz w:val="24"/>
          <w:lang w:val="en-US"/>
        </w:rPr>
        <w:fldChar w:fldCharType="separate"/>
      </w:r>
      <w:r w:rsidRPr="00065669">
        <w:rPr>
          <w:rFonts w:ascii="Times New Roman" w:hAnsi="Times New Roman" w:cs="Times New Roman"/>
          <w:noProof/>
          <w:sz w:val="24"/>
          <w:lang w:val="en-US"/>
        </w:rPr>
        <w:t>(2018)</w:t>
      </w:r>
      <w:r w:rsidRPr="00065669">
        <w:rPr>
          <w:rFonts w:ascii="Times New Roman" w:hAnsi="Times New Roman" w:cs="Times New Roman"/>
          <w:sz w:val="24"/>
          <w:lang w:val="en-US"/>
        </w:rPr>
        <w:fldChar w:fldCharType="end"/>
      </w:r>
      <w:r w:rsidRPr="00065669">
        <w:rPr>
          <w:rFonts w:ascii="Times New Roman" w:hAnsi="Times New Roman" w:cs="Times New Roman"/>
          <w:sz w:val="24"/>
          <w:lang w:val="en-US"/>
        </w:rPr>
        <w:t xml:space="preserve">, mengindikasikan bahwa setiap perusahaan dan industri mempunyai intensitas aset dan liabilitas sewa yang berbeda, dan dampak dari implementasi </w:t>
      </w:r>
      <w:r>
        <w:rPr>
          <w:rFonts w:ascii="Times New Roman" w:hAnsi="Times New Roman" w:cs="Times New Roman"/>
          <w:sz w:val="24"/>
          <w:lang w:val="en-US"/>
        </w:rPr>
        <w:br/>
      </w:r>
      <w:r w:rsidRPr="00065669">
        <w:rPr>
          <w:rFonts w:ascii="Times New Roman" w:hAnsi="Times New Roman" w:cs="Times New Roman"/>
          <w:sz w:val="24"/>
          <w:lang w:val="en-US"/>
        </w:rPr>
        <w:t>PSAK 73 juga akan berbeda pada setiap tingkat intensitasnya.  Sehingga penulis melakukan regresi untuk perusahaan yang mempunyai proporsi aset atau liabilitas sewa signifikan, yakni di atas lima persen (5%) dari total aset atau liabilitas. Batas lima persen diambil dengan pertimbangan jumlah sampel yang cukup untuk dilakukan regresi.</w:t>
      </w:r>
    </w:p>
    <w:p w14:paraId="7ACEFE46" w14:textId="77777777" w:rsidR="00E74AED" w:rsidRDefault="00E74AED" w:rsidP="00E74AED">
      <w:pPr>
        <w:ind w:firstLine="425"/>
        <w:jc w:val="both"/>
        <w:rPr>
          <w:rFonts w:ascii="Times New Roman" w:hAnsi="Times New Roman" w:cs="Times New Roman"/>
          <w:sz w:val="24"/>
          <w:lang w:val="en-US"/>
        </w:rPr>
      </w:pPr>
      <w:r w:rsidRPr="0054195E">
        <w:rPr>
          <w:rFonts w:ascii="Times New Roman" w:hAnsi="Times New Roman" w:cs="Times New Roman"/>
          <w:sz w:val="24"/>
          <w:lang w:val="en-US"/>
        </w:rPr>
        <w:t xml:space="preserve">Melihat ke tabel </w:t>
      </w:r>
      <w:r>
        <w:rPr>
          <w:rFonts w:ascii="Times New Roman" w:hAnsi="Times New Roman" w:cs="Times New Roman"/>
          <w:sz w:val="24"/>
          <w:lang w:val="en-US"/>
        </w:rPr>
        <w:t>4</w:t>
      </w:r>
      <w:r w:rsidRPr="0054195E">
        <w:rPr>
          <w:rFonts w:ascii="Times New Roman" w:hAnsi="Times New Roman" w:cs="Times New Roman"/>
          <w:sz w:val="24"/>
          <w:lang w:val="en-US"/>
        </w:rPr>
        <w:t xml:space="preserve">, hasil regresi untuk perusahaan yang mempunyai aset dan liabilitas sewa signifikan </w:t>
      </w:r>
      <w:r>
        <w:rPr>
          <w:rFonts w:ascii="Times New Roman" w:hAnsi="Times New Roman" w:cs="Times New Roman"/>
          <w:sz w:val="24"/>
          <w:lang w:val="en-US"/>
        </w:rPr>
        <w:t xml:space="preserve">menunjukkan bahwa pengaruh variabel model terhadap harga saham meningkat setelah implementasi PSAK 73. Hal </w:t>
      </w:r>
      <w:r>
        <w:rPr>
          <w:rFonts w:ascii="Times New Roman" w:hAnsi="Times New Roman" w:cs="Times New Roman"/>
          <w:sz w:val="24"/>
          <w:lang w:val="en-US"/>
        </w:rPr>
        <w:lastRenderedPageBreak/>
        <w:t xml:space="preserve">ini memberikan indikasi bahwa untuk pemegang saham perusahaan-perusahaan yang cukup banyak menggunakan transaksi sewa, aset dan liabilitas sewa menjadi lebih penting, dibandingkan bagi pemegang saham perusahaan-perusahaan yang tidak. </w:t>
      </w:r>
    </w:p>
    <w:p w14:paraId="71FDB578" w14:textId="77777777" w:rsidR="00E74AED" w:rsidRPr="00C73C34" w:rsidRDefault="00E74AED" w:rsidP="00E74AED">
      <w:pPr>
        <w:ind w:firstLine="425"/>
        <w:jc w:val="both"/>
        <w:rPr>
          <w:rFonts w:ascii="Times New Roman" w:hAnsi="Times New Roman" w:cs="Times New Roman"/>
          <w:sz w:val="24"/>
          <w:lang w:val="en-US"/>
        </w:rPr>
      </w:pPr>
      <w:r>
        <w:rPr>
          <w:rFonts w:ascii="Times New Roman" w:hAnsi="Times New Roman" w:cs="Times New Roman"/>
          <w:sz w:val="24"/>
          <w:lang w:val="en-US"/>
        </w:rPr>
        <w:t xml:space="preserve">Namun hasil ini juga masih terbatas oleh </w:t>
      </w:r>
      <w:r>
        <w:rPr>
          <w:rFonts w:ascii="Times New Roman" w:hAnsi="Times New Roman" w:cs="Times New Roman"/>
          <w:i/>
          <w:sz w:val="24"/>
          <w:lang w:val="en-US"/>
        </w:rPr>
        <w:t>p-value</w:t>
      </w:r>
      <w:r>
        <w:rPr>
          <w:rFonts w:ascii="Times New Roman" w:hAnsi="Times New Roman" w:cs="Times New Roman"/>
          <w:sz w:val="24"/>
          <w:lang w:val="en-US"/>
        </w:rPr>
        <w:t xml:space="preserve"> yang belum signifikan. Hal ini dikarenakan jumlah data yang masih kecil (33 observasi sebelum implementasi dan 11 observasi sesudah), sehingga belum bisa dinyatakan dengan keyakinan yang memadai. </w:t>
      </w:r>
    </w:p>
    <w:p w14:paraId="2D27A81E" w14:textId="77777777" w:rsidR="00E74AED" w:rsidRPr="007E3848" w:rsidRDefault="00E74AED" w:rsidP="00E74AED">
      <w:pPr>
        <w:rPr>
          <w:rFonts w:ascii="Times New Roman" w:eastAsia="MS Mincho" w:hAnsi="Times New Roman" w:cs="Times New Roman"/>
          <w:b/>
          <w:sz w:val="24"/>
          <w:szCs w:val="24"/>
          <w:highlight w:val="yellow"/>
          <w:lang w:eastAsia="ja-JP"/>
        </w:rPr>
      </w:pPr>
    </w:p>
    <w:tbl>
      <w:tblPr>
        <w:tblStyle w:val="TableGrid"/>
        <w:tblW w:w="4673" w:type="dxa"/>
        <w:jc w:val="center"/>
        <w:tblLook w:val="04A0" w:firstRow="1" w:lastRow="0" w:firstColumn="1" w:lastColumn="0" w:noHBand="0" w:noVBand="1"/>
      </w:tblPr>
      <w:tblGrid>
        <w:gridCol w:w="1876"/>
        <w:gridCol w:w="1563"/>
        <w:gridCol w:w="1234"/>
      </w:tblGrid>
      <w:tr w:rsidR="00E74AED" w:rsidRPr="007E3848" w14:paraId="14B71B19" w14:textId="77777777" w:rsidTr="007C5203">
        <w:trPr>
          <w:trHeight w:val="300"/>
          <w:jc w:val="center"/>
        </w:trPr>
        <w:tc>
          <w:tcPr>
            <w:tcW w:w="4673" w:type="dxa"/>
            <w:gridSpan w:val="3"/>
            <w:noWrap/>
            <w:hideMark/>
          </w:tcPr>
          <w:p w14:paraId="6569538C" w14:textId="77777777" w:rsidR="00E74AED" w:rsidRPr="006F502B" w:rsidRDefault="00E74AED" w:rsidP="007C5203">
            <w:pPr>
              <w:jc w:val="center"/>
              <w:rPr>
                <w:rFonts w:ascii="Times New Roman" w:eastAsia="MS Mincho" w:hAnsi="Times New Roman" w:cs="Times New Roman"/>
                <w:b/>
                <w:bCs/>
                <w:sz w:val="18"/>
                <w:szCs w:val="24"/>
                <w:lang w:val="en-US" w:eastAsia="ja-JP"/>
              </w:rPr>
            </w:pPr>
            <w:r w:rsidRPr="006F502B">
              <w:rPr>
                <w:rFonts w:ascii="Times New Roman" w:eastAsia="MS Mincho" w:hAnsi="Times New Roman" w:cs="Times New Roman"/>
                <w:b/>
                <w:bCs/>
                <w:sz w:val="18"/>
                <w:szCs w:val="24"/>
                <w:lang w:eastAsia="ja-JP"/>
              </w:rPr>
              <w:t xml:space="preserve">Tabel </w:t>
            </w:r>
            <w:r>
              <w:rPr>
                <w:rFonts w:ascii="Times New Roman" w:eastAsia="MS Mincho" w:hAnsi="Times New Roman" w:cs="Times New Roman"/>
                <w:b/>
                <w:bCs/>
                <w:sz w:val="18"/>
                <w:szCs w:val="24"/>
                <w:lang w:val="en-US" w:eastAsia="ja-JP"/>
              </w:rPr>
              <w:t>4</w:t>
            </w:r>
            <w:r w:rsidRPr="006F502B">
              <w:rPr>
                <w:rFonts w:ascii="Times New Roman" w:eastAsia="MS Mincho" w:hAnsi="Times New Roman" w:cs="Times New Roman"/>
                <w:b/>
                <w:bCs/>
                <w:sz w:val="18"/>
                <w:szCs w:val="24"/>
                <w:lang w:eastAsia="ja-JP"/>
              </w:rPr>
              <w:t xml:space="preserve"> : Hasil Regresi LA &amp; LL &gt;5%</w:t>
            </w:r>
          </w:p>
        </w:tc>
      </w:tr>
      <w:tr w:rsidR="00E74AED" w:rsidRPr="007E3848" w14:paraId="1A1D5085" w14:textId="77777777" w:rsidTr="007C5203">
        <w:trPr>
          <w:trHeight w:val="300"/>
          <w:jc w:val="center"/>
        </w:trPr>
        <w:tc>
          <w:tcPr>
            <w:tcW w:w="1876" w:type="dxa"/>
            <w:noWrap/>
            <w:hideMark/>
          </w:tcPr>
          <w:p w14:paraId="4F973D83" w14:textId="77777777" w:rsidR="00E74AED" w:rsidRPr="006F502B" w:rsidRDefault="00E74AED" w:rsidP="007C5203">
            <w:pPr>
              <w:jc w:val="center"/>
              <w:rPr>
                <w:rFonts w:ascii="Times New Roman" w:eastAsia="MS Mincho" w:hAnsi="Times New Roman" w:cs="Times New Roman"/>
                <w:b/>
                <w:bCs/>
                <w:sz w:val="18"/>
                <w:szCs w:val="24"/>
                <w:lang w:eastAsia="ja-JP"/>
              </w:rPr>
            </w:pPr>
            <w:r w:rsidRPr="006F502B">
              <w:rPr>
                <w:rFonts w:ascii="Times New Roman" w:eastAsia="MS Mincho" w:hAnsi="Times New Roman" w:cs="Times New Roman"/>
                <w:b/>
                <w:bCs/>
                <w:sz w:val="18"/>
                <w:szCs w:val="24"/>
                <w:lang w:eastAsia="ja-JP"/>
              </w:rPr>
              <w:t>Periode</w:t>
            </w:r>
          </w:p>
        </w:tc>
        <w:tc>
          <w:tcPr>
            <w:tcW w:w="1563" w:type="dxa"/>
            <w:noWrap/>
            <w:hideMark/>
          </w:tcPr>
          <w:p w14:paraId="781FA39A" w14:textId="77777777" w:rsidR="00E74AED" w:rsidRPr="006F502B" w:rsidRDefault="00E74AED" w:rsidP="007C5203">
            <w:pPr>
              <w:jc w:val="center"/>
              <w:rPr>
                <w:rFonts w:ascii="Times New Roman" w:eastAsia="MS Mincho" w:hAnsi="Times New Roman" w:cs="Times New Roman"/>
                <w:b/>
                <w:bCs/>
                <w:sz w:val="18"/>
                <w:szCs w:val="24"/>
                <w:lang w:eastAsia="ja-JP"/>
              </w:rPr>
            </w:pPr>
            <w:r w:rsidRPr="006F502B">
              <w:rPr>
                <w:rFonts w:ascii="Times New Roman" w:eastAsia="MS Mincho" w:hAnsi="Times New Roman" w:cs="Times New Roman"/>
                <w:b/>
                <w:bCs/>
                <w:sz w:val="18"/>
                <w:szCs w:val="24"/>
                <w:lang w:eastAsia="ja-JP"/>
              </w:rPr>
              <w:t>2016-2018</w:t>
            </w:r>
          </w:p>
        </w:tc>
        <w:tc>
          <w:tcPr>
            <w:tcW w:w="1234" w:type="dxa"/>
            <w:noWrap/>
            <w:hideMark/>
          </w:tcPr>
          <w:p w14:paraId="70D4430D" w14:textId="77777777" w:rsidR="00E74AED" w:rsidRPr="006F502B" w:rsidRDefault="00E74AED" w:rsidP="007C5203">
            <w:pPr>
              <w:jc w:val="center"/>
              <w:rPr>
                <w:rFonts w:ascii="Times New Roman" w:eastAsia="MS Mincho" w:hAnsi="Times New Roman" w:cs="Times New Roman"/>
                <w:b/>
                <w:bCs/>
                <w:sz w:val="18"/>
                <w:szCs w:val="24"/>
                <w:lang w:eastAsia="ja-JP"/>
              </w:rPr>
            </w:pPr>
            <w:r w:rsidRPr="006F502B">
              <w:rPr>
                <w:rFonts w:ascii="Times New Roman" w:eastAsia="MS Mincho" w:hAnsi="Times New Roman" w:cs="Times New Roman"/>
                <w:b/>
                <w:bCs/>
                <w:sz w:val="18"/>
                <w:szCs w:val="24"/>
                <w:lang w:eastAsia="ja-JP"/>
              </w:rPr>
              <w:t>2020</w:t>
            </w:r>
          </w:p>
        </w:tc>
      </w:tr>
      <w:tr w:rsidR="00E74AED" w:rsidRPr="007E3848" w14:paraId="71B81C99" w14:textId="77777777" w:rsidTr="007C5203">
        <w:trPr>
          <w:trHeight w:val="300"/>
          <w:jc w:val="center"/>
        </w:trPr>
        <w:tc>
          <w:tcPr>
            <w:tcW w:w="1876" w:type="dxa"/>
            <w:noWrap/>
            <w:hideMark/>
          </w:tcPr>
          <w:p w14:paraId="71A6CF76" w14:textId="77777777" w:rsidR="00E74AED" w:rsidRPr="006F502B" w:rsidRDefault="00E74AED" w:rsidP="007C5203">
            <w:pPr>
              <w:jc w:val="left"/>
              <w:rPr>
                <w:rFonts w:ascii="Times New Roman" w:eastAsia="MS Mincho" w:hAnsi="Times New Roman" w:cs="Times New Roman"/>
                <w:sz w:val="18"/>
                <w:szCs w:val="24"/>
                <w:lang w:eastAsia="ja-JP"/>
              </w:rPr>
            </w:pPr>
            <w:r w:rsidRPr="006F502B">
              <w:rPr>
                <w:rFonts w:ascii="Times New Roman" w:eastAsia="MS Mincho" w:hAnsi="Times New Roman" w:cs="Times New Roman"/>
                <w:sz w:val="18"/>
                <w:szCs w:val="24"/>
                <w:lang w:eastAsia="ja-JP"/>
              </w:rPr>
              <w:t>BVPS (-LA&amp;LL)</w:t>
            </w:r>
          </w:p>
        </w:tc>
        <w:tc>
          <w:tcPr>
            <w:tcW w:w="1563" w:type="dxa"/>
            <w:noWrap/>
            <w:hideMark/>
          </w:tcPr>
          <w:p w14:paraId="2771D735" w14:textId="77777777" w:rsidR="00E74AED" w:rsidRPr="006F502B" w:rsidRDefault="00E74AED" w:rsidP="007C5203">
            <w:pPr>
              <w:jc w:val="center"/>
              <w:rPr>
                <w:rFonts w:ascii="Times New Roman" w:eastAsia="MS Mincho" w:hAnsi="Times New Roman" w:cs="Times New Roman"/>
                <w:sz w:val="18"/>
                <w:szCs w:val="24"/>
                <w:lang w:val="en-US" w:eastAsia="ja-JP"/>
              </w:rPr>
            </w:pPr>
            <w:r w:rsidRPr="006F502B">
              <w:rPr>
                <w:rFonts w:ascii="Times New Roman" w:eastAsia="MS Mincho" w:hAnsi="Times New Roman" w:cs="Times New Roman"/>
                <w:sz w:val="18"/>
                <w:szCs w:val="24"/>
                <w:lang w:eastAsia="ja-JP"/>
              </w:rPr>
              <w:t>0.488</w:t>
            </w:r>
            <w:r w:rsidRPr="006F502B">
              <w:rPr>
                <w:rFonts w:ascii="Times New Roman" w:eastAsia="MS Mincho" w:hAnsi="Times New Roman" w:cs="Times New Roman"/>
                <w:sz w:val="18"/>
                <w:szCs w:val="24"/>
                <w:lang w:val="en-US" w:eastAsia="ja-JP"/>
              </w:rPr>
              <w:t xml:space="preserve"> (.353)</w:t>
            </w:r>
          </w:p>
        </w:tc>
        <w:tc>
          <w:tcPr>
            <w:tcW w:w="1234" w:type="dxa"/>
            <w:noWrap/>
            <w:hideMark/>
          </w:tcPr>
          <w:p w14:paraId="5559D11D" w14:textId="77777777" w:rsidR="00E74AED" w:rsidRPr="006F502B" w:rsidRDefault="00E74AED" w:rsidP="007C5203">
            <w:pPr>
              <w:jc w:val="center"/>
              <w:rPr>
                <w:rFonts w:ascii="Times New Roman" w:eastAsia="MS Mincho" w:hAnsi="Times New Roman" w:cs="Times New Roman"/>
                <w:sz w:val="18"/>
                <w:szCs w:val="24"/>
                <w:lang w:val="en-US" w:eastAsia="ja-JP"/>
              </w:rPr>
            </w:pPr>
            <w:r w:rsidRPr="006F502B">
              <w:rPr>
                <w:rFonts w:ascii="Times New Roman" w:eastAsia="MS Mincho" w:hAnsi="Times New Roman" w:cs="Times New Roman"/>
                <w:sz w:val="18"/>
                <w:szCs w:val="24"/>
                <w:lang w:eastAsia="ja-JP"/>
              </w:rPr>
              <w:t>0.255</w:t>
            </w:r>
            <w:r w:rsidRPr="006F502B">
              <w:rPr>
                <w:rFonts w:ascii="Times New Roman" w:eastAsia="MS Mincho" w:hAnsi="Times New Roman" w:cs="Times New Roman"/>
                <w:sz w:val="18"/>
                <w:szCs w:val="24"/>
                <w:lang w:val="en-US" w:eastAsia="ja-JP"/>
              </w:rPr>
              <w:t xml:space="preserve"> (.881)</w:t>
            </w:r>
          </w:p>
        </w:tc>
      </w:tr>
      <w:tr w:rsidR="00E74AED" w:rsidRPr="007E3848" w14:paraId="214CD550" w14:textId="77777777" w:rsidTr="007C5203">
        <w:trPr>
          <w:trHeight w:val="300"/>
          <w:jc w:val="center"/>
        </w:trPr>
        <w:tc>
          <w:tcPr>
            <w:tcW w:w="1876" w:type="dxa"/>
            <w:noWrap/>
            <w:hideMark/>
          </w:tcPr>
          <w:p w14:paraId="3F2E1C55" w14:textId="77777777" w:rsidR="00E74AED" w:rsidRPr="006F502B" w:rsidRDefault="00E74AED" w:rsidP="007C5203">
            <w:pPr>
              <w:rPr>
                <w:rFonts w:ascii="Times New Roman" w:eastAsia="MS Mincho" w:hAnsi="Times New Roman" w:cs="Times New Roman"/>
                <w:sz w:val="18"/>
                <w:szCs w:val="24"/>
                <w:lang w:eastAsia="ja-JP"/>
              </w:rPr>
            </w:pPr>
            <w:r w:rsidRPr="006F502B">
              <w:rPr>
                <w:rFonts w:ascii="Times New Roman" w:eastAsia="MS Mincho" w:hAnsi="Times New Roman" w:cs="Times New Roman"/>
                <w:sz w:val="18"/>
                <w:szCs w:val="24"/>
                <w:lang w:eastAsia="ja-JP"/>
              </w:rPr>
              <w:t>LA</w:t>
            </w:r>
          </w:p>
        </w:tc>
        <w:tc>
          <w:tcPr>
            <w:tcW w:w="1563" w:type="dxa"/>
            <w:noWrap/>
            <w:hideMark/>
          </w:tcPr>
          <w:p w14:paraId="6701C15E" w14:textId="77777777" w:rsidR="00E74AED" w:rsidRPr="006F502B" w:rsidRDefault="00E74AED" w:rsidP="007C5203">
            <w:pPr>
              <w:jc w:val="center"/>
              <w:rPr>
                <w:rFonts w:ascii="Times New Roman" w:eastAsia="MS Mincho" w:hAnsi="Times New Roman" w:cs="Times New Roman"/>
                <w:sz w:val="18"/>
                <w:szCs w:val="24"/>
                <w:lang w:val="en-US" w:eastAsia="ja-JP"/>
              </w:rPr>
            </w:pPr>
            <w:r w:rsidRPr="006F502B">
              <w:rPr>
                <w:rFonts w:ascii="Times New Roman" w:eastAsia="MS Mincho" w:hAnsi="Times New Roman" w:cs="Times New Roman"/>
                <w:sz w:val="18"/>
                <w:szCs w:val="24"/>
                <w:lang w:eastAsia="ja-JP"/>
              </w:rPr>
              <w:t>0.330</w:t>
            </w:r>
            <w:r w:rsidRPr="006F502B">
              <w:rPr>
                <w:rFonts w:ascii="Times New Roman" w:eastAsia="MS Mincho" w:hAnsi="Times New Roman" w:cs="Times New Roman"/>
                <w:sz w:val="18"/>
                <w:szCs w:val="24"/>
                <w:lang w:val="en-US" w:eastAsia="ja-JP"/>
              </w:rPr>
              <w:t>(.577)</w:t>
            </w:r>
          </w:p>
        </w:tc>
        <w:tc>
          <w:tcPr>
            <w:tcW w:w="1234" w:type="dxa"/>
            <w:noWrap/>
            <w:hideMark/>
          </w:tcPr>
          <w:p w14:paraId="496420D8" w14:textId="77777777" w:rsidR="00E74AED" w:rsidRPr="006F502B" w:rsidRDefault="00E74AED" w:rsidP="007C5203">
            <w:pPr>
              <w:jc w:val="center"/>
              <w:rPr>
                <w:rFonts w:ascii="Times New Roman" w:eastAsia="MS Mincho" w:hAnsi="Times New Roman" w:cs="Times New Roman"/>
                <w:sz w:val="18"/>
                <w:szCs w:val="24"/>
                <w:lang w:val="en-US" w:eastAsia="ja-JP"/>
              </w:rPr>
            </w:pPr>
            <w:r w:rsidRPr="006F502B">
              <w:rPr>
                <w:rFonts w:ascii="Times New Roman" w:eastAsia="MS Mincho" w:hAnsi="Times New Roman" w:cs="Times New Roman"/>
                <w:sz w:val="18"/>
                <w:szCs w:val="24"/>
                <w:lang w:eastAsia="ja-JP"/>
              </w:rPr>
              <w:t>1.783</w:t>
            </w:r>
            <w:r w:rsidRPr="006F502B">
              <w:rPr>
                <w:rFonts w:ascii="Times New Roman" w:eastAsia="MS Mincho" w:hAnsi="Times New Roman" w:cs="Times New Roman"/>
                <w:sz w:val="18"/>
                <w:szCs w:val="24"/>
                <w:lang w:val="en-US" w:eastAsia="ja-JP"/>
              </w:rPr>
              <w:t xml:space="preserve"> (.717)</w:t>
            </w:r>
          </w:p>
        </w:tc>
      </w:tr>
      <w:tr w:rsidR="00E74AED" w:rsidRPr="007E3848" w14:paraId="4B57096F" w14:textId="77777777" w:rsidTr="007C5203">
        <w:trPr>
          <w:trHeight w:val="300"/>
          <w:jc w:val="center"/>
        </w:trPr>
        <w:tc>
          <w:tcPr>
            <w:tcW w:w="1876" w:type="dxa"/>
            <w:noWrap/>
            <w:hideMark/>
          </w:tcPr>
          <w:p w14:paraId="1BA0258C" w14:textId="77777777" w:rsidR="00E74AED" w:rsidRPr="006F502B" w:rsidRDefault="00E74AED" w:rsidP="007C5203">
            <w:pPr>
              <w:rPr>
                <w:rFonts w:ascii="Times New Roman" w:eastAsia="MS Mincho" w:hAnsi="Times New Roman" w:cs="Times New Roman"/>
                <w:sz w:val="18"/>
                <w:szCs w:val="24"/>
                <w:lang w:eastAsia="ja-JP"/>
              </w:rPr>
            </w:pPr>
            <w:r w:rsidRPr="006F502B">
              <w:rPr>
                <w:rFonts w:ascii="Times New Roman" w:eastAsia="MS Mincho" w:hAnsi="Times New Roman" w:cs="Times New Roman"/>
                <w:sz w:val="18"/>
                <w:szCs w:val="24"/>
                <w:lang w:eastAsia="ja-JP"/>
              </w:rPr>
              <w:t>LL</w:t>
            </w:r>
          </w:p>
        </w:tc>
        <w:tc>
          <w:tcPr>
            <w:tcW w:w="1563" w:type="dxa"/>
            <w:noWrap/>
            <w:hideMark/>
          </w:tcPr>
          <w:p w14:paraId="69CD2A46" w14:textId="77777777" w:rsidR="00E74AED" w:rsidRPr="006F502B" w:rsidRDefault="00E74AED" w:rsidP="007C5203">
            <w:pPr>
              <w:jc w:val="center"/>
              <w:rPr>
                <w:rFonts w:ascii="Times New Roman" w:eastAsia="MS Mincho" w:hAnsi="Times New Roman" w:cs="Times New Roman"/>
                <w:sz w:val="18"/>
                <w:szCs w:val="24"/>
                <w:lang w:val="en-US" w:eastAsia="ja-JP"/>
              </w:rPr>
            </w:pPr>
            <w:r w:rsidRPr="006F502B">
              <w:rPr>
                <w:rFonts w:ascii="Times New Roman" w:eastAsia="MS Mincho" w:hAnsi="Times New Roman" w:cs="Times New Roman"/>
                <w:sz w:val="18"/>
                <w:szCs w:val="24"/>
                <w:lang w:eastAsia="ja-JP"/>
              </w:rPr>
              <w:t>0.502</w:t>
            </w:r>
            <w:r w:rsidRPr="006F502B">
              <w:rPr>
                <w:rFonts w:ascii="Times New Roman" w:eastAsia="MS Mincho" w:hAnsi="Times New Roman" w:cs="Times New Roman"/>
                <w:sz w:val="18"/>
                <w:szCs w:val="24"/>
                <w:lang w:val="en-US" w:eastAsia="ja-JP"/>
              </w:rPr>
              <w:t xml:space="preserve"> (.384)</w:t>
            </w:r>
          </w:p>
        </w:tc>
        <w:tc>
          <w:tcPr>
            <w:tcW w:w="1234" w:type="dxa"/>
            <w:noWrap/>
            <w:hideMark/>
          </w:tcPr>
          <w:p w14:paraId="7EDBA507" w14:textId="77777777" w:rsidR="00E74AED" w:rsidRPr="006F502B" w:rsidRDefault="00E74AED" w:rsidP="007C5203">
            <w:pPr>
              <w:jc w:val="center"/>
              <w:rPr>
                <w:rFonts w:ascii="Times New Roman" w:eastAsia="MS Mincho" w:hAnsi="Times New Roman" w:cs="Times New Roman"/>
                <w:sz w:val="18"/>
                <w:szCs w:val="24"/>
                <w:lang w:val="en-US" w:eastAsia="ja-JP"/>
              </w:rPr>
            </w:pPr>
            <w:r w:rsidRPr="006F502B">
              <w:rPr>
                <w:rFonts w:ascii="Times New Roman" w:eastAsia="MS Mincho" w:hAnsi="Times New Roman" w:cs="Times New Roman"/>
                <w:sz w:val="18"/>
                <w:szCs w:val="24"/>
                <w:lang w:eastAsia="ja-JP"/>
              </w:rPr>
              <w:t>1.909</w:t>
            </w:r>
            <w:r w:rsidRPr="006F502B">
              <w:rPr>
                <w:rFonts w:ascii="Times New Roman" w:eastAsia="MS Mincho" w:hAnsi="Times New Roman" w:cs="Times New Roman"/>
                <w:sz w:val="18"/>
                <w:szCs w:val="24"/>
                <w:lang w:val="en-US" w:eastAsia="ja-JP"/>
              </w:rPr>
              <w:t xml:space="preserve"> (.713)</w:t>
            </w:r>
          </w:p>
        </w:tc>
      </w:tr>
      <w:tr w:rsidR="00E74AED" w:rsidRPr="007E3848" w14:paraId="2F20DE79" w14:textId="77777777" w:rsidTr="007C5203">
        <w:trPr>
          <w:trHeight w:val="300"/>
          <w:jc w:val="center"/>
        </w:trPr>
        <w:tc>
          <w:tcPr>
            <w:tcW w:w="1876" w:type="dxa"/>
            <w:noWrap/>
            <w:hideMark/>
          </w:tcPr>
          <w:p w14:paraId="6511C5F5" w14:textId="77777777" w:rsidR="00E74AED" w:rsidRPr="006F502B" w:rsidRDefault="00E74AED" w:rsidP="007C5203">
            <w:pPr>
              <w:rPr>
                <w:rFonts w:ascii="Times New Roman" w:eastAsia="MS Mincho" w:hAnsi="Times New Roman" w:cs="Times New Roman"/>
                <w:sz w:val="18"/>
                <w:szCs w:val="24"/>
                <w:lang w:eastAsia="ja-JP"/>
              </w:rPr>
            </w:pPr>
            <w:r w:rsidRPr="006F502B">
              <w:rPr>
                <w:rFonts w:ascii="Times New Roman" w:eastAsia="MS Mincho" w:hAnsi="Times New Roman" w:cs="Times New Roman"/>
                <w:sz w:val="18"/>
                <w:szCs w:val="24"/>
                <w:lang w:eastAsia="ja-JP"/>
              </w:rPr>
              <w:t>EPS (-DA&amp;INT)</w:t>
            </w:r>
          </w:p>
        </w:tc>
        <w:tc>
          <w:tcPr>
            <w:tcW w:w="1563" w:type="dxa"/>
            <w:noWrap/>
            <w:hideMark/>
          </w:tcPr>
          <w:p w14:paraId="75E431A6" w14:textId="77777777" w:rsidR="00E74AED" w:rsidRPr="006F502B" w:rsidRDefault="00E74AED" w:rsidP="007C5203">
            <w:pPr>
              <w:jc w:val="center"/>
              <w:rPr>
                <w:rFonts w:ascii="Times New Roman" w:eastAsia="MS Mincho" w:hAnsi="Times New Roman" w:cs="Times New Roman"/>
                <w:sz w:val="18"/>
                <w:szCs w:val="24"/>
                <w:lang w:val="en-US" w:eastAsia="ja-JP"/>
              </w:rPr>
            </w:pPr>
            <w:r w:rsidRPr="006F502B">
              <w:rPr>
                <w:rFonts w:ascii="Times New Roman" w:eastAsia="MS Mincho" w:hAnsi="Times New Roman" w:cs="Times New Roman"/>
                <w:sz w:val="18"/>
                <w:szCs w:val="24"/>
                <w:lang w:eastAsia="ja-JP"/>
              </w:rPr>
              <w:t>0.120</w:t>
            </w:r>
            <w:r w:rsidRPr="006F502B">
              <w:rPr>
                <w:rFonts w:ascii="Times New Roman" w:eastAsia="MS Mincho" w:hAnsi="Times New Roman" w:cs="Times New Roman"/>
                <w:sz w:val="18"/>
                <w:szCs w:val="24"/>
                <w:lang w:val="en-US" w:eastAsia="ja-JP"/>
              </w:rPr>
              <w:t xml:space="preserve"> (.736)</w:t>
            </w:r>
          </w:p>
        </w:tc>
        <w:tc>
          <w:tcPr>
            <w:tcW w:w="1234" w:type="dxa"/>
            <w:noWrap/>
            <w:hideMark/>
          </w:tcPr>
          <w:p w14:paraId="4E51B1DA" w14:textId="77777777" w:rsidR="00E74AED" w:rsidRPr="006F502B" w:rsidRDefault="00E74AED" w:rsidP="007C5203">
            <w:pPr>
              <w:jc w:val="center"/>
              <w:rPr>
                <w:rFonts w:ascii="Times New Roman" w:eastAsia="MS Mincho" w:hAnsi="Times New Roman" w:cs="Times New Roman"/>
                <w:sz w:val="18"/>
                <w:szCs w:val="24"/>
                <w:lang w:val="en-US" w:eastAsia="ja-JP"/>
              </w:rPr>
            </w:pPr>
            <w:r w:rsidRPr="006F502B">
              <w:rPr>
                <w:rFonts w:ascii="Times New Roman" w:eastAsia="MS Mincho" w:hAnsi="Times New Roman" w:cs="Times New Roman"/>
                <w:sz w:val="18"/>
                <w:szCs w:val="24"/>
                <w:lang w:eastAsia="ja-JP"/>
              </w:rPr>
              <w:t>1.927</w:t>
            </w:r>
            <w:r w:rsidRPr="006F502B">
              <w:rPr>
                <w:rFonts w:ascii="Times New Roman" w:eastAsia="MS Mincho" w:hAnsi="Times New Roman" w:cs="Times New Roman"/>
                <w:sz w:val="18"/>
                <w:szCs w:val="24"/>
                <w:lang w:val="en-US" w:eastAsia="ja-JP"/>
              </w:rPr>
              <w:t xml:space="preserve"> (.382)</w:t>
            </w:r>
          </w:p>
        </w:tc>
      </w:tr>
      <w:tr w:rsidR="00E74AED" w:rsidRPr="007E3848" w14:paraId="388D0E73" w14:textId="77777777" w:rsidTr="007C5203">
        <w:trPr>
          <w:trHeight w:val="300"/>
          <w:jc w:val="center"/>
        </w:trPr>
        <w:tc>
          <w:tcPr>
            <w:tcW w:w="1876" w:type="dxa"/>
            <w:noWrap/>
            <w:hideMark/>
          </w:tcPr>
          <w:p w14:paraId="1B039F7A" w14:textId="77777777" w:rsidR="00E74AED" w:rsidRPr="006F502B" w:rsidRDefault="00E74AED" w:rsidP="007C5203">
            <w:pPr>
              <w:rPr>
                <w:rFonts w:ascii="Times New Roman" w:eastAsia="MS Mincho" w:hAnsi="Times New Roman" w:cs="Times New Roman"/>
                <w:sz w:val="18"/>
                <w:szCs w:val="24"/>
                <w:lang w:eastAsia="ja-JP"/>
              </w:rPr>
            </w:pPr>
            <w:r w:rsidRPr="006F502B">
              <w:rPr>
                <w:rFonts w:ascii="Times New Roman" w:eastAsia="MS Mincho" w:hAnsi="Times New Roman" w:cs="Times New Roman"/>
                <w:sz w:val="18"/>
                <w:szCs w:val="24"/>
                <w:lang w:eastAsia="ja-JP"/>
              </w:rPr>
              <w:t>DA</w:t>
            </w:r>
          </w:p>
        </w:tc>
        <w:tc>
          <w:tcPr>
            <w:tcW w:w="1563" w:type="dxa"/>
            <w:noWrap/>
            <w:hideMark/>
          </w:tcPr>
          <w:p w14:paraId="7509C4CA" w14:textId="77777777" w:rsidR="00E74AED" w:rsidRPr="006F502B" w:rsidRDefault="00E74AED" w:rsidP="007C5203">
            <w:pPr>
              <w:jc w:val="center"/>
              <w:rPr>
                <w:rFonts w:ascii="Times New Roman" w:eastAsia="MS Mincho" w:hAnsi="Times New Roman" w:cs="Times New Roman"/>
                <w:sz w:val="18"/>
                <w:szCs w:val="24"/>
                <w:lang w:val="en-US" w:eastAsia="ja-JP"/>
              </w:rPr>
            </w:pPr>
            <w:r w:rsidRPr="006F502B">
              <w:rPr>
                <w:rFonts w:ascii="Times New Roman" w:eastAsia="MS Mincho" w:hAnsi="Times New Roman" w:cs="Times New Roman"/>
                <w:sz w:val="18"/>
                <w:szCs w:val="24"/>
                <w:lang w:val="en-US" w:eastAsia="ja-JP"/>
              </w:rPr>
              <w:t>-</w:t>
            </w:r>
            <w:r w:rsidRPr="006F502B">
              <w:rPr>
                <w:rFonts w:ascii="Times New Roman" w:eastAsia="MS Mincho" w:hAnsi="Times New Roman" w:cs="Times New Roman"/>
                <w:sz w:val="18"/>
                <w:szCs w:val="24"/>
                <w:lang w:eastAsia="ja-JP"/>
              </w:rPr>
              <w:t>0.344</w:t>
            </w:r>
            <w:r w:rsidRPr="006F502B">
              <w:rPr>
                <w:rFonts w:ascii="Times New Roman" w:eastAsia="MS Mincho" w:hAnsi="Times New Roman" w:cs="Times New Roman"/>
                <w:sz w:val="18"/>
                <w:szCs w:val="24"/>
                <w:lang w:val="en-US" w:eastAsia="ja-JP"/>
              </w:rPr>
              <w:t xml:space="preserve"> (.736)</w:t>
            </w:r>
          </w:p>
        </w:tc>
        <w:tc>
          <w:tcPr>
            <w:tcW w:w="1234" w:type="dxa"/>
            <w:noWrap/>
            <w:hideMark/>
          </w:tcPr>
          <w:p w14:paraId="12CF5F70" w14:textId="77777777" w:rsidR="00E74AED" w:rsidRPr="006F502B" w:rsidRDefault="00E74AED" w:rsidP="007C5203">
            <w:pPr>
              <w:jc w:val="center"/>
              <w:rPr>
                <w:rFonts w:ascii="Times New Roman" w:eastAsia="MS Mincho" w:hAnsi="Times New Roman" w:cs="Times New Roman"/>
                <w:sz w:val="18"/>
                <w:szCs w:val="24"/>
                <w:lang w:val="en-US" w:eastAsia="ja-JP"/>
              </w:rPr>
            </w:pPr>
            <w:r w:rsidRPr="006F502B">
              <w:rPr>
                <w:rFonts w:ascii="Times New Roman" w:eastAsia="MS Mincho" w:hAnsi="Times New Roman" w:cs="Times New Roman"/>
                <w:sz w:val="18"/>
                <w:szCs w:val="24"/>
                <w:lang w:eastAsia="ja-JP"/>
              </w:rPr>
              <w:t>1.279</w:t>
            </w:r>
            <w:r w:rsidRPr="006F502B">
              <w:rPr>
                <w:rFonts w:ascii="Times New Roman" w:eastAsia="MS Mincho" w:hAnsi="Times New Roman" w:cs="Times New Roman"/>
                <w:sz w:val="18"/>
                <w:szCs w:val="24"/>
                <w:lang w:val="en-US" w:eastAsia="ja-JP"/>
              </w:rPr>
              <w:t xml:space="preserve"> (.617)</w:t>
            </w:r>
          </w:p>
        </w:tc>
      </w:tr>
      <w:tr w:rsidR="00E74AED" w:rsidRPr="007E3848" w14:paraId="38862543" w14:textId="77777777" w:rsidTr="007C5203">
        <w:trPr>
          <w:trHeight w:val="300"/>
          <w:jc w:val="center"/>
        </w:trPr>
        <w:tc>
          <w:tcPr>
            <w:tcW w:w="1876" w:type="dxa"/>
            <w:noWrap/>
            <w:hideMark/>
          </w:tcPr>
          <w:p w14:paraId="1670258D" w14:textId="77777777" w:rsidR="00E74AED" w:rsidRPr="006F502B" w:rsidRDefault="00E74AED" w:rsidP="007C5203">
            <w:pPr>
              <w:rPr>
                <w:rFonts w:ascii="Times New Roman" w:eastAsia="MS Mincho" w:hAnsi="Times New Roman" w:cs="Times New Roman"/>
                <w:sz w:val="18"/>
                <w:szCs w:val="24"/>
                <w:lang w:eastAsia="ja-JP"/>
              </w:rPr>
            </w:pPr>
            <w:r w:rsidRPr="006F502B">
              <w:rPr>
                <w:rFonts w:ascii="Times New Roman" w:eastAsia="MS Mincho" w:hAnsi="Times New Roman" w:cs="Times New Roman"/>
                <w:sz w:val="18"/>
                <w:szCs w:val="24"/>
                <w:lang w:eastAsia="ja-JP"/>
              </w:rPr>
              <w:t>INT</w:t>
            </w:r>
          </w:p>
        </w:tc>
        <w:tc>
          <w:tcPr>
            <w:tcW w:w="1563" w:type="dxa"/>
            <w:noWrap/>
            <w:hideMark/>
          </w:tcPr>
          <w:p w14:paraId="675D488B" w14:textId="77777777" w:rsidR="00E74AED" w:rsidRPr="006F502B" w:rsidRDefault="00E74AED" w:rsidP="007C5203">
            <w:pPr>
              <w:jc w:val="center"/>
              <w:rPr>
                <w:rFonts w:ascii="Times New Roman" w:eastAsia="MS Mincho" w:hAnsi="Times New Roman" w:cs="Times New Roman"/>
                <w:sz w:val="18"/>
                <w:szCs w:val="24"/>
                <w:lang w:val="en-US" w:eastAsia="ja-JP"/>
              </w:rPr>
            </w:pPr>
            <w:r w:rsidRPr="006F502B">
              <w:rPr>
                <w:rFonts w:ascii="Times New Roman" w:eastAsia="MS Mincho" w:hAnsi="Times New Roman" w:cs="Times New Roman"/>
                <w:sz w:val="18"/>
                <w:szCs w:val="24"/>
                <w:lang w:eastAsia="ja-JP"/>
              </w:rPr>
              <w:t>0.354</w:t>
            </w:r>
            <w:r w:rsidRPr="006F502B">
              <w:rPr>
                <w:rFonts w:ascii="Times New Roman" w:eastAsia="MS Mincho" w:hAnsi="Times New Roman" w:cs="Times New Roman"/>
                <w:sz w:val="18"/>
                <w:szCs w:val="24"/>
                <w:lang w:val="en-US" w:eastAsia="ja-JP"/>
              </w:rPr>
              <w:t xml:space="preserve"> (.794)</w:t>
            </w:r>
          </w:p>
        </w:tc>
        <w:tc>
          <w:tcPr>
            <w:tcW w:w="1234" w:type="dxa"/>
            <w:noWrap/>
            <w:hideMark/>
          </w:tcPr>
          <w:p w14:paraId="00B4F0CA" w14:textId="77777777" w:rsidR="00E74AED" w:rsidRPr="006F502B" w:rsidRDefault="00E74AED" w:rsidP="007C5203">
            <w:pPr>
              <w:jc w:val="center"/>
              <w:rPr>
                <w:rFonts w:ascii="Times New Roman" w:eastAsia="MS Mincho" w:hAnsi="Times New Roman" w:cs="Times New Roman"/>
                <w:sz w:val="18"/>
                <w:szCs w:val="24"/>
                <w:lang w:val="en-US" w:eastAsia="ja-JP"/>
              </w:rPr>
            </w:pPr>
            <w:r w:rsidRPr="006F502B">
              <w:rPr>
                <w:rFonts w:ascii="Times New Roman" w:eastAsia="MS Mincho" w:hAnsi="Times New Roman" w:cs="Times New Roman"/>
                <w:sz w:val="18"/>
                <w:szCs w:val="24"/>
                <w:lang w:eastAsia="ja-JP"/>
              </w:rPr>
              <w:t>0.243</w:t>
            </w:r>
            <w:r w:rsidRPr="006F502B">
              <w:rPr>
                <w:rFonts w:ascii="Times New Roman" w:eastAsia="MS Mincho" w:hAnsi="Times New Roman" w:cs="Times New Roman"/>
                <w:sz w:val="18"/>
                <w:szCs w:val="24"/>
                <w:lang w:val="en-US" w:eastAsia="ja-JP"/>
              </w:rPr>
              <w:t xml:space="preserve"> (.908)</w:t>
            </w:r>
          </w:p>
        </w:tc>
      </w:tr>
      <w:tr w:rsidR="00E74AED" w:rsidRPr="007E3848" w14:paraId="13B915DF" w14:textId="77777777" w:rsidTr="007C5203">
        <w:trPr>
          <w:trHeight w:val="300"/>
          <w:jc w:val="center"/>
        </w:trPr>
        <w:tc>
          <w:tcPr>
            <w:tcW w:w="1876" w:type="dxa"/>
            <w:noWrap/>
            <w:hideMark/>
          </w:tcPr>
          <w:p w14:paraId="0D5057CE" w14:textId="77777777" w:rsidR="00E74AED" w:rsidRPr="006F502B" w:rsidRDefault="00E74AED" w:rsidP="007C5203">
            <w:pPr>
              <w:rPr>
                <w:rFonts w:ascii="Times New Roman" w:eastAsia="MS Mincho" w:hAnsi="Times New Roman" w:cs="Times New Roman"/>
                <w:sz w:val="18"/>
                <w:szCs w:val="24"/>
                <w:lang w:eastAsia="ja-JP"/>
              </w:rPr>
            </w:pPr>
            <w:r w:rsidRPr="006F502B">
              <w:rPr>
                <w:rFonts w:ascii="Times New Roman" w:eastAsia="MS Mincho" w:hAnsi="Times New Roman" w:cs="Times New Roman"/>
                <w:sz w:val="18"/>
                <w:szCs w:val="24"/>
                <w:lang w:eastAsia="ja-JP"/>
              </w:rPr>
              <w:t>N</w:t>
            </w:r>
          </w:p>
        </w:tc>
        <w:tc>
          <w:tcPr>
            <w:tcW w:w="1563" w:type="dxa"/>
            <w:noWrap/>
            <w:hideMark/>
          </w:tcPr>
          <w:p w14:paraId="5E453E52" w14:textId="77777777" w:rsidR="00E74AED" w:rsidRPr="006F502B" w:rsidRDefault="00E74AED" w:rsidP="007C5203">
            <w:pPr>
              <w:jc w:val="center"/>
              <w:rPr>
                <w:rFonts w:ascii="Times New Roman" w:eastAsia="MS Mincho" w:hAnsi="Times New Roman" w:cs="Times New Roman"/>
                <w:sz w:val="18"/>
                <w:szCs w:val="24"/>
                <w:lang w:eastAsia="ja-JP"/>
              </w:rPr>
            </w:pPr>
            <w:r w:rsidRPr="006F502B">
              <w:rPr>
                <w:rFonts w:ascii="Times New Roman" w:eastAsia="MS Mincho" w:hAnsi="Times New Roman" w:cs="Times New Roman"/>
                <w:sz w:val="18"/>
                <w:szCs w:val="24"/>
                <w:lang w:eastAsia="ja-JP"/>
              </w:rPr>
              <w:t>33</w:t>
            </w:r>
          </w:p>
        </w:tc>
        <w:tc>
          <w:tcPr>
            <w:tcW w:w="1234" w:type="dxa"/>
            <w:noWrap/>
            <w:hideMark/>
          </w:tcPr>
          <w:p w14:paraId="2174AA61" w14:textId="77777777" w:rsidR="00E74AED" w:rsidRPr="006F502B" w:rsidRDefault="00E74AED" w:rsidP="007C5203">
            <w:pPr>
              <w:jc w:val="center"/>
              <w:rPr>
                <w:rFonts w:ascii="Times New Roman" w:eastAsia="MS Mincho" w:hAnsi="Times New Roman" w:cs="Times New Roman"/>
                <w:sz w:val="18"/>
                <w:szCs w:val="24"/>
                <w:lang w:eastAsia="ja-JP"/>
              </w:rPr>
            </w:pPr>
            <w:r w:rsidRPr="006F502B">
              <w:rPr>
                <w:rFonts w:ascii="Times New Roman" w:eastAsia="MS Mincho" w:hAnsi="Times New Roman" w:cs="Times New Roman"/>
                <w:sz w:val="18"/>
                <w:szCs w:val="24"/>
                <w:lang w:eastAsia="ja-JP"/>
              </w:rPr>
              <w:t>11</w:t>
            </w:r>
          </w:p>
        </w:tc>
      </w:tr>
      <w:tr w:rsidR="00E74AED" w:rsidRPr="002B0F3C" w14:paraId="1EA875C6" w14:textId="77777777" w:rsidTr="007C5203">
        <w:trPr>
          <w:trHeight w:val="300"/>
          <w:jc w:val="center"/>
        </w:trPr>
        <w:tc>
          <w:tcPr>
            <w:tcW w:w="4673" w:type="dxa"/>
            <w:gridSpan w:val="3"/>
            <w:noWrap/>
            <w:hideMark/>
          </w:tcPr>
          <w:p w14:paraId="3E88BC31" w14:textId="77777777" w:rsidR="00E74AED" w:rsidRPr="006F502B" w:rsidRDefault="00E74AED" w:rsidP="007C5203">
            <w:pPr>
              <w:jc w:val="left"/>
              <w:rPr>
                <w:rFonts w:ascii="Times New Roman" w:eastAsia="MS Mincho" w:hAnsi="Times New Roman" w:cs="Times New Roman"/>
                <w:b/>
                <w:sz w:val="24"/>
                <w:szCs w:val="24"/>
                <w:lang w:eastAsia="ja-JP"/>
              </w:rPr>
            </w:pPr>
            <w:r w:rsidRPr="006F502B">
              <w:rPr>
                <w:rFonts w:ascii="Times New Roman" w:hAnsi="Times New Roman" w:cs="Times New Roman"/>
                <w:sz w:val="18"/>
                <w:lang w:val="en-US"/>
              </w:rPr>
              <w:t>(Angka dalam kurung = p-value)</w:t>
            </w:r>
          </w:p>
        </w:tc>
      </w:tr>
    </w:tbl>
    <w:p w14:paraId="3FBAFBD4" w14:textId="77777777" w:rsidR="00E74AED" w:rsidRDefault="00E74AED" w:rsidP="00E74AED">
      <w:pPr>
        <w:rPr>
          <w:rFonts w:ascii="Times New Roman" w:hAnsi="Times New Roman" w:cs="Times New Roman"/>
          <w:sz w:val="24"/>
          <w:highlight w:val="yellow"/>
          <w:lang w:val="en-US"/>
        </w:rPr>
      </w:pPr>
    </w:p>
    <w:p w14:paraId="035BD820" w14:textId="77777777" w:rsidR="00E74AED" w:rsidRPr="007E3848" w:rsidRDefault="00E74AED" w:rsidP="00E74AED">
      <w:pPr>
        <w:pStyle w:val="NormalWeb"/>
        <w:spacing w:before="0" w:beforeAutospacing="0" w:after="0" w:afterAutospacing="0"/>
        <w:jc w:val="both"/>
        <w:rPr>
          <w:b/>
        </w:rPr>
      </w:pPr>
      <w:r>
        <w:rPr>
          <w:b/>
        </w:rPr>
        <w:t>Pembahasan</w:t>
      </w:r>
    </w:p>
    <w:p w14:paraId="757EEA83" w14:textId="77777777" w:rsidR="00E74AED" w:rsidRDefault="00E74AED" w:rsidP="00E74AED">
      <w:pPr>
        <w:jc w:val="both"/>
        <w:rPr>
          <w:rFonts w:ascii="Times New Roman" w:hAnsi="Times New Roman" w:cs="Times New Roman"/>
          <w:sz w:val="24"/>
          <w:lang w:val="en-US"/>
        </w:rPr>
      </w:pPr>
      <w:r>
        <w:rPr>
          <w:rFonts w:ascii="Times New Roman" w:hAnsi="Times New Roman" w:cs="Times New Roman"/>
          <w:sz w:val="24"/>
          <w:lang w:val="en-US"/>
        </w:rPr>
        <w:t>Dari tiga perhitungan di atas, dapat dilihat bahwa secara keseluruhan implementasi PSAK 73 membuat transaksi sewa secara lebih lengkap diakui dan diungkapkan. Dapat dilihat dari kenaikan proporsi aset dan liabilitas sewa secara rata-rata. Kenaikan yang terjadi juga cukup signifikan.</w:t>
      </w:r>
      <w:r w:rsidRPr="0011371B">
        <w:rPr>
          <w:rFonts w:ascii="Times New Roman" w:hAnsi="Times New Roman" w:cs="Times New Roman"/>
          <w:sz w:val="24"/>
          <w:lang w:val="en-US"/>
        </w:rPr>
        <w:t xml:space="preserve"> </w:t>
      </w:r>
      <w:r>
        <w:rPr>
          <w:rFonts w:ascii="Times New Roman" w:hAnsi="Times New Roman" w:cs="Times New Roman"/>
          <w:sz w:val="24"/>
          <w:lang w:val="en-US"/>
        </w:rPr>
        <w:t>Hal ini senada dengan hasil penelitian-penelitian sebelumnya.</w:t>
      </w:r>
    </w:p>
    <w:p w14:paraId="20F787D9" w14:textId="77777777" w:rsidR="00E74AED" w:rsidRDefault="00E74AED" w:rsidP="00E74AED">
      <w:pPr>
        <w:ind w:firstLine="425"/>
        <w:jc w:val="both"/>
        <w:rPr>
          <w:rFonts w:ascii="Times New Roman" w:hAnsi="Times New Roman" w:cs="Times New Roman"/>
          <w:sz w:val="24"/>
          <w:lang w:val="en-US"/>
        </w:rPr>
      </w:pPr>
      <w:r>
        <w:rPr>
          <w:rFonts w:ascii="Times New Roman" w:hAnsi="Times New Roman" w:cs="Times New Roman"/>
          <w:sz w:val="24"/>
          <w:lang w:val="en-US"/>
        </w:rPr>
        <w:t>Namun kenaikan signifikan belum berarti terdapat peningkatan relevansi di mata investor. Bila melihat hasil korelasi, dapat dikatakan bahwa aset dan liabilitas sewa yang menjadi poin penting dalam perubahan PSAK tersebut tidak berhubungan korelasi yang erat dengan harga saham, baik itu setelah atapun sebelum implementasi PSAK 73. Hal ini dapat dikarenakan aset dan liabilitas sewa seringkali tidak menjadi bagian yang signifikan dari aset atau liabilitas perusahaan.</w:t>
      </w:r>
    </w:p>
    <w:p w14:paraId="532344CE" w14:textId="3A311671" w:rsidR="00E74AED" w:rsidRDefault="00E74AED" w:rsidP="00E74AED">
      <w:pPr>
        <w:ind w:firstLine="425"/>
        <w:jc w:val="both"/>
        <w:rPr>
          <w:rFonts w:ascii="Times New Roman" w:hAnsi="Times New Roman" w:cs="Times New Roman"/>
          <w:sz w:val="24"/>
          <w:lang w:val="en-US"/>
        </w:rPr>
      </w:pPr>
      <w:r>
        <w:rPr>
          <w:rFonts w:ascii="Times New Roman" w:hAnsi="Times New Roman" w:cs="Times New Roman"/>
          <w:sz w:val="24"/>
          <w:lang w:val="en-US"/>
        </w:rPr>
        <w:t xml:space="preserve">Seperti ditemukan dalam sampel penelitian. Pada tahun buku 2020, periode implementasi PSAK 73, 34 perusahaan dari 45 perusahaan (76%) hanya memiliki proporsi aset dan liabilitas sewa di bawah 5% dari total </w:t>
      </w:r>
      <w:r>
        <w:rPr>
          <w:rFonts w:ascii="Times New Roman" w:hAnsi="Times New Roman" w:cs="Times New Roman"/>
          <w:sz w:val="24"/>
          <w:lang w:val="en-US"/>
        </w:rPr>
        <w:t xml:space="preserve">aset dan liabilitas. Terdapat tujuh perusahaan, yang memiliki proporsi aset dan liabilitas sewa antara 5-10%, dan sisanya hanya empat yang memiliki proporsi aset dan liabilitas sewa di atas 10%. Sehingga bagi investor dari 34 perusahaan itu, implementasi PSAK 73 </w:t>
      </w:r>
      <w:r w:rsidR="00E33FE0">
        <w:rPr>
          <w:rFonts w:ascii="Times New Roman" w:hAnsi="Times New Roman" w:cs="Times New Roman"/>
          <w:sz w:val="24"/>
          <w:lang w:val="en-US"/>
        </w:rPr>
        <w:t>bukanlah</w:t>
      </w:r>
      <w:r>
        <w:rPr>
          <w:rFonts w:ascii="Times New Roman" w:hAnsi="Times New Roman" w:cs="Times New Roman"/>
          <w:sz w:val="24"/>
          <w:lang w:val="en-US"/>
        </w:rPr>
        <w:t xml:space="preserve"> suatu hal yang signifikan.</w:t>
      </w:r>
    </w:p>
    <w:p w14:paraId="0B137CCA" w14:textId="77777777" w:rsidR="00E74AED" w:rsidRDefault="00E74AED" w:rsidP="00E74AED">
      <w:pPr>
        <w:ind w:firstLine="425"/>
        <w:jc w:val="both"/>
        <w:rPr>
          <w:rFonts w:ascii="Times New Roman" w:hAnsi="Times New Roman" w:cs="Times New Roman"/>
          <w:sz w:val="24"/>
          <w:lang w:val="en-US"/>
        </w:rPr>
      </w:pPr>
      <w:r>
        <w:rPr>
          <w:rFonts w:ascii="Times New Roman" w:hAnsi="Times New Roman" w:cs="Times New Roman"/>
          <w:sz w:val="24"/>
          <w:lang w:val="en-US"/>
        </w:rPr>
        <w:t>Hal ini pun terlihat dalam hasil regresi, di mana nilai koefisien beta dari periode setelah implementasi PSAK 73 tidak lebih besar daripada periode sebelumnya. Koefisien regresi aset lebih besar di periode setelah implementasi daripada sebelumnya, namun masih dalam tingkat yang tidak signifikan.</w:t>
      </w:r>
    </w:p>
    <w:p w14:paraId="05A6FEB8" w14:textId="090DECE4" w:rsidR="00E74AED" w:rsidRDefault="00E74AED" w:rsidP="00E74AED">
      <w:pPr>
        <w:ind w:firstLine="425"/>
        <w:jc w:val="both"/>
        <w:rPr>
          <w:rFonts w:ascii="Times New Roman" w:hAnsi="Times New Roman" w:cs="Times New Roman"/>
          <w:sz w:val="24"/>
          <w:lang w:val="en-US"/>
        </w:rPr>
      </w:pPr>
      <w:r>
        <w:rPr>
          <w:rFonts w:ascii="Times New Roman" w:hAnsi="Times New Roman" w:cs="Times New Roman"/>
          <w:sz w:val="24"/>
          <w:lang w:val="en-US"/>
        </w:rPr>
        <w:t xml:space="preserve">Sehingga dapat dikatakan bahwa implementasi PSAK 73 tidak meningkatkan relevansi dari informasi laporan keuangan. Hal ini senada dengan apa yang dikatakan oleh </w:t>
      </w:r>
      <w:r w:rsidRPr="006363D4">
        <w:rPr>
          <w:rFonts w:ascii="Times New Roman" w:hAnsi="Times New Roman" w:cs="Times New Roman"/>
          <w:sz w:val="24"/>
          <w:lang w:val="en-US"/>
        </w:rPr>
        <w:t xml:space="preserve">Altamuro, </w:t>
      </w:r>
      <w:r>
        <w:rPr>
          <w:rFonts w:ascii="Times New Roman" w:hAnsi="Times New Roman" w:cs="Times New Roman"/>
          <w:sz w:val="24"/>
          <w:lang w:val="en-US"/>
        </w:rPr>
        <w:t xml:space="preserve">et al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10.1111/1911-3846.12033","ISSN":"19113846","author":[{"dropping-particle":"","family":"Altamuro","given":"Jennifer","non-dropping-particle":"","parse-names":false,"suffix":""},{"dropping-particle":"","family":"Johnston","given":"Rick","non-dropping-particle":"","parse-names":false,"suffix":""},{"dropping-particle":"","family":"Pandit","given":"Shailendra Shail","non-dropping-particle":"","parse-names":false,"suffix":""},{"dropping-particle":"","family":"Zhang","given":"Haiwen Helen","non-dropping-particle":"","parse-names":false,"suffix":""}],"container-title":"Contemporary Accounting Research","id":"ITEM-1","issue":"2","issued":{"date-parts":[["2014"]]},"page":"551-580","title":"Operating leases and credit assessments","type":"article-journal","volume":"31"},"suppress-author":1,"uris":["http://www.mendeley.com/documents/?uuid=03958475-5533-4b32-bc2e-0edac7200ac0"]}],"mendeley":{"formattedCitation":"(2014)","plainTextFormattedCitation":"(2014)","previouslyFormattedCitation":"(2014)"},"properties":{"noteIndex":0},"schema":"https://github.com/citation-style-language/schema/raw/master/csl-citation.json"}</w:instrText>
      </w:r>
      <w:r>
        <w:rPr>
          <w:rFonts w:ascii="Times New Roman" w:hAnsi="Times New Roman" w:cs="Times New Roman"/>
          <w:sz w:val="24"/>
          <w:lang w:val="en-US"/>
        </w:rPr>
        <w:fldChar w:fldCharType="separate"/>
      </w:r>
      <w:r w:rsidRPr="006363D4">
        <w:rPr>
          <w:rFonts w:ascii="Times New Roman" w:hAnsi="Times New Roman" w:cs="Times New Roman"/>
          <w:noProof/>
          <w:sz w:val="24"/>
          <w:lang w:val="en-US"/>
        </w:rPr>
        <w:t>(2014)</w:t>
      </w:r>
      <w:r>
        <w:rPr>
          <w:rFonts w:ascii="Times New Roman" w:hAnsi="Times New Roman" w:cs="Times New Roman"/>
          <w:sz w:val="24"/>
          <w:lang w:val="en-US"/>
        </w:rPr>
        <w:fldChar w:fldCharType="end"/>
      </w:r>
      <w:r>
        <w:rPr>
          <w:rFonts w:ascii="Times New Roman" w:hAnsi="Times New Roman" w:cs="Times New Roman"/>
          <w:sz w:val="24"/>
          <w:lang w:val="en-US"/>
        </w:rPr>
        <w:t>,</w:t>
      </w:r>
      <w:r w:rsidRPr="006363D4">
        <w:rPr>
          <w:rFonts w:ascii="Times New Roman" w:hAnsi="Times New Roman" w:cs="Times New Roman"/>
          <w:sz w:val="24"/>
          <w:lang w:val="en-US"/>
        </w:rPr>
        <w:t xml:space="preserve"> dan</w:t>
      </w:r>
      <w:r>
        <w:rPr>
          <w:rFonts w:ascii="Times New Roman" w:hAnsi="Times New Roman" w:cs="Times New Roman"/>
          <w:sz w:val="24"/>
          <w:lang w:val="en-US"/>
        </w:rPr>
        <w:t xml:space="preserve"> Giner &amp; Pardo </w:t>
      </w:r>
      <w:r>
        <w:rPr>
          <w:rFonts w:ascii="Times New Roman" w:hAnsi="Times New Roman" w:cs="Times New Roman"/>
          <w:sz w:val="24"/>
          <w:lang w:val="en-US"/>
        </w:rPr>
        <w:fldChar w:fldCharType="begin" w:fldLock="1"/>
      </w:r>
      <w:r w:rsidR="00B06863">
        <w:rPr>
          <w:rFonts w:ascii="Times New Roman" w:hAnsi="Times New Roman" w:cs="Times New Roman"/>
          <w:sz w:val="24"/>
          <w:lang w:val="en-US"/>
        </w:rPr>
        <w:instrText>ADDIN CSL_CITATION {"citationItems":[{"id":"ITEM-1","itemData":{"DOI":"10.1111/auar.12233","ISSN":"18352561","abstract":"The new IASB and FASB models for leases aim to improve the quality of financial reporting. To this end, both standard setters impose the recognition of assets and liabilities for operating leases. Meanwhile, preparers have been strongly lobbying against these changes, as in their view the new treatment will lead to negative economic consequences. We undertake a value-relevance study to examine whether as-if capitalised operating leases are priced by market users in a relatively unexplored setting. We consider Spanish listed firms, and employ hand-collected data on operating leases disclosed in the notes to the financial statements to constructively capitalise the assets and liabilities. Our analysis suggests that investors in code-law countries with less developed markets and low enforcement quality do not behave any differently to those in common-law countries that have more developed markets and stricter enforcement policies. Investors equally value recognised debts and operating lease liabilities resulting from information in the notes in retail sectors. In our view, these results could provide some comfort to managers in the most affected industries, as they suggest the change will not have a major impact on the stock exchange.","author":[{"dropping-particle":"","family":"Giner","given":"Begoña","non-dropping-particle":"","parse-names":false,"suffix":""},{"dropping-particle":"","family":"Pardo","given":"Francisca","non-dropping-particle":"","parse-names":false,"suffix":""}],"container-title":"Australian Accounting Review","id":"ITEM-1","issue":"4","issued":{"date-parts":[["2018"]]},"page":"496-511","title":"The Value Relevance of Operating Lease Liabilities: Economic Effects of IFRS 16","type":"article-journal","volume":"28"},"suppress-author":1,"uris":["http://www.mendeley.com/documents/?uuid=ddd3dbf6-d0eb-4b4f-8e19-3b3c02753b5c"]}],"mendeley":{"formattedCitation":"(2018)","plainTextFormattedCitation":"(2018)","previouslyFormattedCitation":"(2018)"},"properties":{"noteIndex":0},"schema":"https://github.com/citation-style-language/schema/raw/master/csl-citation.json"}</w:instrText>
      </w:r>
      <w:r>
        <w:rPr>
          <w:rFonts w:ascii="Times New Roman" w:hAnsi="Times New Roman" w:cs="Times New Roman"/>
          <w:sz w:val="24"/>
          <w:lang w:val="en-US"/>
        </w:rPr>
        <w:fldChar w:fldCharType="separate"/>
      </w:r>
      <w:r w:rsidRPr="006363D4">
        <w:rPr>
          <w:rFonts w:ascii="Times New Roman" w:hAnsi="Times New Roman" w:cs="Times New Roman"/>
          <w:noProof/>
          <w:sz w:val="24"/>
          <w:lang w:val="en-US"/>
        </w:rPr>
        <w:t>(2018)</w:t>
      </w:r>
      <w:r>
        <w:rPr>
          <w:rFonts w:ascii="Times New Roman" w:hAnsi="Times New Roman" w:cs="Times New Roman"/>
          <w:sz w:val="24"/>
          <w:lang w:val="en-US"/>
        </w:rPr>
        <w:fldChar w:fldCharType="end"/>
      </w:r>
      <w:r>
        <w:rPr>
          <w:rFonts w:ascii="Times New Roman" w:hAnsi="Times New Roman" w:cs="Times New Roman"/>
          <w:sz w:val="24"/>
          <w:lang w:val="en-US"/>
        </w:rPr>
        <w:t xml:space="preserve">, dimana mereka mengatakan bahwa beban sewa operasi sebenaranya sudah dipertimbangkan oleh pembaca laporan keuangan dan dianggap sebagai perjanjian pembiayaan. Dapat dikatakan bahwa laporan berdasarkan PSAK 73 sudah sering digunakan pengguna laporan keuangan, meski melalui simulasi dan analisa mandiri di luar laporan keuangan tersebut. </w:t>
      </w:r>
    </w:p>
    <w:p w14:paraId="72868832" w14:textId="2BD85EE8" w:rsidR="00E74AED" w:rsidRDefault="00E74AED" w:rsidP="00E74AED">
      <w:pPr>
        <w:ind w:firstLine="425"/>
        <w:jc w:val="both"/>
        <w:rPr>
          <w:rFonts w:ascii="Times New Roman" w:hAnsi="Times New Roman" w:cs="Times New Roman"/>
          <w:sz w:val="24"/>
          <w:lang w:val="en-US"/>
        </w:rPr>
      </w:pPr>
      <w:r>
        <w:rPr>
          <w:rFonts w:ascii="Times New Roman" w:hAnsi="Times New Roman" w:cs="Times New Roman"/>
          <w:sz w:val="24"/>
          <w:lang w:val="en-US"/>
        </w:rPr>
        <w:t xml:space="preserve">Meski demikian, dampak perubahaan peraturan akuntansi pada relevansi nilai akan tergantung juga pada intensitas dan proporsi transaksi sewa bagi perusahaan, seperti dikatakan oleh </w:t>
      </w:r>
      <w:r w:rsidRPr="00065669">
        <w:rPr>
          <w:rFonts w:ascii="Times New Roman" w:hAnsi="Times New Roman" w:cs="Times New Roman"/>
          <w:sz w:val="24"/>
          <w:lang w:val="en-US"/>
        </w:rPr>
        <w:t xml:space="preserve">Tahtah &amp; Roeloefsen </w:t>
      </w:r>
      <w:r w:rsidRPr="00065669">
        <w:rPr>
          <w:rFonts w:ascii="Times New Roman" w:hAnsi="Times New Roman" w:cs="Times New Roman"/>
          <w:sz w:val="24"/>
          <w:lang w:val="en-US"/>
        </w:rPr>
        <w:fldChar w:fldCharType="begin" w:fldLock="1"/>
      </w:r>
      <w:r w:rsidRPr="00065669">
        <w:rPr>
          <w:rFonts w:ascii="Times New Roman" w:hAnsi="Times New Roman" w:cs="Times New Roman"/>
          <w:sz w:val="24"/>
          <w:lang w:val="en-US"/>
        </w:rPr>
        <w:instrText>ADDIN CSL_CITATION {"citationItems":[{"id":"ITEM-1","itemData":{"abstract":"In collaboration with the RotterdamSchool of Management, in the Netherlands, we have conducted a global study to assess the impact of the new leases standard on the financial statements, key financial ratios and performancemeasures on a sample of 3,199 listed IFRS reporting organisations across a range of industries and countries (excluding the United States). The study identifies theminimumimpact of capitalising the operating lease commitments as disclosed in the published financial statements for 2014. In view of organisations assessment of the lease termunder the new standard, the inclusion of amongst others in-substance fixed payments and variable payments linked to an index or rate, the eventual impactmay bemuch greater. Furthermore, the study takes no account of transitional reliefs that are available upon adoption of the new leases standard on 1 January 2019.","author":[{"dropping-particle":"","family":"Tahtah","given":"Jay","non-dropping-particle":"","parse-names":false,"suffix":""},{"dropping-particle":"","family":"Roelofsen","given":"Erik","non-dropping-particle":"","parse-names":false,"suffix":""}],"container-title":"PwC report","id":"ITEM-1","issue":"February","issued":{"date-parts":[["2016"]]},"page":"14","title":"A study on the impact of lease capitalisation IFRS 16 : The new leases standard","type":"article-journal"},"suppress-author":1,"uris":["http://www.mendeley.com/documents/?uuid=46c01c49-cb88-4f82-be1c-ad2cda2e6232"]}],"mendeley":{"formattedCitation":"(2016)","plainTextFormattedCitation":"(2016)","previouslyFormattedCitation":"(2016)"},"properties":{"noteIndex":0},"schema":"https://github.com/citation-style-language/schema/raw/master/csl-citation.json"}</w:instrText>
      </w:r>
      <w:r w:rsidRPr="00065669">
        <w:rPr>
          <w:rFonts w:ascii="Times New Roman" w:hAnsi="Times New Roman" w:cs="Times New Roman"/>
          <w:sz w:val="24"/>
          <w:lang w:val="en-US"/>
        </w:rPr>
        <w:fldChar w:fldCharType="separate"/>
      </w:r>
      <w:r w:rsidRPr="00065669">
        <w:rPr>
          <w:rFonts w:ascii="Times New Roman" w:hAnsi="Times New Roman" w:cs="Times New Roman"/>
          <w:noProof/>
          <w:sz w:val="24"/>
          <w:lang w:val="en-US"/>
        </w:rPr>
        <w:t>(2016)</w:t>
      </w:r>
      <w:r w:rsidRPr="00065669">
        <w:rPr>
          <w:rFonts w:ascii="Times New Roman" w:hAnsi="Times New Roman" w:cs="Times New Roman"/>
          <w:sz w:val="24"/>
          <w:lang w:val="en-US"/>
        </w:rPr>
        <w:fldChar w:fldCharType="end"/>
      </w:r>
      <w:r w:rsidRPr="00065669">
        <w:rPr>
          <w:rFonts w:ascii="Times New Roman" w:hAnsi="Times New Roman" w:cs="Times New Roman"/>
          <w:sz w:val="24"/>
          <w:lang w:val="en-US"/>
        </w:rPr>
        <w:t xml:space="preserve">, dan Diaz &amp; Ramirez </w:t>
      </w:r>
      <w:r w:rsidRPr="00065669">
        <w:rPr>
          <w:rFonts w:ascii="Times New Roman" w:hAnsi="Times New Roman" w:cs="Times New Roman"/>
          <w:sz w:val="24"/>
          <w:lang w:val="en-US"/>
        </w:rPr>
        <w:fldChar w:fldCharType="begin" w:fldLock="1"/>
      </w:r>
      <w:r w:rsidRPr="00065669">
        <w:rPr>
          <w:rFonts w:ascii="Times New Roman" w:hAnsi="Times New Roman" w:cs="Times New Roman"/>
          <w:sz w:val="24"/>
          <w:lang w:val="en-US"/>
        </w:rPr>
        <w:instrText>ADDIN CSL_CITATION {"citationItems":[{"id":"ITEM-1","itemData":{"DOI":"10.1080/17449480.2018.1433307","ISSN":"17449499","abstract":"In January 2016, the International Accounting Standards Board issued a new standard for lease accounting: International Financial Reporting Starndard (IFRS) 16. IFRS 16 will lead to the capitalisation of the majority of current operating leases by lessees. We analyse the impact of the new accounting model on entity’s key financial, contributing to research by making significant changes in the Imhoff et al. [(1991). Operating leases: Impact of constructive capitalization. Accounting Horizons, 5(1), 51–63. Retrieved from http://search.ebscohost.com/login.aspx?direct=true&amp;db=buh&amp;AN=9604010111&amp;site=ehost-live; (1997). Operating leases: Income effects of constructive capitalization. Accounting Horizons, 11(2), 12–32. Retrieved from http://0-search.proquest.com.fama.us.es/docview/208896121?accountid=14744] methodology used by previous authors. We change how the lease term is estimated (more aligned with the final approved standard), and how the discount rate is obtained. Furthermore, we use a more comprehensive sample (646 quoted European companies). In line with previous research we find important systematic impacts on key balance sheet financial ratios (mainly leverage ratios), on a magnitude that depends on the operating lease intensity of the sector in which the entity operates. Our estimated impact is generally higher than that obtained in previous studies. The most affected sectors are retail, hotels and transportation. We do not find a consistent result with regard to the effect on profitability ratios.","author":[{"dropping-particle":"","family":"Morales-Díaz","given":"José","non-dropping-particle":"","parse-names":false,"suffix":""},{"dropping-particle":"","family":"Zamora-Ramírez","given":"Constancio","non-dropping-particle":"","parse-names":false,"suffix":""}],"container-title":"Accounting in Europe","id":"ITEM-1","issue":"1","issued":{"date-parts":[["2018"]]},"page":"105-133","publisher":"Taylor &amp; Francis","title":"The Impact of IFRS 16 on Key Financial Ratios: A New Methodological Approach","type":"article-journal","volume":"15"},"suppress-author":1,"uris":["http://www.mendeley.com/documents/?uuid=8bbe9ccc-f8b1-4fe3-87c7-19ede5bad7fb"]}],"mendeley":{"formattedCitation":"(2018)","plainTextFormattedCitation":"(2018)","previouslyFormattedCitation":"(2018)"},"properties":{"noteIndex":0},"schema":"https://github.com/citation-style-language/schema/raw/master/csl-citation.json"}</w:instrText>
      </w:r>
      <w:r w:rsidRPr="00065669">
        <w:rPr>
          <w:rFonts w:ascii="Times New Roman" w:hAnsi="Times New Roman" w:cs="Times New Roman"/>
          <w:sz w:val="24"/>
          <w:lang w:val="en-US"/>
        </w:rPr>
        <w:fldChar w:fldCharType="separate"/>
      </w:r>
      <w:r w:rsidRPr="00065669">
        <w:rPr>
          <w:rFonts w:ascii="Times New Roman" w:hAnsi="Times New Roman" w:cs="Times New Roman"/>
          <w:noProof/>
          <w:sz w:val="24"/>
          <w:lang w:val="en-US"/>
        </w:rPr>
        <w:t>(2018)</w:t>
      </w:r>
      <w:r w:rsidRPr="00065669">
        <w:rPr>
          <w:rFonts w:ascii="Times New Roman" w:hAnsi="Times New Roman" w:cs="Times New Roman"/>
          <w:sz w:val="24"/>
          <w:lang w:val="en-US"/>
        </w:rPr>
        <w:fldChar w:fldCharType="end"/>
      </w:r>
      <w:r>
        <w:rPr>
          <w:rFonts w:ascii="Times New Roman" w:hAnsi="Times New Roman" w:cs="Times New Roman"/>
          <w:sz w:val="24"/>
          <w:lang w:val="en-US"/>
        </w:rPr>
        <w:t>. Sehingga walaupun tidak signifikan, namun</w:t>
      </w:r>
      <w:r w:rsidR="006E7DF7">
        <w:rPr>
          <w:rFonts w:ascii="Times New Roman" w:hAnsi="Times New Roman" w:cs="Times New Roman"/>
          <w:sz w:val="24"/>
          <w:lang w:val="en-US"/>
        </w:rPr>
        <w:t xml:space="preserve"> tetap</w:t>
      </w:r>
      <w:r>
        <w:rPr>
          <w:rFonts w:ascii="Times New Roman" w:hAnsi="Times New Roman" w:cs="Times New Roman"/>
          <w:sz w:val="24"/>
          <w:lang w:val="en-US"/>
        </w:rPr>
        <w:t xml:space="preserve"> terdapat indikasi bahwa PSAK 73 dapat meningkatkan relevansi nilai informasi keuangan bagi investor dari perusahaan yang menggunakan transaksi cukup banyak. </w:t>
      </w:r>
    </w:p>
    <w:p w14:paraId="2E23DE93" w14:textId="77777777" w:rsidR="00E74AED" w:rsidRDefault="00E74AED" w:rsidP="00E74AED">
      <w:pPr>
        <w:ind w:firstLine="425"/>
        <w:jc w:val="both"/>
        <w:rPr>
          <w:rFonts w:ascii="Times New Roman" w:hAnsi="Times New Roman" w:cs="Times New Roman"/>
          <w:sz w:val="24"/>
          <w:lang w:val="en-US"/>
        </w:rPr>
      </w:pPr>
      <w:r>
        <w:rPr>
          <w:rFonts w:ascii="Times New Roman" w:hAnsi="Times New Roman" w:cs="Times New Roman"/>
          <w:sz w:val="24"/>
          <w:lang w:val="en-US"/>
        </w:rPr>
        <w:t xml:space="preserve">Berdasarkan pembahasan di atas, penulis sampai pada kesimpulan bahwa implementasi PSAK 73 tidak meningkatkan relevansi nilai dari informasi keuangan bagi investor. Sehingga penulis menolak hipotesis yang dinyatakan di bagian sebelumnya. </w:t>
      </w:r>
    </w:p>
    <w:p w14:paraId="7AA1ADEB" w14:textId="55078476" w:rsidR="00E74AED" w:rsidRPr="00D756BD" w:rsidRDefault="00E74AED" w:rsidP="00D756BD">
      <w:pPr>
        <w:ind w:firstLine="720"/>
        <w:jc w:val="both"/>
        <w:rPr>
          <w:rFonts w:ascii="Times New Roman" w:hAnsi="Times New Roman" w:cs="Times New Roman"/>
          <w:bCs/>
          <w:sz w:val="24"/>
          <w:szCs w:val="24"/>
          <w:lang w:eastAsia="zh-CN"/>
        </w:rPr>
      </w:pPr>
      <w:r w:rsidRPr="00EA0121">
        <w:rPr>
          <w:rFonts w:ascii="Times New Roman" w:hAnsi="Times New Roman" w:cs="Times New Roman"/>
          <w:bCs/>
          <w:sz w:val="24"/>
          <w:szCs w:val="24"/>
          <w:lang w:eastAsia="zh-CN"/>
        </w:rPr>
        <w:t xml:space="preserve"> </w:t>
      </w:r>
    </w:p>
    <w:p w14:paraId="657ACA57" w14:textId="77777777" w:rsidR="00B81536" w:rsidRDefault="00B81536">
      <w:pPr>
        <w:rPr>
          <w:rFonts w:ascii="Times New Roman" w:hAnsi="Times New Roman" w:cs="Times New Roman"/>
          <w:b/>
          <w:sz w:val="24"/>
          <w:szCs w:val="24"/>
          <w:lang w:eastAsia="zh-CN"/>
        </w:rPr>
      </w:pPr>
      <w:r>
        <w:rPr>
          <w:rFonts w:ascii="Times New Roman" w:hAnsi="Times New Roman" w:cs="Times New Roman"/>
          <w:b/>
          <w:sz w:val="24"/>
          <w:szCs w:val="24"/>
          <w:lang w:eastAsia="zh-CN"/>
        </w:rPr>
        <w:br w:type="page"/>
      </w:r>
    </w:p>
    <w:p w14:paraId="279A003E" w14:textId="7014B543" w:rsidR="00E74AED" w:rsidRPr="00D77E82" w:rsidRDefault="00E74AED" w:rsidP="00E74AED">
      <w:pPr>
        <w:jc w:val="both"/>
        <w:rPr>
          <w:rFonts w:ascii="Times New Roman" w:hAnsi="Times New Roman" w:cs="Times New Roman"/>
          <w:b/>
          <w:sz w:val="24"/>
          <w:szCs w:val="24"/>
          <w:lang w:val="en-US" w:eastAsia="zh-CN"/>
        </w:rPr>
      </w:pPr>
      <w:r w:rsidRPr="00EA0121">
        <w:rPr>
          <w:rFonts w:ascii="Times New Roman" w:hAnsi="Times New Roman" w:cs="Times New Roman"/>
          <w:b/>
          <w:sz w:val="24"/>
          <w:szCs w:val="24"/>
          <w:lang w:eastAsia="zh-CN"/>
        </w:rPr>
        <w:lastRenderedPageBreak/>
        <w:t>SIMPULAN</w:t>
      </w:r>
    </w:p>
    <w:p w14:paraId="5A080557" w14:textId="77777777" w:rsidR="00E74AED" w:rsidRDefault="00E74AED" w:rsidP="00E74AED">
      <w:pPr>
        <w:autoSpaceDE w:val="0"/>
        <w:autoSpaceDN w:val="0"/>
        <w:jc w:val="both"/>
        <w:rPr>
          <w:rFonts w:ascii="Times New Roman" w:hAnsi="Times New Roman" w:cs="Times New Roman"/>
          <w:sz w:val="24"/>
          <w:szCs w:val="24"/>
          <w:lang w:val="en-US"/>
        </w:rPr>
      </w:pPr>
    </w:p>
    <w:p w14:paraId="00C1CB01" w14:textId="77777777" w:rsidR="00E74AED" w:rsidRPr="00826081" w:rsidRDefault="00E74AED" w:rsidP="00E74AED">
      <w:pPr>
        <w:autoSpaceDE w:val="0"/>
        <w:autoSpaceDN w:val="0"/>
        <w:jc w:val="both"/>
        <w:rPr>
          <w:rFonts w:ascii="Times New Roman" w:hAnsi="Times New Roman" w:cs="Times New Roman"/>
          <w:b/>
          <w:sz w:val="24"/>
          <w:szCs w:val="24"/>
          <w:lang w:val="en-US"/>
        </w:rPr>
      </w:pPr>
      <w:r w:rsidRPr="00826081">
        <w:rPr>
          <w:rFonts w:ascii="Times New Roman" w:hAnsi="Times New Roman" w:cs="Times New Roman"/>
          <w:b/>
          <w:sz w:val="24"/>
          <w:szCs w:val="24"/>
          <w:lang w:val="en-US"/>
        </w:rPr>
        <w:t>Simpulan</w:t>
      </w:r>
      <w:r>
        <w:rPr>
          <w:rFonts w:ascii="Times New Roman" w:hAnsi="Times New Roman" w:cs="Times New Roman"/>
          <w:b/>
          <w:sz w:val="24"/>
          <w:szCs w:val="24"/>
          <w:lang w:val="en-US"/>
        </w:rPr>
        <w:t xml:space="preserve"> dan Kontribusi Penelitian</w:t>
      </w:r>
    </w:p>
    <w:p w14:paraId="25958429" w14:textId="77777777" w:rsidR="00E74AED" w:rsidRDefault="00E74AED" w:rsidP="00E74AED">
      <w:pPr>
        <w:autoSpaceDE w:val="0"/>
        <w:autoSpaceDN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ini menunjukkan hasil dari implementasi PSAK 73, dan dampaknya terhadap relevansi laporan keuangan di mata investor. Penulis tidak menemukan peningkatan relevansi nilai setelah implementasi PSAK 73, meski penulis menemukan bahwa ada kenaikan signifikan di dalam akun aset dan liabilitas sewa. </w:t>
      </w:r>
    </w:p>
    <w:p w14:paraId="73FBE578" w14:textId="77777777" w:rsidR="00E74AED" w:rsidRDefault="00E74AED" w:rsidP="00E74AED">
      <w:pPr>
        <w:ind w:firstLine="425"/>
        <w:jc w:val="both"/>
        <w:rPr>
          <w:rFonts w:ascii="Times New Roman" w:hAnsi="Times New Roman" w:cs="Times New Roman"/>
          <w:sz w:val="24"/>
          <w:lang w:val="en-US"/>
        </w:rPr>
      </w:pPr>
      <w:r>
        <w:rPr>
          <w:rFonts w:ascii="Times New Roman" w:hAnsi="Times New Roman" w:cs="Times New Roman"/>
          <w:sz w:val="24"/>
          <w:lang w:val="en-US"/>
        </w:rPr>
        <w:t>Berdasarkan pembahasan di atas, penulis sampai pada kesimpulan bahwa implementasi PSAK 73 tidak meningkatkan relevansi nilai dari informasi keuangan bagi investor. Sehingga penulis menolak hipotesis dan temuan dari penelitian-penelitian sebelumnya, yang memperkirakan bahwa implementasi PSAK 73 akan meningkatkan relevansi nilai laporan keuangan.</w:t>
      </w:r>
    </w:p>
    <w:p w14:paraId="219F2A5D" w14:textId="77777777" w:rsidR="00E74AED" w:rsidRDefault="00E74AED" w:rsidP="00E74AED">
      <w:pPr>
        <w:ind w:firstLine="425"/>
        <w:jc w:val="both"/>
        <w:rPr>
          <w:rFonts w:ascii="Times New Roman" w:hAnsi="Times New Roman" w:cs="Times New Roman"/>
          <w:sz w:val="24"/>
          <w:lang w:val="en-US"/>
        </w:rPr>
      </w:pPr>
      <w:r>
        <w:rPr>
          <w:rFonts w:ascii="Times New Roman" w:hAnsi="Times New Roman" w:cs="Times New Roman"/>
          <w:sz w:val="24"/>
          <w:lang w:val="en-US"/>
        </w:rPr>
        <w:t xml:space="preserve">Penulis mencatat bahwa pengaruh implementasi PSAK 73 kepada relevansi nilai informasi keuangan terlihat tergantung pada seberapa besar transaksi sewa yang dilakukan oleh perusahaan tersebut. Hal ini dapat menjadi bahan bagi penelitian selanjutnya dengan melihat perusahaan-perusahaan yang mempunyai proporsi sewa cukup signifikan, baik itu berdasarkan klasifikasi industri atau berdasarkan proporsi dalam perusahaan masing-masing. </w:t>
      </w:r>
    </w:p>
    <w:p w14:paraId="7228F418" w14:textId="77777777" w:rsidR="00E74AED" w:rsidRDefault="00E74AED" w:rsidP="00E74AED">
      <w:pPr>
        <w:ind w:firstLine="425"/>
        <w:jc w:val="both"/>
        <w:rPr>
          <w:rFonts w:ascii="Times New Roman" w:hAnsi="Times New Roman" w:cs="Times New Roman"/>
          <w:sz w:val="24"/>
          <w:lang w:val="en-US"/>
        </w:rPr>
      </w:pPr>
      <w:r>
        <w:rPr>
          <w:rFonts w:ascii="Times New Roman" w:hAnsi="Times New Roman" w:cs="Times New Roman"/>
          <w:sz w:val="24"/>
          <w:lang w:val="en-US"/>
        </w:rPr>
        <w:t>Sebagai salah satu penelitian awal untuk relevansi nilai PSAK 73, penelitian ini dapat memberikan temuan awal untuk dewan standar, penyaji laporan keuangan dan pengguna laporan keuangan. Penelitian ini juga dapat menambah wawasan bagi badan ilmu akuntansi, secara spesifik akuntansi sewa. Penelitian ini juga dapat dipakai sebagai landasan untuk direplikasi atau dikembangkan dalam penelitian akuntansi sewa dan relevansi nilai selanjutnya.</w:t>
      </w:r>
    </w:p>
    <w:p w14:paraId="28293368" w14:textId="77777777" w:rsidR="00E74AED" w:rsidRDefault="00E74AED" w:rsidP="00E74AED">
      <w:pPr>
        <w:ind w:firstLine="425"/>
        <w:jc w:val="both"/>
        <w:rPr>
          <w:rFonts w:ascii="Times New Roman" w:hAnsi="Times New Roman" w:cs="Times New Roman"/>
          <w:b/>
          <w:sz w:val="24"/>
          <w:szCs w:val="24"/>
          <w:lang w:val="en-US"/>
        </w:rPr>
      </w:pPr>
    </w:p>
    <w:p w14:paraId="4FA5EBD4" w14:textId="77777777" w:rsidR="00E74AED" w:rsidRPr="00826081" w:rsidRDefault="00E74AED" w:rsidP="00E74AED">
      <w:pPr>
        <w:autoSpaceDE w:val="0"/>
        <w:autoSpaceDN w:val="0"/>
        <w:jc w:val="both"/>
        <w:rPr>
          <w:rFonts w:ascii="Times New Roman" w:hAnsi="Times New Roman" w:cs="Times New Roman"/>
          <w:b/>
          <w:sz w:val="24"/>
          <w:szCs w:val="24"/>
          <w:lang w:val="en-US"/>
        </w:rPr>
      </w:pPr>
      <w:r>
        <w:rPr>
          <w:rFonts w:ascii="Times New Roman" w:hAnsi="Times New Roman" w:cs="Times New Roman"/>
          <w:b/>
          <w:sz w:val="24"/>
          <w:szCs w:val="24"/>
          <w:lang w:val="en-US"/>
        </w:rPr>
        <w:t>Keterbatasan Penelitian</w:t>
      </w:r>
    </w:p>
    <w:p w14:paraId="2B55160F" w14:textId="77777777" w:rsidR="00E74AED" w:rsidRDefault="00E74AED" w:rsidP="00E74AED">
      <w:pPr>
        <w:autoSpaceDE w:val="0"/>
        <w:autoSpaceDN w:val="0"/>
        <w:jc w:val="both"/>
        <w:rPr>
          <w:rFonts w:ascii="Times New Roman" w:hAnsi="Times New Roman" w:cs="Times New Roman"/>
          <w:sz w:val="24"/>
          <w:szCs w:val="24"/>
          <w:lang w:val="en-US"/>
        </w:rPr>
      </w:pPr>
      <w:r>
        <w:rPr>
          <w:rFonts w:ascii="Times New Roman" w:hAnsi="Times New Roman" w:cs="Times New Roman"/>
          <w:sz w:val="24"/>
          <w:szCs w:val="24"/>
          <w:lang w:val="en-US"/>
        </w:rPr>
        <w:t>Penulis mengakui keterbatasan penelitian ini, yakni sampel dan kondisi ekonomi masa pandemi.</w:t>
      </w:r>
    </w:p>
    <w:p w14:paraId="7A3C0274" w14:textId="77777777" w:rsidR="00E74AED" w:rsidRPr="00E21A48" w:rsidRDefault="00E74AED" w:rsidP="00E74AED">
      <w:pPr>
        <w:autoSpaceDE w:val="0"/>
        <w:autoSpaceDN w:val="0"/>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Penulis terhalang oleh periode implementasi PSAK 73 yang baru dimulai di tahun pertama sehingga efek implementasi </w:t>
      </w:r>
      <w:r>
        <w:rPr>
          <w:rFonts w:ascii="Times New Roman" w:hAnsi="Times New Roman" w:cs="Times New Roman"/>
          <w:sz w:val="24"/>
          <w:szCs w:val="24"/>
          <w:lang w:val="en-US"/>
        </w:rPr>
        <w:t xml:space="preserve">masih terisolasi oleh laporan satu tahun saja. Berikut pula adalah keterbatasan waktu di mana perusahaan-perusahaan terdaftar di bursa efek diberikan keringanan berupa penundaan tenggat waktu penerbitan laporan keuangan hingga Mei 2021.Oleh karena itu, penulis tidak dapat menggunakan keseluruhan konstituen Kompas 100 sebagai sampel. </w:t>
      </w:r>
    </w:p>
    <w:p w14:paraId="6B372781" w14:textId="77777777" w:rsidR="00E74AED" w:rsidRDefault="00E74AED" w:rsidP="00E74AED">
      <w:pPr>
        <w:ind w:firstLine="425"/>
        <w:jc w:val="both"/>
        <w:rPr>
          <w:rFonts w:ascii="Times New Roman" w:hAnsi="Times New Roman" w:cs="Times New Roman"/>
          <w:sz w:val="24"/>
          <w:lang w:val="en-US"/>
        </w:rPr>
      </w:pPr>
      <w:r>
        <w:rPr>
          <w:rFonts w:ascii="Times New Roman" w:hAnsi="Times New Roman" w:cs="Times New Roman"/>
          <w:sz w:val="24"/>
          <w:lang w:val="en-US"/>
        </w:rPr>
        <w:t xml:space="preserve">Selain itu, kondisi ekonomi masa pandemi membuat pergerakan harga saham tidak bergerak sebagai mana umumnya. Pada saat penulisan, harga saham sudah mulai bergerak ke titik sebelum pandemi, namun kondisi ekonomi masih dalam kondisi krisis masa pandemi. </w:t>
      </w:r>
    </w:p>
    <w:p w14:paraId="3DF37A5F" w14:textId="77777777" w:rsidR="00E74AED" w:rsidRPr="00FD57E0" w:rsidRDefault="00E74AED" w:rsidP="00E74AED">
      <w:pPr>
        <w:ind w:firstLine="425"/>
        <w:jc w:val="both"/>
        <w:rPr>
          <w:rFonts w:ascii="Times New Roman" w:hAnsi="Times New Roman" w:cs="Times New Roman"/>
          <w:sz w:val="24"/>
          <w:lang w:val="en-US"/>
        </w:rPr>
      </w:pPr>
      <w:r>
        <w:rPr>
          <w:rFonts w:ascii="Times New Roman" w:hAnsi="Times New Roman" w:cs="Times New Roman"/>
          <w:sz w:val="24"/>
          <w:lang w:val="en-US"/>
        </w:rPr>
        <w:t xml:space="preserve">Sehingga untuk penelitian-penelitian berikutnya, akan jadi lebih baik jika menggunakan data setelah implementasi PSAK 73 yang lebih panjang dan longitudinal, serta dalam kondisi ekonomi normal. </w:t>
      </w:r>
    </w:p>
    <w:p w14:paraId="7975DB3A" w14:textId="77777777" w:rsidR="003908A0" w:rsidRPr="00EA0121" w:rsidRDefault="003908A0">
      <w:pPr>
        <w:spacing w:before="120"/>
        <w:rPr>
          <w:rFonts w:ascii="Times New Roman" w:eastAsia="Times New Roman" w:hAnsi="Times New Roman" w:cs="Times New Roman"/>
          <w:b/>
          <w:sz w:val="24"/>
          <w:szCs w:val="24"/>
        </w:rPr>
      </w:pPr>
    </w:p>
    <w:p w14:paraId="3968412C" w14:textId="74844F8E" w:rsidR="000A3D4F" w:rsidRDefault="00765D9B" w:rsidP="003908A0">
      <w:pPr>
        <w:jc w:val="both"/>
        <w:rPr>
          <w:rFonts w:ascii="Times New Roman" w:hAnsi="Times New Roman" w:cs="Times New Roman"/>
          <w:b/>
          <w:sz w:val="24"/>
        </w:rPr>
      </w:pPr>
      <w:r w:rsidRPr="00EA0121">
        <w:rPr>
          <w:rFonts w:ascii="Times New Roman" w:hAnsi="Times New Roman" w:cs="Times New Roman"/>
          <w:b/>
          <w:sz w:val="24"/>
        </w:rPr>
        <w:t>DAFTAR PUSTAKA</w:t>
      </w:r>
    </w:p>
    <w:p w14:paraId="12ECE536" w14:textId="25220E61" w:rsidR="00C83FCE" w:rsidRDefault="00C83FCE" w:rsidP="003908A0">
      <w:pPr>
        <w:jc w:val="both"/>
        <w:rPr>
          <w:rFonts w:ascii="Times New Roman" w:hAnsi="Times New Roman" w:cs="Times New Roman"/>
          <w:sz w:val="24"/>
        </w:rPr>
      </w:pPr>
    </w:p>
    <w:p w14:paraId="4DC8718B" w14:textId="404C4D8A"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sz w:val="24"/>
        </w:rPr>
        <w:fldChar w:fldCharType="begin" w:fldLock="1"/>
      </w:r>
      <w:r>
        <w:rPr>
          <w:rFonts w:ascii="Times New Roman" w:hAnsi="Times New Roman" w:cs="Times New Roman"/>
          <w:sz w:val="24"/>
        </w:rPr>
        <w:instrText xml:space="preserve">ADDIN Mendeley Bibliography CSL_BIBLIOGRAPHY </w:instrText>
      </w:r>
      <w:r>
        <w:rPr>
          <w:rFonts w:ascii="Times New Roman" w:hAnsi="Times New Roman" w:cs="Times New Roman"/>
          <w:sz w:val="24"/>
        </w:rPr>
        <w:fldChar w:fldCharType="separate"/>
      </w:r>
      <w:r w:rsidRPr="00B06863">
        <w:rPr>
          <w:rFonts w:ascii="Times New Roman" w:hAnsi="Times New Roman" w:cs="Times New Roman"/>
          <w:noProof/>
          <w:sz w:val="24"/>
          <w:szCs w:val="24"/>
        </w:rPr>
        <w:t xml:space="preserve">ACCA. (2014). </w:t>
      </w:r>
      <w:r w:rsidRPr="00B06863">
        <w:rPr>
          <w:rFonts w:ascii="Times New Roman" w:hAnsi="Times New Roman" w:cs="Times New Roman"/>
          <w:i/>
          <w:iCs/>
          <w:noProof/>
          <w:sz w:val="24"/>
          <w:szCs w:val="24"/>
        </w:rPr>
        <w:t>Lease accounting : an update on the international proposed amendments About ACCA</w:t>
      </w:r>
      <w:r w:rsidRPr="00B06863">
        <w:rPr>
          <w:rFonts w:ascii="Times New Roman" w:hAnsi="Times New Roman" w:cs="Times New Roman"/>
          <w:noProof/>
          <w:sz w:val="24"/>
          <w:szCs w:val="24"/>
        </w:rPr>
        <w:t xml:space="preserve">. </w:t>
      </w:r>
    </w:p>
    <w:p w14:paraId="1DB8BFE8"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Alali, F. A., &amp; Foote, P. S. (2012). The Value Relevance of International Financial Reporting Standards: Empirical Evidence in an Emerging Market. </w:t>
      </w:r>
      <w:r w:rsidRPr="00B06863">
        <w:rPr>
          <w:rFonts w:ascii="Times New Roman" w:hAnsi="Times New Roman" w:cs="Times New Roman"/>
          <w:i/>
          <w:iCs/>
          <w:noProof/>
          <w:sz w:val="24"/>
          <w:szCs w:val="24"/>
        </w:rPr>
        <w:t>International Journal of Accounting</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47</w:t>
      </w:r>
      <w:r w:rsidRPr="00B06863">
        <w:rPr>
          <w:rFonts w:ascii="Times New Roman" w:hAnsi="Times New Roman" w:cs="Times New Roman"/>
          <w:noProof/>
          <w:sz w:val="24"/>
          <w:szCs w:val="24"/>
        </w:rPr>
        <w:t>(1), 85–108. https://doi.org/10.1016/j.intacc.2011.12.005</w:t>
      </w:r>
    </w:p>
    <w:p w14:paraId="53A6FC06"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Altamuro, J., Johnston, R., Pandit, S. S., &amp; Zhang, H. H. (2014). Operating leases and credit assessments. </w:t>
      </w:r>
      <w:r w:rsidRPr="00B06863">
        <w:rPr>
          <w:rFonts w:ascii="Times New Roman" w:hAnsi="Times New Roman" w:cs="Times New Roman"/>
          <w:i/>
          <w:iCs/>
          <w:noProof/>
          <w:sz w:val="24"/>
          <w:szCs w:val="24"/>
        </w:rPr>
        <w:t>Contemporary Accounting Research</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31</w:t>
      </w:r>
      <w:r w:rsidRPr="00B06863">
        <w:rPr>
          <w:rFonts w:ascii="Times New Roman" w:hAnsi="Times New Roman" w:cs="Times New Roman"/>
          <w:noProof/>
          <w:sz w:val="24"/>
          <w:szCs w:val="24"/>
        </w:rPr>
        <w:t>(2), 551–580. https://doi.org/10.1111/1911-3846.12033</w:t>
      </w:r>
    </w:p>
    <w:p w14:paraId="2D82F851" w14:textId="77777777" w:rsidR="006B48BA" w:rsidRDefault="006B48BA" w:rsidP="00B06863">
      <w:pPr>
        <w:widowControl w:val="0"/>
        <w:autoSpaceDE w:val="0"/>
        <w:autoSpaceDN w:val="0"/>
        <w:adjustRightInd w:val="0"/>
        <w:ind w:left="480" w:hanging="480"/>
        <w:rPr>
          <w:rFonts w:ascii="Times New Roman" w:hAnsi="Times New Roman" w:cs="Times New Roman"/>
          <w:noProof/>
          <w:sz w:val="24"/>
          <w:szCs w:val="24"/>
        </w:rPr>
      </w:pPr>
    </w:p>
    <w:p w14:paraId="481F5CBA" w14:textId="37540650"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Altintas, T., &amp; Sari, E. S. (2016). The effect of the IFRS 16: constructive capitalization of operating leases in the Turkish retailing sector. </w:t>
      </w:r>
      <w:r w:rsidRPr="00B06863">
        <w:rPr>
          <w:rFonts w:ascii="Times New Roman" w:hAnsi="Times New Roman" w:cs="Times New Roman"/>
          <w:i/>
          <w:iCs/>
          <w:noProof/>
          <w:sz w:val="24"/>
          <w:szCs w:val="24"/>
        </w:rPr>
        <w:t>Pressacademia</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5</w:t>
      </w:r>
      <w:r w:rsidRPr="00B06863">
        <w:rPr>
          <w:rFonts w:ascii="Times New Roman" w:hAnsi="Times New Roman" w:cs="Times New Roman"/>
          <w:noProof/>
          <w:sz w:val="24"/>
          <w:szCs w:val="24"/>
        </w:rPr>
        <w:t>(1), 138–138. https://doi.org/10.17261/pressacademia.2016116657</w:t>
      </w:r>
    </w:p>
    <w:p w14:paraId="763530A5"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Aryati, T., &amp; Wibowo, N. N. (2017). Pengaruh Relevansi Nilai Informasi Other Comprehensive Income Dan Net </w:t>
      </w:r>
      <w:r w:rsidRPr="00B06863">
        <w:rPr>
          <w:rFonts w:ascii="Times New Roman" w:hAnsi="Times New Roman" w:cs="Times New Roman"/>
          <w:noProof/>
          <w:sz w:val="24"/>
          <w:szCs w:val="24"/>
        </w:rPr>
        <w:lastRenderedPageBreak/>
        <w:t xml:space="preserve">Income Terhadap Return Saham. </w:t>
      </w:r>
      <w:r w:rsidRPr="00B06863">
        <w:rPr>
          <w:rFonts w:ascii="Times New Roman" w:hAnsi="Times New Roman" w:cs="Times New Roman"/>
          <w:i/>
          <w:iCs/>
          <w:noProof/>
          <w:sz w:val="24"/>
          <w:szCs w:val="24"/>
        </w:rPr>
        <w:t>Media Riset Akuntansi, Auditing &amp; Informasi</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17</w:t>
      </w:r>
      <w:r w:rsidRPr="00B06863">
        <w:rPr>
          <w:rFonts w:ascii="Times New Roman" w:hAnsi="Times New Roman" w:cs="Times New Roman"/>
          <w:noProof/>
          <w:sz w:val="24"/>
          <w:szCs w:val="24"/>
        </w:rPr>
        <w:t>(1), 53. https://doi.org/10.25105/mraai.v17i1.2038</w:t>
      </w:r>
    </w:p>
    <w:p w14:paraId="71982B6A"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Badu, B., &amp; Appiah, K. O. (2018). Value relevance of accounting information: an emerging country perspective. </w:t>
      </w:r>
      <w:r w:rsidRPr="00B06863">
        <w:rPr>
          <w:rFonts w:ascii="Times New Roman" w:hAnsi="Times New Roman" w:cs="Times New Roman"/>
          <w:i/>
          <w:iCs/>
          <w:noProof/>
          <w:sz w:val="24"/>
          <w:szCs w:val="24"/>
        </w:rPr>
        <w:t>Journal of Accounting and Organizational Change</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14</w:t>
      </w:r>
      <w:r w:rsidRPr="00B06863">
        <w:rPr>
          <w:rFonts w:ascii="Times New Roman" w:hAnsi="Times New Roman" w:cs="Times New Roman"/>
          <w:noProof/>
          <w:sz w:val="24"/>
          <w:szCs w:val="24"/>
        </w:rPr>
        <w:t>(4), 473–491. https://doi.org/10.1108/JAOC-07-2017-0064</w:t>
      </w:r>
    </w:p>
    <w:p w14:paraId="75C67CE9"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Ball, R., &amp; Brown, P. (1968). An Empirical Evaluation of income Number. In </w:t>
      </w:r>
      <w:r w:rsidRPr="00B06863">
        <w:rPr>
          <w:rFonts w:ascii="Times New Roman" w:hAnsi="Times New Roman" w:cs="Times New Roman"/>
          <w:i/>
          <w:iCs/>
          <w:noProof/>
          <w:sz w:val="24"/>
          <w:szCs w:val="24"/>
        </w:rPr>
        <w:t>Journal of Accounting Research</w:t>
      </w:r>
      <w:r w:rsidRPr="00B06863">
        <w:rPr>
          <w:rFonts w:ascii="Times New Roman" w:hAnsi="Times New Roman" w:cs="Times New Roman"/>
          <w:noProof/>
          <w:sz w:val="24"/>
          <w:szCs w:val="24"/>
        </w:rPr>
        <w:t xml:space="preserve"> (Vol. 44, Issue 3, pp. 159–178). http://search.epnet.com/login.aspx?direct=true&amp;db=buh&amp;an=4488897%0Ahttp://www.jstor.org/stable/2490239%5Cnhttp://about.jstor.org/terms</w:t>
      </w:r>
    </w:p>
    <w:p w14:paraId="5AB2FD24"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Bandyopadhyay, S. P., Chen, C., &amp; Wolfe, M. (2017). The predictive ability of investment property fair value adjustments under IFRS and the role of accounting conservatism. </w:t>
      </w:r>
      <w:r w:rsidRPr="00B06863">
        <w:rPr>
          <w:rFonts w:ascii="Times New Roman" w:hAnsi="Times New Roman" w:cs="Times New Roman"/>
          <w:i/>
          <w:iCs/>
          <w:noProof/>
          <w:sz w:val="24"/>
          <w:szCs w:val="24"/>
        </w:rPr>
        <w:t>Advances in Accounting</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38</w:t>
      </w:r>
      <w:r w:rsidRPr="00B06863">
        <w:rPr>
          <w:rFonts w:ascii="Times New Roman" w:hAnsi="Times New Roman" w:cs="Times New Roman"/>
          <w:noProof/>
          <w:sz w:val="24"/>
          <w:szCs w:val="24"/>
        </w:rPr>
        <w:t>(May 2015), 1–14. https://doi.org/10.1016/j.adiac.2017.05.002</w:t>
      </w:r>
    </w:p>
    <w:p w14:paraId="1FA629B8"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Bauman, M. P., &amp; Shaw, K. W. (2018). Value relevance of customer-related intangible assets. </w:t>
      </w:r>
      <w:r w:rsidRPr="00B06863">
        <w:rPr>
          <w:rFonts w:ascii="Times New Roman" w:hAnsi="Times New Roman" w:cs="Times New Roman"/>
          <w:i/>
          <w:iCs/>
          <w:noProof/>
          <w:sz w:val="24"/>
          <w:szCs w:val="24"/>
        </w:rPr>
        <w:t>Research in Accounting Regulation</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30</w:t>
      </w:r>
      <w:r w:rsidRPr="00B06863">
        <w:rPr>
          <w:rFonts w:ascii="Times New Roman" w:hAnsi="Times New Roman" w:cs="Times New Roman"/>
          <w:noProof/>
          <w:sz w:val="24"/>
          <w:szCs w:val="24"/>
        </w:rPr>
        <w:t>(2), 95–102. https://doi.org/10.1016/j.racreg.2018.09.010</w:t>
      </w:r>
    </w:p>
    <w:p w14:paraId="449B30F0"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Bepari, M. . (2015). Relative and incremental value relevance of book value and earnings during the global financial crisis. </w:t>
      </w:r>
      <w:r w:rsidRPr="00B06863">
        <w:rPr>
          <w:rFonts w:ascii="Times New Roman" w:hAnsi="Times New Roman" w:cs="Times New Roman"/>
          <w:i/>
          <w:iCs/>
          <w:noProof/>
          <w:sz w:val="24"/>
          <w:szCs w:val="24"/>
        </w:rPr>
        <w:t>International Journal of Commerce and Management</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25</w:t>
      </w:r>
      <w:r w:rsidRPr="00B06863">
        <w:rPr>
          <w:rFonts w:ascii="Times New Roman" w:hAnsi="Times New Roman" w:cs="Times New Roman"/>
          <w:noProof/>
          <w:sz w:val="24"/>
          <w:szCs w:val="24"/>
        </w:rPr>
        <w:t>(4), 531–556. https://doi.org/10.1108/IJCoMA-11-2012-0072</w:t>
      </w:r>
    </w:p>
    <w:p w14:paraId="10B150C4"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Bowerman, S., &amp; Sharma, U. (2016). The effect of corporate social responsibility disclosures on share prices in japan and the uk. </w:t>
      </w:r>
      <w:r w:rsidRPr="00B06863">
        <w:rPr>
          <w:rFonts w:ascii="Times New Roman" w:hAnsi="Times New Roman" w:cs="Times New Roman"/>
          <w:i/>
          <w:iCs/>
          <w:noProof/>
          <w:sz w:val="24"/>
          <w:szCs w:val="24"/>
        </w:rPr>
        <w:t>Corporate Ownership and Control</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13</w:t>
      </w:r>
      <w:r w:rsidRPr="00B06863">
        <w:rPr>
          <w:rFonts w:ascii="Times New Roman" w:hAnsi="Times New Roman" w:cs="Times New Roman"/>
          <w:noProof/>
          <w:sz w:val="24"/>
          <w:szCs w:val="24"/>
        </w:rPr>
        <w:t>(2CONT1), 202–216. https://doi.org/10.22495/cocv13i2c1p2</w:t>
      </w:r>
    </w:p>
    <w:p w14:paraId="7D74200E"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Brama, A., &amp; Wahyana, C. (2019). Standar akuntansi baru PSAK 71, 72, dan 73 </w:t>
      </w:r>
      <w:r w:rsidRPr="00B06863">
        <w:rPr>
          <w:rFonts w:ascii="Times New Roman" w:hAnsi="Times New Roman" w:cs="Times New Roman"/>
          <w:noProof/>
          <w:sz w:val="24"/>
          <w:szCs w:val="24"/>
        </w:rPr>
        <w:t xml:space="preserve">berlaku 2020, ini perbedaannya. </w:t>
      </w:r>
      <w:r w:rsidRPr="00B06863">
        <w:rPr>
          <w:rFonts w:ascii="Times New Roman" w:hAnsi="Times New Roman" w:cs="Times New Roman"/>
          <w:i/>
          <w:iCs/>
          <w:noProof/>
          <w:sz w:val="24"/>
          <w:szCs w:val="24"/>
        </w:rPr>
        <w:t>Kontan</w:t>
      </w:r>
      <w:r w:rsidRPr="00B06863">
        <w:rPr>
          <w:rFonts w:ascii="Times New Roman" w:hAnsi="Times New Roman" w:cs="Times New Roman"/>
          <w:noProof/>
          <w:sz w:val="24"/>
          <w:szCs w:val="24"/>
        </w:rPr>
        <w:t>, 4. https://investasi.kontan.co.id/news/standarisasi-akuntansi-baru-psak-71-72-dan-73-berlaku-2020-ini-perbedaannya?page=4</w:t>
      </w:r>
    </w:p>
    <w:p w14:paraId="6AFEA368"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Branswijck, D., Gent, H., &amp; Everaert, P. (2011). The Financial Impact of the Proposed Amendments to IAS 17: Evidence from Belgium and the Netherlands. </w:t>
      </w:r>
      <w:r w:rsidRPr="00B06863">
        <w:rPr>
          <w:rFonts w:ascii="Times New Roman" w:hAnsi="Times New Roman" w:cs="Times New Roman"/>
          <w:i/>
          <w:iCs/>
          <w:noProof/>
          <w:sz w:val="24"/>
          <w:szCs w:val="24"/>
        </w:rPr>
        <w:t>Accounting and Management Information Systems</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10</w:t>
      </w:r>
      <w:r w:rsidRPr="00B06863">
        <w:rPr>
          <w:rFonts w:ascii="Times New Roman" w:hAnsi="Times New Roman" w:cs="Times New Roman"/>
          <w:noProof/>
          <w:sz w:val="24"/>
          <w:szCs w:val="24"/>
        </w:rPr>
        <w:t>(2), 275–295.</w:t>
      </w:r>
    </w:p>
    <w:p w14:paraId="45CFC365"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Chebaane, S., &amp; Othman, H. Ben. (2014). The Impact of IFRS Adoption on Value Relevance of Earnings and Book Value of Equity: The Case of Emerging Markets in African and Asian Regions. </w:t>
      </w:r>
      <w:r w:rsidRPr="00B06863">
        <w:rPr>
          <w:rFonts w:ascii="Times New Roman" w:hAnsi="Times New Roman" w:cs="Times New Roman"/>
          <w:i/>
          <w:iCs/>
          <w:noProof/>
          <w:sz w:val="24"/>
          <w:szCs w:val="24"/>
        </w:rPr>
        <w:t>Procedia - Social and Behavioral Sciences</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145</w:t>
      </w:r>
      <w:r w:rsidRPr="00B06863">
        <w:rPr>
          <w:rFonts w:ascii="Times New Roman" w:hAnsi="Times New Roman" w:cs="Times New Roman"/>
          <w:noProof/>
          <w:sz w:val="24"/>
          <w:szCs w:val="24"/>
        </w:rPr>
        <w:t>, 70–80. https://doi.org/10.1016/j.sbspro.2014.06.012</w:t>
      </w:r>
    </w:p>
    <w:p w14:paraId="4E87C1D9"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CNA. (2018). ASEAN countries among world’s outperforming emerging economies: Report. </w:t>
      </w:r>
      <w:r w:rsidRPr="00B06863">
        <w:rPr>
          <w:rFonts w:ascii="Times New Roman" w:hAnsi="Times New Roman" w:cs="Times New Roman"/>
          <w:i/>
          <w:iCs/>
          <w:noProof/>
          <w:sz w:val="24"/>
          <w:szCs w:val="24"/>
        </w:rPr>
        <w:t>Channel News Asia</w:t>
      </w:r>
      <w:r w:rsidRPr="00B06863">
        <w:rPr>
          <w:rFonts w:ascii="Times New Roman" w:hAnsi="Times New Roman" w:cs="Times New Roman"/>
          <w:noProof/>
          <w:sz w:val="24"/>
          <w:szCs w:val="24"/>
        </w:rPr>
        <w:t>. https://www.channelnewsasia.com/news/asia/asean-countries-among-world-s-outperforming-emerging-economies-10718216</w:t>
      </w:r>
    </w:p>
    <w:p w14:paraId="49247899"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de Best, R. (2021). </w:t>
      </w:r>
      <w:r w:rsidRPr="00B06863">
        <w:rPr>
          <w:rFonts w:ascii="Times New Roman" w:hAnsi="Times New Roman" w:cs="Times New Roman"/>
          <w:i/>
          <w:iCs/>
          <w:noProof/>
          <w:sz w:val="24"/>
          <w:szCs w:val="24"/>
        </w:rPr>
        <w:t>Volume of leasing in selected countries worldwide in 2017</w:t>
      </w:r>
      <w:r w:rsidRPr="00B06863">
        <w:rPr>
          <w:rFonts w:ascii="Times New Roman" w:hAnsi="Times New Roman" w:cs="Times New Roman"/>
          <w:noProof/>
          <w:sz w:val="24"/>
          <w:szCs w:val="24"/>
        </w:rPr>
        <w:t>. Statista. https://www.statista.com/statistics/607386/leasing-volume-by-country/</w:t>
      </w:r>
    </w:p>
    <w:p w14:paraId="17336C76"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El-Diftar, D., &amp; Elkalla, T. (2019). The value relevance of accounting information in the MENA region: A comparison of GCC and non-GCC country firms. </w:t>
      </w:r>
      <w:r w:rsidRPr="00B06863">
        <w:rPr>
          <w:rFonts w:ascii="Times New Roman" w:hAnsi="Times New Roman" w:cs="Times New Roman"/>
          <w:i/>
          <w:iCs/>
          <w:noProof/>
          <w:sz w:val="24"/>
          <w:szCs w:val="24"/>
        </w:rPr>
        <w:t>Journal of Financial Reporting and Accounting</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17</w:t>
      </w:r>
      <w:r w:rsidRPr="00B06863">
        <w:rPr>
          <w:rFonts w:ascii="Times New Roman" w:hAnsi="Times New Roman" w:cs="Times New Roman"/>
          <w:noProof/>
          <w:sz w:val="24"/>
          <w:szCs w:val="24"/>
        </w:rPr>
        <w:t>(3), 519–536. https://doi.org/10.1108/JFRA-09-2018-0079</w:t>
      </w:r>
    </w:p>
    <w:p w14:paraId="2AD4AD68"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Fama, E. F. (1970). Session Topic: Stock Market Price Behavior Session Chairman: Burton G. Malkiel Efficient Capital Markets: A Review Of Theory And Empirical Work. </w:t>
      </w:r>
      <w:r w:rsidRPr="00B06863">
        <w:rPr>
          <w:rFonts w:ascii="Times New Roman" w:hAnsi="Times New Roman" w:cs="Times New Roman"/>
          <w:i/>
          <w:iCs/>
          <w:noProof/>
          <w:sz w:val="24"/>
          <w:szCs w:val="24"/>
        </w:rPr>
        <w:t>The Journal of Finance</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25</w:t>
      </w:r>
      <w:r w:rsidRPr="00B06863">
        <w:rPr>
          <w:rFonts w:ascii="Times New Roman" w:hAnsi="Times New Roman" w:cs="Times New Roman"/>
          <w:noProof/>
          <w:sz w:val="24"/>
          <w:szCs w:val="24"/>
        </w:rPr>
        <w:t>(2), 383–417.</w:t>
      </w:r>
    </w:p>
    <w:p w14:paraId="3C0D2DA6"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Francis, J., &amp; Schipper, K. (1999). Have Financial Statements Lost Their </w:t>
      </w:r>
      <w:r w:rsidRPr="00B06863">
        <w:rPr>
          <w:rFonts w:ascii="Times New Roman" w:hAnsi="Times New Roman" w:cs="Times New Roman"/>
          <w:noProof/>
          <w:sz w:val="24"/>
          <w:szCs w:val="24"/>
        </w:rPr>
        <w:lastRenderedPageBreak/>
        <w:t xml:space="preserve">Relevance? </w:t>
      </w:r>
      <w:r w:rsidRPr="00B06863">
        <w:rPr>
          <w:rFonts w:ascii="Times New Roman" w:hAnsi="Times New Roman" w:cs="Times New Roman"/>
          <w:i/>
          <w:iCs/>
          <w:noProof/>
          <w:sz w:val="24"/>
          <w:szCs w:val="24"/>
        </w:rPr>
        <w:t>Journal of Accounting Research</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37</w:t>
      </w:r>
      <w:r w:rsidRPr="00B06863">
        <w:rPr>
          <w:rFonts w:ascii="Times New Roman" w:hAnsi="Times New Roman" w:cs="Times New Roman"/>
          <w:noProof/>
          <w:sz w:val="24"/>
          <w:szCs w:val="24"/>
        </w:rPr>
        <w:t>(2), 319–352. https://doi.org/10.2307/2491412</w:t>
      </w:r>
    </w:p>
    <w:p w14:paraId="609CFBFD"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Gavana, G., Gottardo, P., &amp; Moisello, A. M. (2020). Did the switch to IFRS 11 for joint ventures affect the value relevance of corporate consolidated financial statements? Evidence from France and Italy. </w:t>
      </w:r>
      <w:r w:rsidRPr="00B06863">
        <w:rPr>
          <w:rFonts w:ascii="Times New Roman" w:hAnsi="Times New Roman" w:cs="Times New Roman"/>
          <w:i/>
          <w:iCs/>
          <w:noProof/>
          <w:sz w:val="24"/>
          <w:szCs w:val="24"/>
        </w:rPr>
        <w:t>Journal of International Accounting, Auditing and Taxation</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38</w:t>
      </w:r>
      <w:r w:rsidRPr="00B06863">
        <w:rPr>
          <w:rFonts w:ascii="Times New Roman" w:hAnsi="Times New Roman" w:cs="Times New Roman"/>
          <w:noProof/>
          <w:sz w:val="24"/>
          <w:szCs w:val="24"/>
        </w:rPr>
        <w:t>, 100300. https://doi.org/10.1016/j.intaccaudtax.2020.100300</w:t>
      </w:r>
    </w:p>
    <w:p w14:paraId="017C0C14"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Giner, B., Merello, P., &amp; Pardo, F. (2019). Assessing the impact of operating lease capitalization with dynamic Monte Carlo simulation. </w:t>
      </w:r>
      <w:r w:rsidRPr="00B06863">
        <w:rPr>
          <w:rFonts w:ascii="Times New Roman" w:hAnsi="Times New Roman" w:cs="Times New Roman"/>
          <w:i/>
          <w:iCs/>
          <w:noProof/>
          <w:sz w:val="24"/>
          <w:szCs w:val="24"/>
        </w:rPr>
        <w:t>Journal of Business Research</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101</w:t>
      </w:r>
      <w:r w:rsidRPr="00B06863">
        <w:rPr>
          <w:rFonts w:ascii="Times New Roman" w:hAnsi="Times New Roman" w:cs="Times New Roman"/>
          <w:noProof/>
          <w:sz w:val="24"/>
          <w:szCs w:val="24"/>
        </w:rPr>
        <w:t>(November), 836–845. https://doi.org/10.1016/j.jbusres.2018.11.049</w:t>
      </w:r>
    </w:p>
    <w:p w14:paraId="0EE815B7"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Giner, B., &amp; Pardo, F. (2018). The Value Relevance of Operating Lease Liabilities: Economic Effects of IFRS 16. </w:t>
      </w:r>
      <w:r w:rsidRPr="00B06863">
        <w:rPr>
          <w:rFonts w:ascii="Times New Roman" w:hAnsi="Times New Roman" w:cs="Times New Roman"/>
          <w:i/>
          <w:iCs/>
          <w:noProof/>
          <w:sz w:val="24"/>
          <w:szCs w:val="24"/>
        </w:rPr>
        <w:t>Australian Accounting Review</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28</w:t>
      </w:r>
      <w:r w:rsidRPr="00B06863">
        <w:rPr>
          <w:rFonts w:ascii="Times New Roman" w:hAnsi="Times New Roman" w:cs="Times New Roman"/>
          <w:noProof/>
          <w:sz w:val="24"/>
          <w:szCs w:val="24"/>
        </w:rPr>
        <w:t>(4), 496–511. https://doi.org/10.1111/auar.12233</w:t>
      </w:r>
    </w:p>
    <w:p w14:paraId="7895B4AA"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Gonçalves, R., Lopes, P., &amp; Craig, R. (2017). Value relevance of biological assets under IFRS. </w:t>
      </w:r>
      <w:r w:rsidRPr="00B06863">
        <w:rPr>
          <w:rFonts w:ascii="Times New Roman" w:hAnsi="Times New Roman" w:cs="Times New Roman"/>
          <w:i/>
          <w:iCs/>
          <w:noProof/>
          <w:sz w:val="24"/>
          <w:szCs w:val="24"/>
        </w:rPr>
        <w:t>Journal of International Accounting, Auditing and Taxation</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29</w:t>
      </w:r>
      <w:r w:rsidRPr="00B06863">
        <w:rPr>
          <w:rFonts w:ascii="Times New Roman" w:hAnsi="Times New Roman" w:cs="Times New Roman"/>
          <w:noProof/>
          <w:sz w:val="24"/>
          <w:szCs w:val="24"/>
        </w:rPr>
        <w:t>, 118–126. https://doi.org/10.1016/j.intaccaudtax.2017.10.001</w:t>
      </w:r>
    </w:p>
    <w:p w14:paraId="2240E964"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IFRS Foundation. (2018). Conceptual Framework for Financial Reporting. In </w:t>
      </w:r>
      <w:r w:rsidRPr="00B06863">
        <w:rPr>
          <w:rFonts w:ascii="Times New Roman" w:hAnsi="Times New Roman" w:cs="Times New Roman"/>
          <w:i/>
          <w:iCs/>
          <w:noProof/>
          <w:sz w:val="24"/>
          <w:szCs w:val="24"/>
        </w:rPr>
        <w:t>IFRS Foundation</w:t>
      </w:r>
      <w:r w:rsidRPr="00B06863">
        <w:rPr>
          <w:rFonts w:ascii="Times New Roman" w:hAnsi="Times New Roman" w:cs="Times New Roman"/>
          <w:noProof/>
          <w:sz w:val="24"/>
          <w:szCs w:val="24"/>
        </w:rPr>
        <w:t>. https://www.ifrs.org/projects/2018/conceptual-framework/#published-documents</w:t>
      </w:r>
    </w:p>
    <w:p w14:paraId="2F46545B"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James Ohlson. (1995). Earnings, book-values, and dividends in equity valuation. </w:t>
      </w:r>
      <w:r w:rsidRPr="00B06863">
        <w:rPr>
          <w:rFonts w:ascii="Times New Roman" w:hAnsi="Times New Roman" w:cs="Times New Roman"/>
          <w:i/>
          <w:iCs/>
          <w:noProof/>
          <w:sz w:val="24"/>
          <w:szCs w:val="24"/>
        </w:rPr>
        <w:t>Contemporary Accounting Research</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11</w:t>
      </w:r>
      <w:r w:rsidRPr="00B06863">
        <w:rPr>
          <w:rFonts w:ascii="Times New Roman" w:hAnsi="Times New Roman" w:cs="Times New Roman"/>
          <w:noProof/>
          <w:sz w:val="24"/>
          <w:szCs w:val="24"/>
        </w:rPr>
        <w:t>(11), 661–687.</w:t>
      </w:r>
    </w:p>
    <w:p w14:paraId="381EF549"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Kargin, S. (2013). The Impact of IFRS on the Value Relevance of Accounting Information: Evidence from Turkish Firms. </w:t>
      </w:r>
      <w:r w:rsidRPr="00B06863">
        <w:rPr>
          <w:rFonts w:ascii="Times New Roman" w:hAnsi="Times New Roman" w:cs="Times New Roman"/>
          <w:i/>
          <w:iCs/>
          <w:noProof/>
          <w:sz w:val="24"/>
          <w:szCs w:val="24"/>
        </w:rPr>
        <w:t>International Journal of Economics and Finance</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5</w:t>
      </w:r>
      <w:r w:rsidRPr="00B06863">
        <w:rPr>
          <w:rFonts w:ascii="Times New Roman" w:hAnsi="Times New Roman" w:cs="Times New Roman"/>
          <w:noProof/>
          <w:sz w:val="24"/>
          <w:szCs w:val="24"/>
        </w:rPr>
        <w:t>(4), 71–80. https://doi.org/10.5539/ijef.v5n4p71</w:t>
      </w:r>
    </w:p>
    <w:p w14:paraId="16B4BD46"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Kostolansky, J., &amp; Stanko, B. (2011). The Joint FASB/IASB Lease Project: </w:t>
      </w:r>
      <w:r w:rsidRPr="00B06863">
        <w:rPr>
          <w:rFonts w:ascii="Times New Roman" w:hAnsi="Times New Roman" w:cs="Times New Roman"/>
          <w:noProof/>
          <w:sz w:val="24"/>
          <w:szCs w:val="24"/>
        </w:rPr>
        <w:t xml:space="preserve">Discussion And Industry Implications. </w:t>
      </w:r>
      <w:r w:rsidRPr="00B06863">
        <w:rPr>
          <w:rFonts w:ascii="Times New Roman" w:hAnsi="Times New Roman" w:cs="Times New Roman"/>
          <w:i/>
          <w:iCs/>
          <w:noProof/>
          <w:sz w:val="24"/>
          <w:szCs w:val="24"/>
        </w:rPr>
        <w:t>Journal of Business &amp; Economics Research (JBER)</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9</w:t>
      </w:r>
      <w:r w:rsidRPr="00B06863">
        <w:rPr>
          <w:rFonts w:ascii="Times New Roman" w:hAnsi="Times New Roman" w:cs="Times New Roman"/>
          <w:noProof/>
          <w:sz w:val="24"/>
          <w:szCs w:val="24"/>
        </w:rPr>
        <w:t>(9), 29. https://doi.org/10.19030/jber.v9i9.5633</w:t>
      </w:r>
    </w:p>
    <w:p w14:paraId="2ECDF269"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Kusano, M. (2018). Effect of capitalizing operating leases on credit ratings: Evidence from Japan. </w:t>
      </w:r>
      <w:r w:rsidRPr="00B06863">
        <w:rPr>
          <w:rFonts w:ascii="Times New Roman" w:hAnsi="Times New Roman" w:cs="Times New Roman"/>
          <w:i/>
          <w:iCs/>
          <w:noProof/>
          <w:sz w:val="24"/>
          <w:szCs w:val="24"/>
        </w:rPr>
        <w:t>Journal of International Accounting, Auditing and Taxation</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30</w:t>
      </w:r>
      <w:r w:rsidRPr="00B06863">
        <w:rPr>
          <w:rFonts w:ascii="Times New Roman" w:hAnsi="Times New Roman" w:cs="Times New Roman"/>
          <w:noProof/>
          <w:sz w:val="24"/>
          <w:szCs w:val="24"/>
        </w:rPr>
        <w:t>, 45–56. https://doi.org/10.1016/j.intaccaudtax.2017.12.008</w:t>
      </w:r>
    </w:p>
    <w:p w14:paraId="2DD960AA"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Kwon, G.-J. (2018). Comparative value relevance of accounting information among Asian countries. </w:t>
      </w:r>
      <w:r w:rsidRPr="00B06863">
        <w:rPr>
          <w:rFonts w:ascii="Times New Roman" w:hAnsi="Times New Roman" w:cs="Times New Roman"/>
          <w:i/>
          <w:iCs/>
          <w:noProof/>
          <w:sz w:val="24"/>
          <w:szCs w:val="24"/>
        </w:rPr>
        <w:t>Managerial Finance</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44</w:t>
      </w:r>
      <w:r w:rsidRPr="00B06863">
        <w:rPr>
          <w:rFonts w:ascii="Times New Roman" w:hAnsi="Times New Roman" w:cs="Times New Roman"/>
          <w:noProof/>
          <w:sz w:val="24"/>
          <w:szCs w:val="24"/>
        </w:rPr>
        <w:t>(2), 110–126. https://doi.org/10.1108/mf-07-2017-0261</w:t>
      </w:r>
    </w:p>
    <w:p w14:paraId="075E2E48"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Lee, B., Gyung Paik, D., &amp; Yoon, S. W. (2014). The Effect of Capitalizing Operating Leases on the Immediacy to Debt Covenant Violations. </w:t>
      </w:r>
      <w:r w:rsidRPr="00B06863">
        <w:rPr>
          <w:rFonts w:ascii="Times New Roman" w:hAnsi="Times New Roman" w:cs="Times New Roman"/>
          <w:i/>
          <w:iCs/>
          <w:noProof/>
          <w:sz w:val="24"/>
          <w:szCs w:val="24"/>
        </w:rPr>
        <w:t>Journal of Accounting &amp; Finance (2158-3625)</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14</w:t>
      </w:r>
      <w:r w:rsidRPr="00B06863">
        <w:rPr>
          <w:rFonts w:ascii="Times New Roman" w:hAnsi="Times New Roman" w:cs="Times New Roman"/>
          <w:noProof/>
          <w:sz w:val="24"/>
          <w:szCs w:val="24"/>
        </w:rPr>
        <w:t>(6), 44–70. http://ezproxy.lib.monash.edu.au/login?url=http://search.ebscohost.com/login.aspx?direct=true&amp;db=bth&amp;AN=100414852&amp;site=ehost-live&amp;scope=site</w:t>
      </w:r>
    </w:p>
    <w:p w14:paraId="43222F70"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Morales-Díaz, J., &amp; Zamora-Ramírez, C. (2018). The Impact of IFRS 16 on Key Financial Ratios: A New Methodological Approach. </w:t>
      </w:r>
      <w:r w:rsidRPr="00B06863">
        <w:rPr>
          <w:rFonts w:ascii="Times New Roman" w:hAnsi="Times New Roman" w:cs="Times New Roman"/>
          <w:i/>
          <w:iCs/>
          <w:noProof/>
          <w:sz w:val="24"/>
          <w:szCs w:val="24"/>
        </w:rPr>
        <w:t>Accounting in Europe</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15</w:t>
      </w:r>
      <w:r w:rsidRPr="00B06863">
        <w:rPr>
          <w:rFonts w:ascii="Times New Roman" w:hAnsi="Times New Roman" w:cs="Times New Roman"/>
          <w:noProof/>
          <w:sz w:val="24"/>
          <w:szCs w:val="24"/>
        </w:rPr>
        <w:t>(1), 105–133. https://doi.org/10.1080/17449480.2018.1433307</w:t>
      </w:r>
    </w:p>
    <w:p w14:paraId="1182A6C5"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Oliveira, L., Rodrigues, L. L., &amp; Craig, R. (2010). Intangible assets and value relevance: Evidence from the Portuguese stock exchange. </w:t>
      </w:r>
      <w:r w:rsidRPr="00B06863">
        <w:rPr>
          <w:rFonts w:ascii="Times New Roman" w:hAnsi="Times New Roman" w:cs="Times New Roman"/>
          <w:i/>
          <w:iCs/>
          <w:noProof/>
          <w:sz w:val="24"/>
          <w:szCs w:val="24"/>
        </w:rPr>
        <w:t>British Accounting Review</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42</w:t>
      </w:r>
      <w:r w:rsidRPr="00B06863">
        <w:rPr>
          <w:rFonts w:ascii="Times New Roman" w:hAnsi="Times New Roman" w:cs="Times New Roman"/>
          <w:noProof/>
          <w:sz w:val="24"/>
          <w:szCs w:val="24"/>
        </w:rPr>
        <w:t>(4), 241–252. https://doi.org/10.1016/j.bar.2010.08.001</w:t>
      </w:r>
    </w:p>
    <w:p w14:paraId="5C448731"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Omokhudu, O. O., &amp; Ibadin, P. O. (2015). The Value Relevance of Accounting Information: Evidence from Nigeria. </w:t>
      </w:r>
      <w:r w:rsidRPr="00B06863">
        <w:rPr>
          <w:rFonts w:ascii="Times New Roman" w:hAnsi="Times New Roman" w:cs="Times New Roman"/>
          <w:i/>
          <w:iCs/>
          <w:noProof/>
          <w:sz w:val="24"/>
          <w:szCs w:val="24"/>
        </w:rPr>
        <w:t>Accounting and Finance Research</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4</w:t>
      </w:r>
      <w:r w:rsidRPr="00B06863">
        <w:rPr>
          <w:rFonts w:ascii="Times New Roman" w:hAnsi="Times New Roman" w:cs="Times New Roman"/>
          <w:noProof/>
          <w:sz w:val="24"/>
          <w:szCs w:val="24"/>
        </w:rPr>
        <w:t>(3), 20–30. https://doi.org/10.5430/afr.v4n3p20</w:t>
      </w:r>
    </w:p>
    <w:p w14:paraId="4C034269"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Shah, S. Z. A., Liang, S., &amp; Akbar, S. (2013). International Financial Reporting Standards and the value relevance of R&amp;D expenditures: Pre and post IFRS analysis. </w:t>
      </w:r>
      <w:r w:rsidRPr="00B06863">
        <w:rPr>
          <w:rFonts w:ascii="Times New Roman" w:hAnsi="Times New Roman" w:cs="Times New Roman"/>
          <w:i/>
          <w:iCs/>
          <w:noProof/>
          <w:sz w:val="24"/>
          <w:szCs w:val="24"/>
        </w:rPr>
        <w:t xml:space="preserve">International Review of </w:t>
      </w:r>
      <w:r w:rsidRPr="00B06863">
        <w:rPr>
          <w:rFonts w:ascii="Times New Roman" w:hAnsi="Times New Roman" w:cs="Times New Roman"/>
          <w:i/>
          <w:iCs/>
          <w:noProof/>
          <w:sz w:val="24"/>
          <w:szCs w:val="24"/>
        </w:rPr>
        <w:lastRenderedPageBreak/>
        <w:t>Financial Analysis</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30</w:t>
      </w:r>
      <w:r w:rsidRPr="00B06863">
        <w:rPr>
          <w:rFonts w:ascii="Times New Roman" w:hAnsi="Times New Roman" w:cs="Times New Roman"/>
          <w:noProof/>
          <w:sz w:val="24"/>
          <w:szCs w:val="24"/>
        </w:rPr>
        <w:t>, 158–169. https://doi.org/10.1016/j.irfa.2013.08.001</w:t>
      </w:r>
    </w:p>
    <w:p w14:paraId="3417874B"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Tahtah, J., &amp; Roelofsen, E. (2016). A study on the impact of lease capitalisation IFRS 16 : The new leases standard. </w:t>
      </w:r>
      <w:r w:rsidRPr="00B06863">
        <w:rPr>
          <w:rFonts w:ascii="Times New Roman" w:hAnsi="Times New Roman" w:cs="Times New Roman"/>
          <w:i/>
          <w:iCs/>
          <w:noProof/>
          <w:sz w:val="24"/>
          <w:szCs w:val="24"/>
        </w:rPr>
        <w:t>PwC Report</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February</w:t>
      </w:r>
      <w:r w:rsidRPr="00B06863">
        <w:rPr>
          <w:rFonts w:ascii="Times New Roman" w:hAnsi="Times New Roman" w:cs="Times New Roman"/>
          <w:noProof/>
          <w:sz w:val="24"/>
          <w:szCs w:val="24"/>
        </w:rPr>
        <w:t>, 14. www.pwc.com</w:t>
      </w:r>
    </w:p>
    <w:p w14:paraId="05AE1739"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van Kints, R., &amp; Spoor, L. (2019). Leases on balance, a level playing ﬁeld. </w:t>
      </w:r>
      <w:r w:rsidRPr="00B06863">
        <w:rPr>
          <w:rFonts w:ascii="Times New Roman" w:hAnsi="Times New Roman" w:cs="Times New Roman"/>
          <w:i/>
          <w:iCs/>
          <w:noProof/>
          <w:sz w:val="24"/>
          <w:szCs w:val="24"/>
        </w:rPr>
        <w:t>Advances in Accounting</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44</w:t>
      </w:r>
      <w:r w:rsidRPr="00B06863">
        <w:rPr>
          <w:rFonts w:ascii="Times New Roman" w:hAnsi="Times New Roman" w:cs="Times New Roman"/>
          <w:noProof/>
          <w:sz w:val="24"/>
          <w:szCs w:val="24"/>
        </w:rPr>
        <w:t>, 3–9. https://doi.org/10.1016/j.adiac.2018.11.001</w:t>
      </w:r>
    </w:p>
    <w:p w14:paraId="02BDAA6C"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szCs w:val="24"/>
        </w:rPr>
      </w:pPr>
      <w:r w:rsidRPr="00B06863">
        <w:rPr>
          <w:rFonts w:ascii="Times New Roman" w:hAnsi="Times New Roman" w:cs="Times New Roman"/>
          <w:noProof/>
          <w:sz w:val="24"/>
          <w:szCs w:val="24"/>
        </w:rPr>
        <w:t xml:space="preserve">Wong, K., &amp; Joshi, M. (2015). The impact of lease capitalisation on financial statements and key ratios: Evidence from Australia. </w:t>
      </w:r>
      <w:r w:rsidRPr="00B06863">
        <w:rPr>
          <w:rFonts w:ascii="Times New Roman" w:hAnsi="Times New Roman" w:cs="Times New Roman"/>
          <w:i/>
          <w:iCs/>
          <w:noProof/>
          <w:sz w:val="24"/>
          <w:szCs w:val="24"/>
        </w:rPr>
        <w:t>Australasian Accounting, Business and Finance Journal</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9</w:t>
      </w:r>
      <w:r w:rsidRPr="00B06863">
        <w:rPr>
          <w:rFonts w:ascii="Times New Roman" w:hAnsi="Times New Roman" w:cs="Times New Roman"/>
          <w:noProof/>
          <w:sz w:val="24"/>
          <w:szCs w:val="24"/>
        </w:rPr>
        <w:t>(3), 27–44. https://doi.org/10.14453/aabfj.v9i3.3</w:t>
      </w:r>
    </w:p>
    <w:p w14:paraId="413F9400" w14:textId="77777777" w:rsidR="00B06863" w:rsidRPr="00B06863" w:rsidRDefault="00B06863" w:rsidP="00B06863">
      <w:pPr>
        <w:widowControl w:val="0"/>
        <w:autoSpaceDE w:val="0"/>
        <w:autoSpaceDN w:val="0"/>
        <w:adjustRightInd w:val="0"/>
        <w:ind w:left="480" w:hanging="480"/>
        <w:rPr>
          <w:rFonts w:ascii="Times New Roman" w:hAnsi="Times New Roman" w:cs="Times New Roman"/>
          <w:noProof/>
          <w:sz w:val="24"/>
        </w:rPr>
      </w:pPr>
      <w:r w:rsidRPr="00B06863">
        <w:rPr>
          <w:rFonts w:ascii="Times New Roman" w:hAnsi="Times New Roman" w:cs="Times New Roman"/>
          <w:noProof/>
          <w:sz w:val="24"/>
          <w:szCs w:val="24"/>
        </w:rPr>
        <w:t xml:space="preserve">Xu, W., Davidson, R. A., &amp; Cheong, C. S. (2017). Converting financial statements: operating to capitalised leases. </w:t>
      </w:r>
      <w:r w:rsidRPr="00B06863">
        <w:rPr>
          <w:rFonts w:ascii="Times New Roman" w:hAnsi="Times New Roman" w:cs="Times New Roman"/>
          <w:i/>
          <w:iCs/>
          <w:noProof/>
          <w:sz w:val="24"/>
          <w:szCs w:val="24"/>
        </w:rPr>
        <w:t>Pacific Accounting Review</w:t>
      </w:r>
      <w:r w:rsidRPr="00B06863">
        <w:rPr>
          <w:rFonts w:ascii="Times New Roman" w:hAnsi="Times New Roman" w:cs="Times New Roman"/>
          <w:noProof/>
          <w:sz w:val="24"/>
          <w:szCs w:val="24"/>
        </w:rPr>
        <w:t xml:space="preserve">, </w:t>
      </w:r>
      <w:r w:rsidRPr="00B06863">
        <w:rPr>
          <w:rFonts w:ascii="Times New Roman" w:hAnsi="Times New Roman" w:cs="Times New Roman"/>
          <w:i/>
          <w:iCs/>
          <w:noProof/>
          <w:sz w:val="24"/>
          <w:szCs w:val="24"/>
        </w:rPr>
        <w:t>29</w:t>
      </w:r>
      <w:r w:rsidRPr="00B06863">
        <w:rPr>
          <w:rFonts w:ascii="Times New Roman" w:hAnsi="Times New Roman" w:cs="Times New Roman"/>
          <w:noProof/>
          <w:sz w:val="24"/>
          <w:szCs w:val="24"/>
        </w:rPr>
        <w:t>(1), 34–54. https://doi.org/10.1108/par-01-2016-0003</w:t>
      </w:r>
    </w:p>
    <w:p w14:paraId="1D1BEC6D" w14:textId="75BC9B4C" w:rsidR="00AE0EC3" w:rsidRDefault="00B06863" w:rsidP="001C7274">
      <w:pPr>
        <w:jc w:val="both"/>
        <w:rPr>
          <w:rFonts w:ascii="Times New Roman" w:eastAsia="Times New Roman" w:hAnsi="Times New Roman" w:cs="Times New Roman"/>
          <w:b/>
          <w:sz w:val="24"/>
          <w:szCs w:val="24"/>
          <w:lang w:val="en-US"/>
        </w:rPr>
      </w:pPr>
      <w:r>
        <w:rPr>
          <w:rFonts w:ascii="Times New Roman" w:hAnsi="Times New Roman" w:cs="Times New Roman"/>
          <w:sz w:val="24"/>
        </w:rPr>
        <w:fldChar w:fldCharType="end"/>
      </w:r>
    </w:p>
    <w:p w14:paraId="4441B7B3" w14:textId="6F3D48BA" w:rsidR="00481C0B" w:rsidRDefault="00BD77AE" w:rsidP="00AE0EC3">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Lampiran</w:t>
      </w:r>
    </w:p>
    <w:p w14:paraId="6E31115A" w14:textId="6B73A5B3" w:rsidR="00BD77AE" w:rsidRDefault="00BD77AE" w:rsidP="00481C0B">
      <w:pPr>
        <w:tabs>
          <w:tab w:val="left" w:pos="567"/>
        </w:tabs>
        <w:rPr>
          <w:rFonts w:ascii="Times New Roman" w:eastAsia="Times New Roman" w:hAnsi="Times New Roman" w:cs="Times New Roman"/>
          <w:b/>
          <w:sz w:val="24"/>
          <w:szCs w:val="24"/>
          <w:lang w:val="en-US"/>
        </w:rPr>
      </w:pPr>
    </w:p>
    <w:p w14:paraId="4EA8B58B" w14:textId="0B7A424B" w:rsidR="00BD77AE" w:rsidRPr="008261C4" w:rsidRDefault="00BD77AE" w:rsidP="00481C0B">
      <w:pPr>
        <w:tabs>
          <w:tab w:val="left" w:pos="567"/>
        </w:tabs>
        <w:rPr>
          <w:rFonts w:ascii="Times New Roman" w:eastAsia="Times New Roman" w:hAnsi="Times New Roman" w:cs="Times New Roman"/>
          <w:b/>
          <w:sz w:val="24"/>
          <w:szCs w:val="24"/>
          <w:lang w:val="en-US"/>
        </w:rPr>
      </w:pPr>
      <w:r w:rsidRPr="008261C4">
        <w:rPr>
          <w:rFonts w:ascii="Times New Roman" w:eastAsia="Times New Roman" w:hAnsi="Times New Roman" w:cs="Times New Roman"/>
          <w:b/>
          <w:sz w:val="24"/>
          <w:szCs w:val="24"/>
          <w:lang w:val="en-US"/>
        </w:rPr>
        <w:t>Model Ohlson (1995)</w:t>
      </w:r>
    </w:p>
    <w:p w14:paraId="6C4DFB5B" w14:textId="245E0AFA" w:rsidR="00BD77AE" w:rsidRPr="009B4D3A" w:rsidRDefault="00BD77AE" w:rsidP="00481C0B">
      <w:pPr>
        <w:tabs>
          <w:tab w:val="left" w:pos="567"/>
        </w:tabs>
        <w:rPr>
          <w:rFonts w:ascii="Times New Roman" w:eastAsia="Times New Roman" w:hAnsi="Times New Roman" w:cs="Times New Roman"/>
          <w:szCs w:val="24"/>
          <w:lang w:val="en-US"/>
        </w:rPr>
      </w:pPr>
      <m:oMathPara>
        <m:oMath>
          <m:r>
            <w:rPr>
              <w:rFonts w:ascii="Cambria Math" w:eastAsia="Times New Roman" w:hAnsi="Cambria Math" w:cs="Times New Roman"/>
              <w:szCs w:val="24"/>
              <w:lang w:val="en-US"/>
            </w:rPr>
            <m:t>Pit= α+</m:t>
          </m:r>
          <m:r>
            <m:rPr>
              <m:sty m:val="p"/>
            </m:rPr>
            <w:rPr>
              <w:rFonts w:ascii="Cambria Math" w:eastAsia="Times New Roman" w:hAnsi="Cambria Math" w:cs="Times New Roman"/>
              <w:szCs w:val="24"/>
              <w:lang w:val="en-US"/>
            </w:rPr>
            <m:t xml:space="preserve"> β1xBVPSt + β2xEPSt </m:t>
          </m:r>
        </m:oMath>
      </m:oMathPara>
    </w:p>
    <w:p w14:paraId="46D7F116" w14:textId="77777777" w:rsidR="009B4D3A" w:rsidRPr="009B4D3A" w:rsidRDefault="009B4D3A" w:rsidP="00481C0B">
      <w:pPr>
        <w:tabs>
          <w:tab w:val="left" w:pos="567"/>
        </w:tabs>
        <w:rPr>
          <w:rFonts w:ascii="Times New Roman" w:eastAsia="Times New Roman" w:hAnsi="Times New Roman" w:cs="Times New Roman"/>
          <w:szCs w:val="24"/>
          <w:lang w:val="en-US"/>
        </w:rPr>
      </w:pPr>
    </w:p>
    <w:p w14:paraId="1F1B374F" w14:textId="63929233" w:rsidR="009B4D3A" w:rsidRDefault="009B4D3A" w:rsidP="009B4D3A">
      <w:pPr>
        <w:tabs>
          <w:tab w:val="left" w:pos="567"/>
        </w:tabs>
        <w:jc w:val="cente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Residual Income Valuation Model</w:t>
      </w:r>
    </w:p>
    <w:p w14:paraId="08FF969B" w14:textId="1679234F" w:rsidR="005046F8" w:rsidRDefault="005046F8" w:rsidP="009B4D3A">
      <w:pPr>
        <w:tabs>
          <w:tab w:val="left" w:pos="567"/>
        </w:tabs>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fldChar w:fldCharType="begin" w:fldLock="1"/>
      </w:r>
      <w:r w:rsidR="00B06863">
        <w:rPr>
          <w:rFonts w:ascii="Times New Roman" w:eastAsia="Times New Roman" w:hAnsi="Times New Roman" w:cs="Times New Roman"/>
          <w:sz w:val="24"/>
          <w:szCs w:val="24"/>
          <w:lang w:val="en-US"/>
        </w:rPr>
        <w:instrText>ADDIN CSL_CITATION {"citationItems":[{"id":"ITEM-1","itemData":{"abstract":"The paper develops and analyzes a model of a firm's market value as it relates to contemporaneous and future eamings, book values, and dividends. Two owners' egui- ty accounting constructs provide the underpinnings of the model: the clean surplus rela- tion applies, and dividends reduce current book value but do not affect current eamings. The model satisfies many appealing properties, and it provides a useful benchmark when one conceptualizes how market value relates to accounting data and other infonnation. Resume. L'auteur 6Iabore et analy.se un modele dans lequel il conceptualise la relation entre Ia valeur marchande d'une entreprise et ses benefices, ses valeurs comptables et ses dividendes actuels et futurs. Deux postulats de la comptabilisation des capitaux propres servent de charpente au module : a) la relation du resultat global s'applique et b) les div- idendes reduisent la valeur comptable actuelle sans influer, cependant, sur les benefices actuels. Le modele prfisente de nombreuses proprietes interessantes et il peut, fort utile- ment, servir de repere dans la conceptualisation de la relation entre la valeur marchande et les donnees comptables et autres renseignements. Accounting","author":[{"dropping-particle":"","family":"James Ohlson","given":"","non-dropping-particle":"","parse-names":false,"suffix":""}],"container-title":"Contemporary Accounting Research","id":"ITEM-1","issue":"11","issued":{"date-parts":[["1995"]]},"page":"661–687","title":"Earnings, book-values, and dividends in equity valuation.","type":"article-journal","volume":"11"},"uris":["http://www.mendeley.com/documents/?uuid=25c38ea9-0ad9-4f49-a46e-a1e4a5beb230"]}],"mendeley":{"formattedCitation":"(James Ohlson, 1995)","plainTextFormattedCitation":"(James Ohlson, 1995)","previouslyFormattedCitation":"(James Ohlson, 1995)"},"properties":{"noteIndex":0},"schema":"https://github.com/citation-style-language/schema/raw/master/csl-citation.json"}</w:instrText>
      </w:r>
      <w:r>
        <w:rPr>
          <w:rFonts w:ascii="Times New Roman" w:eastAsia="Times New Roman" w:hAnsi="Times New Roman" w:cs="Times New Roman"/>
          <w:sz w:val="24"/>
          <w:szCs w:val="24"/>
          <w:lang w:val="en-US"/>
        </w:rPr>
        <w:fldChar w:fldCharType="separate"/>
      </w:r>
      <w:r w:rsidRPr="005046F8">
        <w:rPr>
          <w:rFonts w:ascii="Times New Roman" w:eastAsia="Times New Roman" w:hAnsi="Times New Roman" w:cs="Times New Roman"/>
          <w:noProof/>
          <w:sz w:val="24"/>
          <w:szCs w:val="24"/>
          <w:lang w:val="en-US"/>
        </w:rPr>
        <w:t>(James Ohlson, 1995)</w:t>
      </w:r>
      <w:r>
        <w:rPr>
          <w:rFonts w:ascii="Times New Roman" w:eastAsia="Times New Roman" w:hAnsi="Times New Roman" w:cs="Times New Roman"/>
          <w:sz w:val="24"/>
          <w:szCs w:val="24"/>
          <w:lang w:val="en-US"/>
        </w:rPr>
        <w:fldChar w:fldCharType="end"/>
      </w:r>
    </w:p>
    <w:p w14:paraId="30D928DD" w14:textId="77777777" w:rsidR="009B4D3A" w:rsidRDefault="009B4D3A" w:rsidP="00481C0B">
      <w:pPr>
        <w:tabs>
          <w:tab w:val="left" w:pos="567"/>
        </w:tabs>
        <w:rPr>
          <w:rFonts w:ascii="Times New Roman" w:eastAsia="Times New Roman" w:hAnsi="Times New Roman" w:cs="Times New Roman"/>
          <w:sz w:val="24"/>
          <w:szCs w:val="24"/>
          <w:lang w:val="en-US"/>
        </w:rPr>
      </w:pPr>
    </w:p>
    <w:p w14:paraId="3468FC18" w14:textId="6548B1C8" w:rsidR="00BD77AE" w:rsidRPr="009B4D3A" w:rsidRDefault="00BD77AE" w:rsidP="00481C0B">
      <w:pPr>
        <w:tabs>
          <w:tab w:val="left" w:pos="567"/>
        </w:tabs>
        <w:rPr>
          <w:rFonts w:ascii="Times New Roman" w:eastAsia="Times New Roman" w:hAnsi="Times New Roman" w:cs="Times New Roman"/>
          <w:sz w:val="24"/>
          <w:szCs w:val="24"/>
          <w:lang w:val="en-US"/>
        </w:rPr>
      </w:pPr>
      <w:r w:rsidRPr="009B4D3A">
        <w:rPr>
          <w:rFonts w:ascii="Times New Roman" w:eastAsia="Times New Roman" w:hAnsi="Times New Roman" w:cs="Times New Roman"/>
          <w:sz w:val="24"/>
          <w:szCs w:val="24"/>
          <w:lang w:val="en-US"/>
        </w:rPr>
        <w:t>Dimana</w:t>
      </w:r>
    </w:p>
    <w:p w14:paraId="72517216" w14:textId="77777777" w:rsidR="00BD77AE" w:rsidRPr="00BD77AE" w:rsidRDefault="00BD77AE" w:rsidP="00BD77AE">
      <w:pPr>
        <w:tabs>
          <w:tab w:val="left" w:pos="567"/>
        </w:tabs>
        <w:rPr>
          <w:rFonts w:ascii="Times New Roman" w:eastAsia="Times New Roman" w:hAnsi="Times New Roman" w:cs="Times New Roman"/>
          <w:sz w:val="24"/>
          <w:szCs w:val="24"/>
          <w:lang w:val="en-US"/>
        </w:rPr>
      </w:pPr>
      <w:r w:rsidRPr="00BD77AE">
        <w:rPr>
          <w:rFonts w:ascii="Times New Roman" w:eastAsia="Times New Roman" w:hAnsi="Times New Roman" w:cs="Times New Roman"/>
          <w:sz w:val="24"/>
          <w:szCs w:val="24"/>
          <w:lang w:val="en-US"/>
        </w:rPr>
        <w:t>Pit = Harga per lembar saham pada saat informasi keuangan tersedia</w:t>
      </w:r>
    </w:p>
    <w:p w14:paraId="39929A19" w14:textId="77777777" w:rsidR="00BD77AE" w:rsidRPr="00BD77AE" w:rsidRDefault="00BD77AE" w:rsidP="00BD77AE">
      <w:pPr>
        <w:tabs>
          <w:tab w:val="left" w:pos="567"/>
        </w:tabs>
        <w:rPr>
          <w:rFonts w:ascii="Times New Roman" w:eastAsia="Times New Roman" w:hAnsi="Times New Roman" w:cs="Times New Roman"/>
          <w:sz w:val="24"/>
          <w:szCs w:val="24"/>
          <w:lang w:val="en-US"/>
        </w:rPr>
      </w:pPr>
      <w:r w:rsidRPr="00BD77AE">
        <w:rPr>
          <w:rFonts w:ascii="Times New Roman" w:eastAsia="Times New Roman" w:hAnsi="Times New Roman" w:cs="Times New Roman"/>
          <w:sz w:val="24"/>
          <w:szCs w:val="24"/>
          <w:lang w:val="en-US"/>
        </w:rPr>
        <w:t>BVPSt = Nilai buku per lembar saham pada tahun bersangkutan</w:t>
      </w:r>
    </w:p>
    <w:p w14:paraId="482E7E55" w14:textId="77777777" w:rsidR="00BD77AE" w:rsidRPr="00BD77AE" w:rsidRDefault="00BD77AE" w:rsidP="00BD77AE">
      <w:pPr>
        <w:tabs>
          <w:tab w:val="left" w:pos="567"/>
        </w:tabs>
        <w:rPr>
          <w:rFonts w:ascii="Times New Roman" w:eastAsia="Times New Roman" w:hAnsi="Times New Roman" w:cs="Times New Roman"/>
          <w:sz w:val="24"/>
          <w:szCs w:val="24"/>
          <w:lang w:val="en-US"/>
        </w:rPr>
      </w:pPr>
      <w:r w:rsidRPr="00BD77AE">
        <w:rPr>
          <w:rFonts w:ascii="Times New Roman" w:eastAsia="Times New Roman" w:hAnsi="Times New Roman" w:cs="Times New Roman"/>
          <w:sz w:val="24"/>
          <w:szCs w:val="24"/>
          <w:lang w:val="en-US"/>
        </w:rPr>
        <w:t>EPSt = Laba per lembar saham pada tahun bersangkutan</w:t>
      </w:r>
    </w:p>
    <w:p w14:paraId="76D4ABD3" w14:textId="3AB16722" w:rsidR="00BD77AE" w:rsidRPr="00BD77AE" w:rsidRDefault="00BD77AE" w:rsidP="00BD77AE">
      <w:pPr>
        <w:tabs>
          <w:tab w:val="left" w:pos="567"/>
        </w:tabs>
        <w:rPr>
          <w:rFonts w:ascii="Times New Roman" w:eastAsia="Times New Roman" w:hAnsi="Times New Roman" w:cs="Times New Roman"/>
          <w:sz w:val="24"/>
          <w:szCs w:val="24"/>
          <w:lang w:val="en-US"/>
        </w:rPr>
      </w:pPr>
      <w:r w:rsidRPr="00BD77AE">
        <w:rPr>
          <w:rFonts w:ascii="Times New Roman" w:eastAsia="Times New Roman" w:hAnsi="Times New Roman" w:cs="Times New Roman"/>
          <w:sz w:val="24"/>
          <w:szCs w:val="24"/>
          <w:lang w:val="en-US"/>
        </w:rPr>
        <w:t>ε = Efek dari informasi non-akuntansi</w:t>
      </w:r>
    </w:p>
    <w:p w14:paraId="307C22A7" w14:textId="254A2382" w:rsidR="00BD77AE" w:rsidRDefault="00BD77AE" w:rsidP="00481C0B">
      <w:pPr>
        <w:tabs>
          <w:tab w:val="left" w:pos="567"/>
        </w:tabs>
        <w:rPr>
          <w:rFonts w:ascii="Times New Roman" w:eastAsia="Times New Roman" w:hAnsi="Times New Roman" w:cs="Times New Roman"/>
          <w:b/>
          <w:sz w:val="24"/>
          <w:szCs w:val="24"/>
          <w:lang w:val="en-US"/>
        </w:rPr>
      </w:pPr>
    </w:p>
    <w:p w14:paraId="2840E69A" w14:textId="75A2991A" w:rsidR="00BD77AE" w:rsidRDefault="00BD77AE" w:rsidP="00481C0B">
      <w:pPr>
        <w:tabs>
          <w:tab w:val="left" w:pos="567"/>
        </w:tabs>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Model Modifikasi</w:t>
      </w:r>
    </w:p>
    <w:p w14:paraId="33C3F936" w14:textId="0D315402" w:rsidR="00BD77AE" w:rsidRPr="00BD77AE" w:rsidRDefault="00BD77AE" w:rsidP="00BD77AE">
      <w:pPr>
        <w:tabs>
          <w:tab w:val="left" w:pos="567"/>
        </w:tabs>
        <w:rPr>
          <w:rFonts w:ascii="Times New Roman" w:eastAsia="Times New Roman" w:hAnsi="Times New Roman" w:cs="Times New Roman"/>
          <w:sz w:val="24"/>
          <w:szCs w:val="24"/>
          <w:lang w:val="en-US"/>
        </w:rPr>
      </w:pPr>
      <m:oMathPara>
        <m:oMath>
          <m:r>
            <w:rPr>
              <w:rFonts w:ascii="Cambria Math" w:eastAsia="Times New Roman" w:hAnsi="Cambria Math" w:cs="Times New Roman"/>
              <w:sz w:val="24"/>
              <w:szCs w:val="24"/>
              <w:lang w:val="en-US"/>
            </w:rPr>
            <m:t>Pit= α+</m:t>
          </m:r>
          <m:r>
            <m:rPr>
              <m:sty m:val="p"/>
            </m:rPr>
            <w:rPr>
              <w:rFonts w:ascii="Cambria Math" w:eastAsia="Times New Roman" w:hAnsi="Cambria Math" w:cs="Times New Roman"/>
              <w:sz w:val="24"/>
              <w:szCs w:val="24"/>
              <w:lang w:val="en-US"/>
            </w:rPr>
            <m:t>β1x</m:t>
          </m:r>
          <m:d>
            <m:dPr>
              <m:ctrlPr>
                <w:rPr>
                  <w:rFonts w:ascii="Cambria Math" w:eastAsia="Times New Roman" w:hAnsi="Cambria Math" w:cs="Times New Roman"/>
                  <w:sz w:val="24"/>
                  <w:szCs w:val="24"/>
                  <w:lang w:val="en-US"/>
                </w:rPr>
              </m:ctrlPr>
            </m:dPr>
            <m:e>
              <m:r>
                <m:rPr>
                  <m:sty m:val="p"/>
                </m:rPr>
                <w:rPr>
                  <w:rFonts w:ascii="Cambria Math" w:eastAsia="Times New Roman" w:hAnsi="Cambria Math" w:cs="Times New Roman"/>
                  <w:sz w:val="24"/>
                  <w:szCs w:val="24"/>
                  <w:lang w:val="en-US"/>
                </w:rPr>
                <m:t>BVPS-</m:t>
              </m:r>
              <m:d>
                <m:dPr>
                  <m:ctrlPr>
                    <w:rPr>
                      <w:rFonts w:ascii="Cambria Math" w:eastAsia="Times New Roman" w:hAnsi="Cambria Math" w:cs="Times New Roman"/>
                      <w:sz w:val="24"/>
                      <w:szCs w:val="24"/>
                      <w:lang w:val="en-US"/>
                    </w:rPr>
                  </m:ctrlPr>
                </m:dPr>
                <m:e>
                  <m:r>
                    <m:rPr>
                      <m:sty m:val="p"/>
                    </m:rPr>
                    <w:rPr>
                      <w:rFonts w:ascii="Cambria Math" w:eastAsia="Times New Roman" w:hAnsi="Cambria Math" w:cs="Times New Roman"/>
                      <w:sz w:val="24"/>
                      <w:szCs w:val="24"/>
                      <w:lang w:val="en-US"/>
                    </w:rPr>
                    <m:t>LA+LL</m:t>
                  </m:r>
                </m:e>
              </m:d>
            </m:e>
          </m:d>
          <m:r>
            <m:rPr>
              <m:sty m:val="p"/>
            </m:rPr>
            <w:rPr>
              <w:rFonts w:ascii="Cambria Math" w:eastAsia="Times New Roman" w:hAnsi="Cambria Math" w:cs="Times New Roman"/>
              <w:sz w:val="24"/>
              <w:szCs w:val="24"/>
              <w:lang w:val="en-US"/>
            </w:rPr>
            <m:t>t+β2xLAt +β3xLLt</m:t>
          </m:r>
          <m:r>
            <w:rPr>
              <w:rFonts w:ascii="Cambria Math" w:eastAsia="Times New Roman" w:hAnsi="Cambria Math" w:cs="Times New Roman"/>
              <w:sz w:val="24"/>
              <w:szCs w:val="24"/>
              <w:lang w:val="en-US"/>
            </w:rPr>
            <m:t>+</m:t>
          </m:r>
          <m:r>
            <m:rPr>
              <m:sty m:val="p"/>
            </m:rPr>
            <w:rPr>
              <w:rFonts w:ascii="Cambria Math" w:eastAsia="Times New Roman" w:hAnsi="Cambria Math" w:cs="Times New Roman"/>
              <w:sz w:val="24"/>
              <w:szCs w:val="24"/>
              <w:lang w:val="en-US"/>
            </w:rPr>
            <m:t>β4x</m:t>
          </m:r>
          <m:d>
            <m:dPr>
              <m:ctrlPr>
                <w:rPr>
                  <w:rFonts w:ascii="Cambria Math" w:eastAsia="Times New Roman" w:hAnsi="Cambria Math" w:cs="Times New Roman"/>
                  <w:sz w:val="24"/>
                  <w:szCs w:val="24"/>
                  <w:lang w:val="en-US"/>
                </w:rPr>
              </m:ctrlPr>
            </m:dPr>
            <m:e>
              <m:r>
                <m:rPr>
                  <m:sty m:val="p"/>
                </m:rPr>
                <w:rPr>
                  <w:rFonts w:ascii="Cambria Math" w:eastAsia="Times New Roman" w:hAnsi="Cambria Math" w:cs="Times New Roman"/>
                  <w:sz w:val="24"/>
                  <w:szCs w:val="24"/>
                  <w:lang w:val="en-US"/>
                </w:rPr>
                <m:t>EPS-</m:t>
              </m:r>
              <m:d>
                <m:dPr>
                  <m:ctrlPr>
                    <w:rPr>
                      <w:rFonts w:ascii="Cambria Math" w:eastAsia="Times New Roman" w:hAnsi="Cambria Math" w:cs="Times New Roman"/>
                      <w:sz w:val="24"/>
                      <w:szCs w:val="24"/>
                      <w:lang w:val="en-US"/>
                    </w:rPr>
                  </m:ctrlPr>
                </m:dPr>
                <m:e>
                  <m:r>
                    <m:rPr>
                      <m:sty m:val="p"/>
                    </m:rPr>
                    <w:rPr>
                      <w:rFonts w:ascii="Cambria Math" w:eastAsia="Times New Roman" w:hAnsi="Cambria Math" w:cs="Times New Roman"/>
                      <w:sz w:val="24"/>
                      <w:szCs w:val="24"/>
                      <w:lang w:val="en-US"/>
                    </w:rPr>
                    <m:t>DA+INT</m:t>
                  </m:r>
                </m:e>
              </m:d>
            </m:e>
          </m:d>
          <m:r>
            <m:rPr>
              <m:sty m:val="p"/>
            </m:rPr>
            <w:rPr>
              <w:rFonts w:ascii="Cambria Math" w:eastAsia="Times New Roman" w:hAnsi="Cambria Math" w:cs="Times New Roman"/>
              <w:sz w:val="24"/>
              <w:szCs w:val="24"/>
              <w:lang w:val="en-US"/>
            </w:rPr>
            <m:t>t+β5xDAt +β6xINTt</m:t>
          </m:r>
        </m:oMath>
      </m:oMathPara>
    </w:p>
    <w:p w14:paraId="1CB43255" w14:textId="77777777" w:rsidR="00310C49" w:rsidRDefault="00310C49" w:rsidP="00310C49">
      <w:pPr>
        <w:tabs>
          <w:tab w:val="left" w:pos="567"/>
        </w:tabs>
        <w:jc w:val="center"/>
        <w:rPr>
          <w:rFonts w:ascii="Times New Roman" w:eastAsia="Times New Roman" w:hAnsi="Times New Roman" w:cs="Times New Roman"/>
          <w:i/>
          <w:sz w:val="24"/>
          <w:szCs w:val="24"/>
          <w:lang w:val="en-US"/>
        </w:rPr>
      </w:pPr>
    </w:p>
    <w:p w14:paraId="47D5DBA6" w14:textId="7F67DEBC" w:rsidR="00310C49" w:rsidRDefault="00310C49" w:rsidP="00310C49">
      <w:pPr>
        <w:tabs>
          <w:tab w:val="left" w:pos="567"/>
        </w:tabs>
        <w:jc w:val="center"/>
        <w:rPr>
          <w:rFonts w:ascii="Times New Roman" w:eastAsia="Times New Roman" w:hAnsi="Times New Roman" w:cs="Times New Roman"/>
          <w:sz w:val="24"/>
          <w:szCs w:val="24"/>
          <w:lang w:val="en-US"/>
        </w:rPr>
      </w:pPr>
      <w:r>
        <w:rPr>
          <w:rFonts w:ascii="Times New Roman" w:eastAsia="Times New Roman" w:hAnsi="Times New Roman" w:cs="Times New Roman"/>
          <w:i/>
          <w:sz w:val="24"/>
          <w:szCs w:val="24"/>
          <w:lang w:val="en-US"/>
        </w:rPr>
        <w:t>Residual Income Valuation Model (Modified)</w:t>
      </w:r>
    </w:p>
    <w:p w14:paraId="622B5760" w14:textId="4ED8D5F2" w:rsidR="00BD77AE" w:rsidRDefault="00BD77AE" w:rsidP="00481C0B">
      <w:pPr>
        <w:tabs>
          <w:tab w:val="left" w:pos="567"/>
        </w:tabs>
        <w:rPr>
          <w:rFonts w:ascii="Times New Roman" w:eastAsia="Times New Roman" w:hAnsi="Times New Roman" w:cs="Times New Roman"/>
          <w:sz w:val="24"/>
          <w:szCs w:val="24"/>
          <w:lang w:val="en-US"/>
        </w:rPr>
      </w:pPr>
    </w:p>
    <w:p w14:paraId="4A5A2B51" w14:textId="77777777" w:rsidR="00310C49" w:rsidRPr="009B4D3A" w:rsidRDefault="00310C49" w:rsidP="00310C49">
      <w:pPr>
        <w:tabs>
          <w:tab w:val="left" w:pos="567"/>
        </w:tabs>
        <w:rPr>
          <w:rFonts w:ascii="Times New Roman" w:eastAsia="Times New Roman" w:hAnsi="Times New Roman" w:cs="Times New Roman"/>
          <w:sz w:val="24"/>
          <w:szCs w:val="24"/>
          <w:lang w:val="en-US"/>
        </w:rPr>
      </w:pPr>
      <w:r w:rsidRPr="009B4D3A">
        <w:rPr>
          <w:rFonts w:ascii="Times New Roman" w:eastAsia="Times New Roman" w:hAnsi="Times New Roman" w:cs="Times New Roman"/>
          <w:sz w:val="24"/>
          <w:szCs w:val="24"/>
          <w:lang w:val="en-US"/>
        </w:rPr>
        <w:t>Dimana</w:t>
      </w:r>
    </w:p>
    <w:p w14:paraId="04A2871D" w14:textId="77777777" w:rsidR="00310C49" w:rsidRPr="00310C49" w:rsidRDefault="00310C49" w:rsidP="00310C49">
      <w:pPr>
        <w:tabs>
          <w:tab w:val="left" w:pos="567"/>
        </w:tabs>
        <w:rPr>
          <w:rFonts w:ascii="Times New Roman" w:eastAsia="Times New Roman" w:hAnsi="Times New Roman" w:cs="Times New Roman"/>
          <w:sz w:val="24"/>
          <w:szCs w:val="24"/>
          <w:lang w:val="en-US"/>
        </w:rPr>
      </w:pPr>
      <w:r w:rsidRPr="00310C49">
        <w:rPr>
          <w:rFonts w:ascii="Times New Roman" w:eastAsia="Times New Roman" w:hAnsi="Times New Roman" w:cs="Times New Roman"/>
          <w:sz w:val="24"/>
          <w:szCs w:val="24"/>
          <w:lang w:val="en-US"/>
        </w:rPr>
        <w:t>Pit = Harga per lembar saham pada saat informasi keuangan tersedia</w:t>
      </w:r>
    </w:p>
    <w:p w14:paraId="6A261D87" w14:textId="77777777" w:rsidR="00310C49" w:rsidRPr="00310C49" w:rsidRDefault="00310C49" w:rsidP="00310C49">
      <w:pPr>
        <w:tabs>
          <w:tab w:val="left" w:pos="567"/>
        </w:tabs>
        <w:rPr>
          <w:rFonts w:ascii="Times New Roman" w:eastAsia="Times New Roman" w:hAnsi="Times New Roman" w:cs="Times New Roman"/>
          <w:sz w:val="24"/>
          <w:szCs w:val="24"/>
          <w:lang w:val="en-US"/>
        </w:rPr>
      </w:pPr>
      <w:r w:rsidRPr="00310C49">
        <w:rPr>
          <w:rFonts w:ascii="Times New Roman" w:eastAsia="Times New Roman" w:hAnsi="Times New Roman" w:cs="Times New Roman"/>
          <w:sz w:val="24"/>
          <w:szCs w:val="24"/>
          <w:lang w:val="en-US"/>
        </w:rPr>
        <w:t>BVPS-(LL+</w:t>
      </w:r>
      <w:proofErr w:type="gramStart"/>
      <w:r w:rsidRPr="00310C49">
        <w:rPr>
          <w:rFonts w:ascii="Times New Roman" w:eastAsia="Times New Roman" w:hAnsi="Times New Roman" w:cs="Times New Roman"/>
          <w:sz w:val="24"/>
          <w:szCs w:val="24"/>
          <w:lang w:val="en-US"/>
        </w:rPr>
        <w:t>LA)t</w:t>
      </w:r>
      <w:proofErr w:type="gramEnd"/>
      <w:r w:rsidRPr="00310C49">
        <w:rPr>
          <w:rFonts w:ascii="Times New Roman" w:eastAsia="Times New Roman" w:hAnsi="Times New Roman" w:cs="Times New Roman"/>
          <w:sz w:val="24"/>
          <w:szCs w:val="24"/>
          <w:lang w:val="en-US"/>
        </w:rPr>
        <w:t xml:space="preserve"> = Nilai buku per lembar saham pada tahun bersangkutan, setelah dikurangi dengan nilai aset dan liabilitas sewa</w:t>
      </w:r>
    </w:p>
    <w:p w14:paraId="5347B482" w14:textId="77777777" w:rsidR="00310C49" w:rsidRPr="00310C49" w:rsidRDefault="00310C49" w:rsidP="00310C49">
      <w:pPr>
        <w:tabs>
          <w:tab w:val="left" w:pos="567"/>
        </w:tabs>
        <w:rPr>
          <w:rFonts w:ascii="Times New Roman" w:eastAsia="Times New Roman" w:hAnsi="Times New Roman" w:cs="Times New Roman"/>
          <w:sz w:val="24"/>
          <w:szCs w:val="24"/>
          <w:lang w:val="en-US"/>
        </w:rPr>
      </w:pPr>
      <w:r w:rsidRPr="00310C49">
        <w:rPr>
          <w:rFonts w:ascii="Times New Roman" w:eastAsia="Times New Roman" w:hAnsi="Times New Roman" w:cs="Times New Roman"/>
          <w:sz w:val="24"/>
          <w:szCs w:val="24"/>
          <w:lang w:val="en-US"/>
        </w:rPr>
        <w:t>LAt = Nilai aset sewa (leased asset) pada tahun bersangkutan</w:t>
      </w:r>
    </w:p>
    <w:p w14:paraId="00E4D1B9" w14:textId="77777777" w:rsidR="00310C49" w:rsidRPr="00310C49" w:rsidRDefault="00310C49" w:rsidP="00310C49">
      <w:pPr>
        <w:tabs>
          <w:tab w:val="left" w:pos="567"/>
        </w:tabs>
        <w:rPr>
          <w:rFonts w:ascii="Times New Roman" w:eastAsia="Times New Roman" w:hAnsi="Times New Roman" w:cs="Times New Roman"/>
          <w:sz w:val="24"/>
          <w:szCs w:val="24"/>
          <w:lang w:val="en-US"/>
        </w:rPr>
      </w:pPr>
      <w:r w:rsidRPr="00310C49">
        <w:rPr>
          <w:rFonts w:ascii="Times New Roman" w:eastAsia="Times New Roman" w:hAnsi="Times New Roman" w:cs="Times New Roman"/>
          <w:sz w:val="24"/>
          <w:szCs w:val="24"/>
          <w:lang w:val="en-US"/>
        </w:rPr>
        <w:t>LLt = Nilai liabilitas sewa (leased liability) pada tahun bersangkutan</w:t>
      </w:r>
    </w:p>
    <w:p w14:paraId="654E484C" w14:textId="77777777" w:rsidR="00310C49" w:rsidRPr="00310C49" w:rsidRDefault="00310C49" w:rsidP="00310C49">
      <w:pPr>
        <w:tabs>
          <w:tab w:val="left" w:pos="567"/>
        </w:tabs>
        <w:rPr>
          <w:rFonts w:ascii="Times New Roman" w:eastAsia="Times New Roman" w:hAnsi="Times New Roman" w:cs="Times New Roman"/>
          <w:sz w:val="24"/>
          <w:szCs w:val="24"/>
          <w:lang w:val="en-US"/>
        </w:rPr>
      </w:pPr>
      <w:r w:rsidRPr="00310C49">
        <w:rPr>
          <w:rFonts w:ascii="Times New Roman" w:eastAsia="Times New Roman" w:hAnsi="Times New Roman" w:cs="Times New Roman"/>
          <w:sz w:val="24"/>
          <w:szCs w:val="24"/>
          <w:lang w:val="en-US"/>
        </w:rPr>
        <w:t>EPS-(DA+</w:t>
      </w:r>
      <w:proofErr w:type="gramStart"/>
      <w:r w:rsidRPr="00310C49">
        <w:rPr>
          <w:rFonts w:ascii="Times New Roman" w:eastAsia="Times New Roman" w:hAnsi="Times New Roman" w:cs="Times New Roman"/>
          <w:sz w:val="24"/>
          <w:szCs w:val="24"/>
          <w:lang w:val="en-US"/>
        </w:rPr>
        <w:t>INT)t</w:t>
      </w:r>
      <w:proofErr w:type="gramEnd"/>
      <w:r w:rsidRPr="00310C49">
        <w:rPr>
          <w:rFonts w:ascii="Times New Roman" w:eastAsia="Times New Roman" w:hAnsi="Times New Roman" w:cs="Times New Roman"/>
          <w:sz w:val="24"/>
          <w:szCs w:val="24"/>
          <w:lang w:val="en-US"/>
        </w:rPr>
        <w:t xml:space="preserve"> = Laba per lembar saham pada tahun bersangkutan, setelah dikurangi dengan beban depresiasi dan amortisasi serta bunga</w:t>
      </w:r>
    </w:p>
    <w:p w14:paraId="07387E41" w14:textId="77777777" w:rsidR="00310C49" w:rsidRPr="00310C49" w:rsidRDefault="00310C49" w:rsidP="00310C49">
      <w:pPr>
        <w:tabs>
          <w:tab w:val="left" w:pos="567"/>
        </w:tabs>
        <w:rPr>
          <w:rFonts w:ascii="Times New Roman" w:eastAsia="Times New Roman" w:hAnsi="Times New Roman" w:cs="Times New Roman"/>
          <w:sz w:val="24"/>
          <w:szCs w:val="24"/>
          <w:lang w:val="en-US"/>
        </w:rPr>
      </w:pPr>
      <w:r w:rsidRPr="00310C49">
        <w:rPr>
          <w:rFonts w:ascii="Times New Roman" w:eastAsia="Times New Roman" w:hAnsi="Times New Roman" w:cs="Times New Roman"/>
          <w:sz w:val="24"/>
          <w:szCs w:val="24"/>
          <w:lang w:val="en-US"/>
        </w:rPr>
        <w:t>DAt = Nilai beban depresiasi - amortisasi pada tahun bersangkutan</w:t>
      </w:r>
    </w:p>
    <w:p w14:paraId="1D503F1C" w14:textId="77777777" w:rsidR="00310C49" w:rsidRPr="00310C49" w:rsidRDefault="00310C49" w:rsidP="00310C49">
      <w:pPr>
        <w:tabs>
          <w:tab w:val="left" w:pos="567"/>
        </w:tabs>
        <w:rPr>
          <w:rFonts w:ascii="Times New Roman" w:eastAsia="Times New Roman" w:hAnsi="Times New Roman" w:cs="Times New Roman"/>
          <w:sz w:val="24"/>
          <w:szCs w:val="24"/>
          <w:lang w:val="en-US"/>
        </w:rPr>
      </w:pPr>
      <w:r w:rsidRPr="00310C49">
        <w:rPr>
          <w:rFonts w:ascii="Times New Roman" w:eastAsia="Times New Roman" w:hAnsi="Times New Roman" w:cs="Times New Roman"/>
          <w:sz w:val="24"/>
          <w:szCs w:val="24"/>
          <w:lang w:val="en-US"/>
        </w:rPr>
        <w:t>INTt = Nilai beban bunga pada tahun bersangkutan</w:t>
      </w:r>
    </w:p>
    <w:p w14:paraId="6F94844C" w14:textId="2A91D131" w:rsidR="00310C49" w:rsidRPr="00310C49" w:rsidRDefault="00310C49" w:rsidP="00310C49">
      <w:pPr>
        <w:tabs>
          <w:tab w:val="left" w:pos="567"/>
        </w:tabs>
        <w:rPr>
          <w:rFonts w:ascii="Times New Roman" w:eastAsia="Times New Roman" w:hAnsi="Times New Roman" w:cs="Times New Roman"/>
          <w:sz w:val="24"/>
          <w:szCs w:val="24"/>
          <w:lang w:val="en-US"/>
        </w:rPr>
      </w:pPr>
      <w:r w:rsidRPr="00310C49">
        <w:rPr>
          <w:rFonts w:ascii="Times New Roman" w:eastAsia="Times New Roman" w:hAnsi="Times New Roman" w:cs="Times New Roman"/>
          <w:sz w:val="24"/>
          <w:szCs w:val="24"/>
          <w:lang w:val="en-US"/>
        </w:rPr>
        <w:t>ε = Efek dari informasi non-akuntansi</w:t>
      </w:r>
    </w:p>
    <w:sectPr w:rsidR="00310C49" w:rsidRPr="00310C49" w:rsidSect="008B5449">
      <w:type w:val="continuous"/>
      <w:pgSz w:w="11906" w:h="16838"/>
      <w:pgMar w:top="1418" w:right="1276" w:bottom="1418" w:left="1276" w:header="709" w:footer="709"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7D65F" w14:textId="77777777" w:rsidR="00546940" w:rsidRDefault="00546940" w:rsidP="000A3D4F">
      <w:r>
        <w:separator/>
      </w:r>
    </w:p>
  </w:endnote>
  <w:endnote w:type="continuationSeparator" w:id="0">
    <w:p w14:paraId="36F17271" w14:textId="77777777" w:rsidR="00546940" w:rsidRDefault="00546940" w:rsidP="000A3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otham Book">
    <w:panose1 w:val="00000000000000000000"/>
    <w:charset w:val="00"/>
    <w:family w:val="swiss"/>
    <w:notTrueType/>
    <w:pitch w:val="default"/>
    <w:sig w:usb0="00000003" w:usb1="00000000" w:usb2="00000000" w:usb3="00000000" w:csb0="00000001" w:csb1="00000000"/>
  </w:font>
  <w:font w:name="Helvetica Neue L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2F050" w14:textId="27E887DA" w:rsidR="003D0F97" w:rsidRDefault="00CD69CB">
    <w:pPr>
      <w:pBdr>
        <w:top w:val="nil"/>
        <w:left w:val="nil"/>
        <w:bottom w:val="nil"/>
        <w:right w:val="nil"/>
        <w:between w:val="nil"/>
      </w:pBdr>
      <w:tabs>
        <w:tab w:val="left" w:pos="450"/>
        <w:tab w:val="center" w:pos="4672"/>
      </w:tabs>
      <w:rPr>
        <w:rFonts w:ascii="Times New Roman" w:eastAsia="Times New Roman" w:hAnsi="Times New Roman" w:cs="Times New Roman"/>
        <w:color w:val="000000"/>
      </w:rPr>
    </w:pPr>
    <w:r>
      <w:rPr>
        <w:rFonts w:ascii="Times New Roman" w:eastAsia="Times New Roman" w:hAnsi="Times New Roman" w:cs="Times New Roman"/>
        <w:color w:val="000000"/>
        <w:lang w:val="en-US"/>
      </w:rPr>
      <w:t>xx</w:t>
    </w:r>
    <w:r w:rsidR="003D0F97">
      <w:rPr>
        <w:rFonts w:ascii="Times New Roman" w:eastAsia="Times New Roman" w:hAnsi="Times New Roman" w:cs="Times New Roman"/>
        <w:color w:val="000000"/>
      </w:rPr>
      <w:t xml:space="preserve"> | Jurnal Riset Aku</w:t>
    </w:r>
    <w:r w:rsidR="00D645B9">
      <w:rPr>
        <w:rFonts w:ascii="Times New Roman" w:eastAsia="Times New Roman" w:hAnsi="Times New Roman" w:cs="Times New Roman"/>
        <w:color w:val="000000"/>
      </w:rPr>
      <w:t>ntansi dan Keuangan Vol.</w:t>
    </w:r>
    <w:r w:rsidR="00B46719">
      <w:rPr>
        <w:rFonts w:ascii="Times New Roman" w:eastAsia="Times New Roman" w:hAnsi="Times New Roman" w:cs="Times New Roman"/>
        <w:color w:val="000000"/>
        <w:lang w:val="en-US"/>
      </w:rPr>
      <w:t>10</w:t>
    </w:r>
    <w:r w:rsidR="00D645B9">
      <w:rPr>
        <w:rFonts w:ascii="Times New Roman" w:eastAsia="Times New Roman" w:hAnsi="Times New Roman" w:cs="Times New Roman"/>
        <w:color w:val="000000"/>
      </w:rPr>
      <w:t xml:space="preserve"> | No.</w:t>
    </w:r>
    <w:r w:rsidR="00B46719">
      <w:rPr>
        <w:rFonts w:ascii="Times New Roman" w:eastAsia="Times New Roman" w:hAnsi="Times New Roman" w:cs="Times New Roman"/>
        <w:color w:val="000000"/>
        <w:lang w:val="en-US"/>
      </w:rPr>
      <w:t>1</w:t>
    </w:r>
    <w:r w:rsidR="003D0F97">
      <w:rPr>
        <w:rFonts w:ascii="Times New Roman" w:eastAsia="Times New Roman" w:hAnsi="Times New Roman" w:cs="Times New Roman"/>
        <w:color w:val="000000"/>
      </w:rPr>
      <w:t xml:space="preserve"> | 20</w:t>
    </w:r>
    <w:r>
      <w:rPr>
        <w:rFonts w:ascii="Times New Roman" w:eastAsia="Times New Roman" w:hAnsi="Times New Roman" w:cs="Times New Roman"/>
        <w:color w:val="000000"/>
        <w:lang w:val="en-US"/>
      </w:rPr>
      <w:t>2</w:t>
    </w:r>
    <w:r w:rsidR="00B46719">
      <w:rPr>
        <w:rFonts w:ascii="Times New Roman" w:eastAsia="Times New Roman" w:hAnsi="Times New Roman" w:cs="Times New Roman"/>
        <w:color w:val="000000"/>
        <w:lang w:val="en-US"/>
      </w:rPr>
      <w:t>2</w:t>
    </w:r>
    <w:r w:rsidR="003D0F97">
      <w:rPr>
        <w:rFonts w:ascii="Times New Roman" w:eastAsia="Times New Roman" w:hAnsi="Times New Roman" w:cs="Times New Roman"/>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2F7B6" w14:textId="6DF0C65F" w:rsidR="003D0F97" w:rsidRPr="001D32CB" w:rsidRDefault="001D32CB">
    <w:pPr>
      <w:pBdr>
        <w:top w:val="single" w:sz="4" w:space="1" w:color="D9D9D9"/>
        <w:left w:val="nil"/>
        <w:bottom w:val="nil"/>
        <w:right w:val="nil"/>
        <w:between w:val="nil"/>
      </w:pBdr>
      <w:tabs>
        <w:tab w:val="center" w:pos="4320"/>
        <w:tab w:val="right" w:pos="8640"/>
      </w:tabs>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XX</w:t>
    </w:r>
    <w:r w:rsidR="003D0F97">
      <w:rPr>
        <w:rFonts w:ascii="Times New Roman" w:eastAsia="Times New Roman" w:hAnsi="Times New Roman" w:cs="Times New Roman"/>
        <w:color w:val="000000"/>
      </w:rPr>
      <w:t>| Jurnal Riset Akuntansi dan Keuangan Vol.</w:t>
    </w:r>
    <w:r w:rsidR="00B46719">
      <w:rPr>
        <w:rFonts w:ascii="Times New Roman" w:eastAsia="Times New Roman" w:hAnsi="Times New Roman" w:cs="Times New Roman"/>
        <w:color w:val="000000"/>
        <w:lang w:val="en-US"/>
      </w:rPr>
      <w:t>10</w:t>
    </w:r>
    <w:r w:rsidR="003D0F97">
      <w:rPr>
        <w:rFonts w:ascii="Times New Roman" w:eastAsia="Times New Roman" w:hAnsi="Times New Roman" w:cs="Times New Roman"/>
        <w:color w:val="000000"/>
      </w:rPr>
      <w:t xml:space="preserve"> | No.</w:t>
    </w:r>
    <w:r w:rsidR="00B46719">
      <w:rPr>
        <w:rFonts w:ascii="Times New Roman" w:eastAsia="Times New Roman" w:hAnsi="Times New Roman" w:cs="Times New Roman"/>
        <w:color w:val="000000"/>
        <w:lang w:val="en-US"/>
      </w:rPr>
      <w:t>1</w:t>
    </w:r>
    <w:r w:rsidR="003D0F97">
      <w:rPr>
        <w:rFonts w:ascii="Times New Roman" w:eastAsia="Times New Roman" w:hAnsi="Times New Roman" w:cs="Times New Roman"/>
        <w:color w:val="000000"/>
      </w:rPr>
      <w:t xml:space="preserve"> | 20</w:t>
    </w:r>
    <w:r>
      <w:rPr>
        <w:rFonts w:ascii="Times New Roman" w:eastAsia="Times New Roman" w:hAnsi="Times New Roman" w:cs="Times New Roman"/>
        <w:color w:val="000000"/>
        <w:lang w:val="en-US"/>
      </w:rPr>
      <w:t>2</w:t>
    </w:r>
    <w:r w:rsidR="00B46719">
      <w:rPr>
        <w:rFonts w:ascii="Times New Roman" w:eastAsia="Times New Roman" w:hAnsi="Times New Roman" w:cs="Times New Roman"/>
        <w:color w:val="000000"/>
        <w:lang w:val="en-US"/>
      </w:rPr>
      <w:t>2</w:t>
    </w:r>
  </w:p>
  <w:p w14:paraId="4B25F555" w14:textId="77777777" w:rsidR="003D0F97" w:rsidRDefault="003D0F97">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3567" w14:textId="77777777" w:rsidR="00814FA8" w:rsidRDefault="00814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E7B6F" w14:textId="77777777" w:rsidR="00546940" w:rsidRDefault="00546940" w:rsidP="000A3D4F">
      <w:r>
        <w:separator/>
      </w:r>
    </w:p>
  </w:footnote>
  <w:footnote w:type="continuationSeparator" w:id="0">
    <w:p w14:paraId="171A6D14" w14:textId="77777777" w:rsidR="00546940" w:rsidRDefault="00546940" w:rsidP="000A3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C6762" w14:textId="51389CC6" w:rsidR="003D0F97" w:rsidRPr="006838F8" w:rsidRDefault="006838F8" w:rsidP="006838F8">
    <w:pPr>
      <w:pBdr>
        <w:top w:val="nil"/>
        <w:left w:val="nil"/>
        <w:bottom w:val="nil"/>
        <w:right w:val="nil"/>
        <w:between w:val="nil"/>
      </w:pBdr>
      <w:tabs>
        <w:tab w:val="center" w:pos="4320"/>
        <w:tab w:val="right" w:pos="8640"/>
      </w:tabs>
      <w:jc w:val="center"/>
      <w:rPr>
        <w:rFonts w:ascii="Times New Roman" w:eastAsia="Times New Roman" w:hAnsi="Times New Roman" w:cs="Times New Roman"/>
        <w:i/>
        <w:color w:val="000000"/>
        <w:lang w:val="en-ID"/>
      </w:rPr>
    </w:pPr>
    <w:r w:rsidRPr="00A55EE3">
      <w:rPr>
        <w:rFonts w:ascii="Times New Roman" w:eastAsia="Times New Roman" w:hAnsi="Times New Roman" w:cs="Times New Roman"/>
        <w:i/>
        <w:color w:val="000000"/>
      </w:rPr>
      <w:t xml:space="preserve">JURNAL RISET AKUNTANSI DAN KEUANGAN, </w:t>
    </w:r>
    <w:r w:rsidRPr="00A55EE3">
      <w:rPr>
        <w:rFonts w:ascii="Times New Roman" w:eastAsia="Times New Roman" w:hAnsi="Times New Roman" w:cs="Times New Roman"/>
        <w:i/>
        <w:color w:val="000000"/>
        <w:lang w:val="en-ID"/>
      </w:rPr>
      <w:t xml:space="preserve">Volume : </w:t>
    </w:r>
    <w:r w:rsidR="00814FA8">
      <w:rPr>
        <w:rFonts w:ascii="Times New Roman" w:eastAsia="Times New Roman" w:hAnsi="Times New Roman" w:cs="Times New Roman"/>
        <w:i/>
        <w:color w:val="000000"/>
        <w:lang w:val="en-US"/>
      </w:rPr>
      <w:t>10</w:t>
    </w:r>
    <w:r w:rsidRPr="00A55EE3">
      <w:rPr>
        <w:rFonts w:ascii="Times New Roman" w:eastAsia="Times New Roman" w:hAnsi="Times New Roman" w:cs="Times New Roman"/>
        <w:i/>
        <w:color w:val="000000"/>
      </w:rPr>
      <w:t xml:space="preserve"> (</w:t>
    </w:r>
    <w:r w:rsidRPr="00A55EE3">
      <w:rPr>
        <w:rFonts w:ascii="Times New Roman" w:eastAsia="Times New Roman" w:hAnsi="Times New Roman" w:cs="Times New Roman"/>
        <w:i/>
        <w:color w:val="000000"/>
        <w:lang w:val="en-ID"/>
      </w:rPr>
      <w:t>No :</w:t>
    </w:r>
    <w:r w:rsidR="00814FA8">
      <w:rPr>
        <w:rFonts w:ascii="Times New Roman" w:eastAsia="Times New Roman" w:hAnsi="Times New Roman" w:cs="Times New Roman"/>
        <w:i/>
        <w:color w:val="000000"/>
        <w:lang w:val="en-US"/>
      </w:rPr>
      <w:t>1</w:t>
    </w:r>
    <w:r w:rsidRPr="00A55EE3">
      <w:rPr>
        <w:rFonts w:ascii="Times New Roman" w:eastAsia="Times New Roman" w:hAnsi="Times New Roman" w:cs="Times New Roman"/>
        <w:i/>
        <w:color w:val="000000"/>
      </w:rPr>
      <w:t xml:space="preserve">), </w:t>
    </w:r>
    <w:r w:rsidRPr="00A55EE3">
      <w:rPr>
        <w:rFonts w:ascii="Times New Roman" w:eastAsia="Times New Roman" w:hAnsi="Times New Roman" w:cs="Times New Roman"/>
        <w:i/>
        <w:color w:val="000000"/>
        <w:lang w:val="en-ID"/>
      </w:rPr>
      <w:t xml:space="preserve">Tahun : </w:t>
    </w:r>
    <w:r w:rsidRPr="00A55EE3">
      <w:rPr>
        <w:rFonts w:ascii="Times New Roman" w:eastAsia="Times New Roman" w:hAnsi="Times New Roman" w:cs="Times New Roman"/>
        <w:i/>
        <w:color w:val="000000"/>
      </w:rPr>
      <w:t>20</w:t>
    </w:r>
    <w:r>
      <w:rPr>
        <w:rFonts w:ascii="Times New Roman" w:eastAsia="Times New Roman" w:hAnsi="Times New Roman" w:cs="Times New Roman"/>
        <w:i/>
        <w:color w:val="000000"/>
        <w:lang w:val="en-US"/>
      </w:rPr>
      <w:t>2</w:t>
    </w:r>
    <w:r w:rsidR="00814FA8">
      <w:rPr>
        <w:rFonts w:ascii="Times New Roman" w:eastAsia="Times New Roman" w:hAnsi="Times New Roman" w:cs="Times New Roman"/>
        <w:i/>
        <w:color w:val="000000"/>
        <w:lang w:val="en-US"/>
      </w:rPr>
      <w:t>2</w:t>
    </w:r>
    <w:r w:rsidRPr="00A55EE3">
      <w:rPr>
        <w:rFonts w:ascii="Times New Roman" w:eastAsia="Times New Roman" w:hAnsi="Times New Roman" w:cs="Times New Roman"/>
        <w:i/>
        <w:color w:val="000000"/>
      </w:rPr>
      <w:t xml:space="preserve">, </w:t>
    </w:r>
    <w:r w:rsidRPr="00A55EE3">
      <w:rPr>
        <w:rFonts w:ascii="Times New Roman" w:eastAsia="Times New Roman" w:hAnsi="Times New Roman" w:cs="Times New Roman"/>
        <w:i/>
        <w:color w:val="000000"/>
        <w:lang w:val="en-ID"/>
      </w:rPr>
      <w:t xml:space="preserve">Hal </w:t>
    </w:r>
    <w:r w:rsidR="00814FA8">
      <w:rPr>
        <w:rFonts w:ascii="Times New Roman" w:eastAsia="Times New Roman" w:hAnsi="Times New Roman" w:cs="Times New Roman"/>
        <w:i/>
        <w:color w:val="000000"/>
        <w:lang w:val="en-ID"/>
      </w:rPr>
      <w:t>1</w:t>
    </w:r>
    <w:r w:rsidRPr="00A55EE3">
      <w:rPr>
        <w:rFonts w:ascii="Times New Roman" w:eastAsia="Times New Roman" w:hAnsi="Times New Roman" w:cs="Times New Roman"/>
        <w:i/>
        <w:color w:val="000000"/>
        <w:lang w:val="en-ID"/>
      </w:rPr>
      <w:t>-</w:t>
    </w:r>
    <w:r w:rsidR="00814FA8">
      <w:rPr>
        <w:rFonts w:ascii="Times New Roman" w:eastAsia="Times New Roman" w:hAnsi="Times New Roman" w:cs="Times New Roman"/>
        <w:i/>
        <w:color w:val="000000"/>
        <w:lang w:val="en-ID"/>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1473A" w14:textId="2BDAEEB2" w:rsidR="003D0F97" w:rsidRPr="007B0CCC" w:rsidRDefault="003D0F97" w:rsidP="007B0CCC">
    <w:pPr>
      <w:pBdr>
        <w:top w:val="nil"/>
        <w:left w:val="nil"/>
        <w:bottom w:val="nil"/>
        <w:right w:val="nil"/>
        <w:between w:val="nil"/>
      </w:pBdr>
      <w:tabs>
        <w:tab w:val="center" w:pos="4320"/>
        <w:tab w:val="right" w:pos="8640"/>
      </w:tabs>
      <w:jc w:val="center"/>
      <w:rPr>
        <w:rFonts w:ascii="Times New Roman" w:eastAsia="Times New Roman" w:hAnsi="Times New Roman" w:cs="Times New Roman"/>
        <w:i/>
        <w:color w:val="000000"/>
        <w:lang w:val="en-ID"/>
      </w:rPr>
    </w:pPr>
    <w:r w:rsidRPr="00A55EE3">
      <w:rPr>
        <w:rFonts w:ascii="Times New Roman" w:eastAsia="Times New Roman" w:hAnsi="Times New Roman" w:cs="Times New Roman"/>
        <w:i/>
        <w:color w:val="000000"/>
      </w:rPr>
      <w:t xml:space="preserve">JURNAL RISET AKUNTANSI DAN </w:t>
    </w:r>
    <w:r w:rsidR="006F79A3" w:rsidRPr="00A55EE3">
      <w:rPr>
        <w:rFonts w:ascii="Times New Roman" w:eastAsia="Times New Roman" w:hAnsi="Times New Roman" w:cs="Times New Roman"/>
        <w:i/>
        <w:color w:val="000000"/>
      </w:rPr>
      <w:t xml:space="preserve">KEUANGAN, </w:t>
    </w:r>
    <w:r w:rsidR="00193853" w:rsidRPr="00A55EE3">
      <w:rPr>
        <w:rFonts w:ascii="Times New Roman" w:eastAsia="Times New Roman" w:hAnsi="Times New Roman" w:cs="Times New Roman"/>
        <w:i/>
        <w:color w:val="000000"/>
        <w:lang w:val="en-ID"/>
      </w:rPr>
      <w:t xml:space="preserve">Volume : </w:t>
    </w:r>
    <w:r w:rsidR="006E6B18">
      <w:rPr>
        <w:rFonts w:ascii="Times New Roman" w:eastAsia="Times New Roman" w:hAnsi="Times New Roman" w:cs="Times New Roman"/>
        <w:i/>
        <w:color w:val="000000"/>
        <w:lang w:val="en-US"/>
      </w:rPr>
      <w:t>10</w:t>
    </w:r>
    <w:r w:rsidR="006F79A3" w:rsidRPr="00A55EE3">
      <w:rPr>
        <w:rFonts w:ascii="Times New Roman" w:eastAsia="Times New Roman" w:hAnsi="Times New Roman" w:cs="Times New Roman"/>
        <w:i/>
        <w:color w:val="000000"/>
      </w:rPr>
      <w:t xml:space="preserve"> (</w:t>
    </w:r>
    <w:r w:rsidR="00936B13" w:rsidRPr="00A55EE3">
      <w:rPr>
        <w:rFonts w:ascii="Times New Roman" w:eastAsia="Times New Roman" w:hAnsi="Times New Roman" w:cs="Times New Roman"/>
        <w:i/>
        <w:color w:val="000000"/>
        <w:lang w:val="en-ID"/>
      </w:rPr>
      <w:t>No :</w:t>
    </w:r>
    <w:r w:rsidR="006E6B18">
      <w:rPr>
        <w:rFonts w:ascii="Times New Roman" w:eastAsia="Times New Roman" w:hAnsi="Times New Roman" w:cs="Times New Roman"/>
        <w:i/>
        <w:color w:val="000000"/>
        <w:lang w:val="en-US"/>
      </w:rPr>
      <w:t>1</w:t>
    </w:r>
    <w:r w:rsidRPr="00A55EE3">
      <w:rPr>
        <w:rFonts w:ascii="Times New Roman" w:eastAsia="Times New Roman" w:hAnsi="Times New Roman" w:cs="Times New Roman"/>
        <w:i/>
        <w:color w:val="000000"/>
      </w:rPr>
      <w:t xml:space="preserve">), </w:t>
    </w:r>
    <w:r w:rsidR="00456CA3" w:rsidRPr="00A55EE3">
      <w:rPr>
        <w:rFonts w:ascii="Times New Roman" w:eastAsia="Times New Roman" w:hAnsi="Times New Roman" w:cs="Times New Roman"/>
        <w:i/>
        <w:color w:val="000000"/>
        <w:lang w:val="en-ID"/>
      </w:rPr>
      <w:t xml:space="preserve">Tahun : </w:t>
    </w:r>
    <w:r w:rsidRPr="00A55EE3">
      <w:rPr>
        <w:rFonts w:ascii="Times New Roman" w:eastAsia="Times New Roman" w:hAnsi="Times New Roman" w:cs="Times New Roman"/>
        <w:i/>
        <w:color w:val="000000"/>
      </w:rPr>
      <w:t>20</w:t>
    </w:r>
    <w:r w:rsidR="001D32CB">
      <w:rPr>
        <w:rFonts w:ascii="Times New Roman" w:eastAsia="Times New Roman" w:hAnsi="Times New Roman" w:cs="Times New Roman"/>
        <w:i/>
        <w:color w:val="000000"/>
        <w:lang w:val="en-US"/>
      </w:rPr>
      <w:t>2</w:t>
    </w:r>
    <w:r w:rsidR="006E6B18">
      <w:rPr>
        <w:rFonts w:ascii="Times New Roman" w:eastAsia="Times New Roman" w:hAnsi="Times New Roman" w:cs="Times New Roman"/>
        <w:i/>
        <w:color w:val="000000"/>
        <w:lang w:val="en-US"/>
      </w:rPr>
      <w:t>2</w:t>
    </w:r>
    <w:r w:rsidRPr="00A55EE3">
      <w:rPr>
        <w:rFonts w:ascii="Times New Roman" w:eastAsia="Times New Roman" w:hAnsi="Times New Roman" w:cs="Times New Roman"/>
        <w:i/>
        <w:color w:val="000000"/>
      </w:rPr>
      <w:t xml:space="preserve">, </w:t>
    </w:r>
    <w:r w:rsidR="00383877" w:rsidRPr="00A55EE3">
      <w:rPr>
        <w:rFonts w:ascii="Times New Roman" w:eastAsia="Times New Roman" w:hAnsi="Times New Roman" w:cs="Times New Roman"/>
        <w:i/>
        <w:color w:val="000000"/>
        <w:lang w:val="en-ID"/>
      </w:rPr>
      <w:t xml:space="preserve">Hal </w:t>
    </w:r>
    <w:r w:rsidR="00741916">
      <w:rPr>
        <w:rFonts w:ascii="Times New Roman" w:eastAsia="Times New Roman" w:hAnsi="Times New Roman" w:cs="Times New Roman"/>
        <w:i/>
        <w:color w:val="000000"/>
        <w:lang w:val="en-ID"/>
      </w:rPr>
      <w:t>1</w:t>
    </w:r>
    <w:r w:rsidR="00416D50" w:rsidRPr="00A55EE3">
      <w:rPr>
        <w:rFonts w:ascii="Times New Roman" w:eastAsia="Times New Roman" w:hAnsi="Times New Roman" w:cs="Times New Roman"/>
        <w:i/>
        <w:color w:val="000000"/>
        <w:lang w:val="en-ID"/>
      </w:rPr>
      <w:t>-</w:t>
    </w:r>
    <w:r w:rsidR="00741916">
      <w:rPr>
        <w:rFonts w:ascii="Times New Roman" w:eastAsia="Times New Roman" w:hAnsi="Times New Roman" w:cs="Times New Roman"/>
        <w:i/>
        <w:color w:val="000000"/>
        <w:lang w:val="en-ID"/>
      </w:rPr>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14C2A" w14:textId="77777777" w:rsidR="00814FA8" w:rsidRDefault="00814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8204CB"/>
    <w:multiLevelType w:val="multilevel"/>
    <w:tmpl w:val="E88204C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3BAA02A"/>
    <w:multiLevelType w:val="multilevel"/>
    <w:tmpl w:val="03BAA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9810BE"/>
    <w:multiLevelType w:val="hybridMultilevel"/>
    <w:tmpl w:val="F1A4A490"/>
    <w:lvl w:ilvl="0" w:tplc="65502D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DE62DD"/>
    <w:multiLevelType w:val="hybridMultilevel"/>
    <w:tmpl w:val="06F8B9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00198B"/>
    <w:multiLevelType w:val="hybridMultilevel"/>
    <w:tmpl w:val="2FD0B614"/>
    <w:lvl w:ilvl="0" w:tplc="CCF68EE0">
      <w:start w:val="1"/>
      <w:numFmt w:val="decimal"/>
      <w:lvlText w:val="%1."/>
      <w:lvlJc w:val="left"/>
      <w:pPr>
        <w:ind w:left="1495" w:hanging="360"/>
      </w:pPr>
      <w:rPr>
        <w:rFonts w:ascii="Times New Roman" w:eastAsia="Times New Roman" w:hAnsi="Times New Roman" w:cs="Times New Roman"/>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5" w15:restartNumberingAfterBreak="0">
    <w:nsid w:val="2F81175B"/>
    <w:multiLevelType w:val="hybridMultilevel"/>
    <w:tmpl w:val="811C7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C6648"/>
    <w:multiLevelType w:val="singleLevel"/>
    <w:tmpl w:val="303C6648"/>
    <w:lvl w:ilvl="0">
      <w:start w:val="1"/>
      <w:numFmt w:val="decimal"/>
      <w:suff w:val="space"/>
      <w:lvlText w:val="%1."/>
      <w:lvlJc w:val="left"/>
    </w:lvl>
  </w:abstractNum>
  <w:abstractNum w:abstractNumId="7" w15:restartNumberingAfterBreak="0">
    <w:nsid w:val="31174224"/>
    <w:multiLevelType w:val="singleLevel"/>
    <w:tmpl w:val="31174224"/>
    <w:lvl w:ilvl="0">
      <w:start w:val="1"/>
      <w:numFmt w:val="decimal"/>
      <w:lvlText w:val="%1)"/>
      <w:lvlJc w:val="left"/>
    </w:lvl>
  </w:abstractNum>
  <w:abstractNum w:abstractNumId="8" w15:restartNumberingAfterBreak="0">
    <w:nsid w:val="399413D5"/>
    <w:multiLevelType w:val="multilevel"/>
    <w:tmpl w:val="043A7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D73426"/>
    <w:multiLevelType w:val="multilevel"/>
    <w:tmpl w:val="0D5E4CA8"/>
    <w:lvl w:ilvl="0">
      <w:start w:val="1"/>
      <w:numFmt w:val="decimal"/>
      <w:lvlText w:val="%1."/>
      <w:lvlJc w:val="left"/>
      <w:pPr>
        <w:ind w:left="3905" w:hanging="360"/>
      </w:pPr>
      <w:rPr>
        <w:rFonts w:hint="default"/>
      </w:rPr>
    </w:lvl>
    <w:lvl w:ilvl="1">
      <w:start w:val="2"/>
      <w:numFmt w:val="decimal"/>
      <w:isLgl/>
      <w:lvlText w:val="%1.%2"/>
      <w:lvlJc w:val="left"/>
      <w:pPr>
        <w:ind w:left="4330" w:hanging="360"/>
      </w:pPr>
      <w:rPr>
        <w:rFonts w:hint="default"/>
      </w:rPr>
    </w:lvl>
    <w:lvl w:ilvl="2">
      <w:start w:val="1"/>
      <w:numFmt w:val="decimal"/>
      <w:isLgl/>
      <w:lvlText w:val="%1.%2.%3"/>
      <w:lvlJc w:val="left"/>
      <w:pPr>
        <w:ind w:left="4332" w:hanging="720"/>
      </w:pPr>
      <w:rPr>
        <w:rFonts w:hint="default"/>
      </w:rPr>
    </w:lvl>
    <w:lvl w:ilvl="3">
      <w:start w:val="1"/>
      <w:numFmt w:val="decimal"/>
      <w:isLgl/>
      <w:lvlText w:val="%1.%2.%3.%4"/>
      <w:lvlJc w:val="left"/>
      <w:pPr>
        <w:ind w:left="5958" w:hanging="720"/>
      </w:pPr>
      <w:rPr>
        <w:rFonts w:hint="default"/>
      </w:rPr>
    </w:lvl>
    <w:lvl w:ilvl="4">
      <w:start w:val="1"/>
      <w:numFmt w:val="decimal"/>
      <w:isLgl/>
      <w:lvlText w:val="%1.%2.%3.%4.%5"/>
      <w:lvlJc w:val="left"/>
      <w:pPr>
        <w:ind w:left="7944" w:hanging="1080"/>
      </w:pPr>
      <w:rPr>
        <w:rFonts w:hint="default"/>
      </w:rPr>
    </w:lvl>
    <w:lvl w:ilvl="5">
      <w:start w:val="1"/>
      <w:numFmt w:val="decimal"/>
      <w:isLgl/>
      <w:lvlText w:val="%1.%2.%3.%4.%5.%6"/>
      <w:lvlJc w:val="left"/>
      <w:pPr>
        <w:ind w:left="9570" w:hanging="1080"/>
      </w:pPr>
      <w:rPr>
        <w:rFonts w:hint="default"/>
      </w:rPr>
    </w:lvl>
    <w:lvl w:ilvl="6">
      <w:start w:val="1"/>
      <w:numFmt w:val="decimal"/>
      <w:isLgl/>
      <w:lvlText w:val="%1.%2.%3.%4.%5.%6.%7"/>
      <w:lvlJc w:val="left"/>
      <w:pPr>
        <w:ind w:left="11556" w:hanging="1440"/>
      </w:pPr>
      <w:rPr>
        <w:rFonts w:hint="default"/>
      </w:rPr>
    </w:lvl>
    <w:lvl w:ilvl="7">
      <w:start w:val="1"/>
      <w:numFmt w:val="decimal"/>
      <w:isLgl/>
      <w:lvlText w:val="%1.%2.%3.%4.%5.%6.%7.%8"/>
      <w:lvlJc w:val="left"/>
      <w:pPr>
        <w:ind w:left="13182" w:hanging="1440"/>
      </w:pPr>
      <w:rPr>
        <w:rFonts w:hint="default"/>
      </w:rPr>
    </w:lvl>
    <w:lvl w:ilvl="8">
      <w:start w:val="1"/>
      <w:numFmt w:val="decimal"/>
      <w:isLgl/>
      <w:lvlText w:val="%1.%2.%3.%4.%5.%6.%7.%8.%9"/>
      <w:lvlJc w:val="left"/>
      <w:pPr>
        <w:ind w:left="14808" w:hanging="1440"/>
      </w:pPr>
      <w:rPr>
        <w:rFonts w:hint="default"/>
      </w:rPr>
    </w:lvl>
  </w:abstractNum>
  <w:abstractNum w:abstractNumId="10" w15:restartNumberingAfterBreak="0">
    <w:nsid w:val="51DD4C94"/>
    <w:multiLevelType w:val="hybridMultilevel"/>
    <w:tmpl w:val="7E645AD2"/>
    <w:lvl w:ilvl="0" w:tplc="44C6E76A">
      <w:start w:val="1"/>
      <w:numFmt w:val="decimal"/>
      <w:lvlText w:val="%1."/>
      <w:lvlJc w:val="left"/>
      <w:pPr>
        <w:ind w:left="927" w:hanging="360"/>
      </w:pPr>
      <w:rPr>
        <w:rFonts w:eastAsia="Times New Roman"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52095FD8"/>
    <w:multiLevelType w:val="multilevel"/>
    <w:tmpl w:val="4CE0A5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5031396"/>
    <w:multiLevelType w:val="hybridMultilevel"/>
    <w:tmpl w:val="E27646E2"/>
    <w:lvl w:ilvl="0" w:tplc="A920A60A">
      <w:start w:val="1"/>
      <w:numFmt w:val="decimal"/>
      <w:lvlText w:val="%1."/>
      <w:lvlJc w:val="left"/>
      <w:pPr>
        <w:ind w:left="927" w:hanging="360"/>
      </w:pPr>
      <w:rPr>
        <w:rFonts w:ascii="Times New Roman" w:eastAsiaTheme="minorHAns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75AC0B9A"/>
    <w:multiLevelType w:val="hybridMultilevel"/>
    <w:tmpl w:val="5C1278E0"/>
    <w:lvl w:ilvl="0" w:tplc="D6227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C83432"/>
    <w:multiLevelType w:val="hybridMultilevel"/>
    <w:tmpl w:val="FA728286"/>
    <w:lvl w:ilvl="0" w:tplc="BB5094B2">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1"/>
  </w:num>
  <w:num w:numId="3">
    <w:abstractNumId w:val="3"/>
  </w:num>
  <w:num w:numId="4">
    <w:abstractNumId w:val="10"/>
  </w:num>
  <w:num w:numId="5">
    <w:abstractNumId w:val="4"/>
  </w:num>
  <w:num w:numId="6">
    <w:abstractNumId w:val="14"/>
  </w:num>
  <w:num w:numId="7">
    <w:abstractNumId w:val="12"/>
  </w:num>
  <w:num w:numId="8">
    <w:abstractNumId w:val="9"/>
  </w:num>
  <w:num w:numId="9">
    <w:abstractNumId w:val="0"/>
  </w:num>
  <w:num w:numId="10">
    <w:abstractNumId w:val="7"/>
  </w:num>
  <w:num w:numId="11">
    <w:abstractNumId w:val="1"/>
  </w:num>
  <w:num w:numId="12">
    <w:abstractNumId w:val="5"/>
  </w:num>
  <w:num w:numId="13">
    <w:abstractNumId w:val="13"/>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4F"/>
    <w:rsid w:val="00022397"/>
    <w:rsid w:val="00026874"/>
    <w:rsid w:val="000275F4"/>
    <w:rsid w:val="000378DF"/>
    <w:rsid w:val="000421AC"/>
    <w:rsid w:val="00051BD9"/>
    <w:rsid w:val="00065F2D"/>
    <w:rsid w:val="000668B5"/>
    <w:rsid w:val="00070700"/>
    <w:rsid w:val="000722F6"/>
    <w:rsid w:val="00080781"/>
    <w:rsid w:val="0008195A"/>
    <w:rsid w:val="000A222F"/>
    <w:rsid w:val="000A3161"/>
    <w:rsid w:val="000A32A1"/>
    <w:rsid w:val="000A3D4F"/>
    <w:rsid w:val="000B4D3A"/>
    <w:rsid w:val="000B5073"/>
    <w:rsid w:val="000B7A17"/>
    <w:rsid w:val="000C15E8"/>
    <w:rsid w:val="000C3931"/>
    <w:rsid w:val="000C6AB5"/>
    <w:rsid w:val="000D10DE"/>
    <w:rsid w:val="000D1855"/>
    <w:rsid w:val="000D28D9"/>
    <w:rsid w:val="000D5143"/>
    <w:rsid w:val="000E3FC9"/>
    <w:rsid w:val="000E58C9"/>
    <w:rsid w:val="000E6616"/>
    <w:rsid w:val="000E6EB1"/>
    <w:rsid w:val="000F22F6"/>
    <w:rsid w:val="000F45B7"/>
    <w:rsid w:val="00105A2A"/>
    <w:rsid w:val="00111ACD"/>
    <w:rsid w:val="00115CEF"/>
    <w:rsid w:val="0011713D"/>
    <w:rsid w:val="00121E8E"/>
    <w:rsid w:val="001368AC"/>
    <w:rsid w:val="00150ACD"/>
    <w:rsid w:val="00152937"/>
    <w:rsid w:val="00153D87"/>
    <w:rsid w:val="00155689"/>
    <w:rsid w:val="00160F5E"/>
    <w:rsid w:val="00173D44"/>
    <w:rsid w:val="00184EE6"/>
    <w:rsid w:val="00185525"/>
    <w:rsid w:val="0018706D"/>
    <w:rsid w:val="00192D92"/>
    <w:rsid w:val="00193853"/>
    <w:rsid w:val="001972BD"/>
    <w:rsid w:val="001A1A6D"/>
    <w:rsid w:val="001A677E"/>
    <w:rsid w:val="001B08F1"/>
    <w:rsid w:val="001C2CB2"/>
    <w:rsid w:val="001C7274"/>
    <w:rsid w:val="001D1942"/>
    <w:rsid w:val="001D2F5B"/>
    <w:rsid w:val="001D32CB"/>
    <w:rsid w:val="001D6010"/>
    <w:rsid w:val="001D6640"/>
    <w:rsid w:val="001E2959"/>
    <w:rsid w:val="001F22B2"/>
    <w:rsid w:val="00204A5E"/>
    <w:rsid w:val="00211402"/>
    <w:rsid w:val="002168DE"/>
    <w:rsid w:val="00226D03"/>
    <w:rsid w:val="00231742"/>
    <w:rsid w:val="00242106"/>
    <w:rsid w:val="00242D0D"/>
    <w:rsid w:val="00265E4D"/>
    <w:rsid w:val="0026637D"/>
    <w:rsid w:val="00266BFE"/>
    <w:rsid w:val="00274F26"/>
    <w:rsid w:val="00283916"/>
    <w:rsid w:val="00286B79"/>
    <w:rsid w:val="00287C5D"/>
    <w:rsid w:val="002B2893"/>
    <w:rsid w:val="002B2EDB"/>
    <w:rsid w:val="002B41FA"/>
    <w:rsid w:val="002C257E"/>
    <w:rsid w:val="002C31E0"/>
    <w:rsid w:val="002C3BEE"/>
    <w:rsid w:val="002D18E3"/>
    <w:rsid w:val="002D5EC0"/>
    <w:rsid w:val="002E1E0C"/>
    <w:rsid w:val="002E2BA1"/>
    <w:rsid w:val="002E5296"/>
    <w:rsid w:val="002E6CD1"/>
    <w:rsid w:val="002E7FBB"/>
    <w:rsid w:val="00301091"/>
    <w:rsid w:val="00301DA0"/>
    <w:rsid w:val="00310C49"/>
    <w:rsid w:val="00315708"/>
    <w:rsid w:val="00317593"/>
    <w:rsid w:val="00322227"/>
    <w:rsid w:val="003309CF"/>
    <w:rsid w:val="00335E08"/>
    <w:rsid w:val="003436DE"/>
    <w:rsid w:val="00351453"/>
    <w:rsid w:val="0035296A"/>
    <w:rsid w:val="00354600"/>
    <w:rsid w:val="00354FD9"/>
    <w:rsid w:val="0036258E"/>
    <w:rsid w:val="00362E13"/>
    <w:rsid w:val="00374957"/>
    <w:rsid w:val="00375034"/>
    <w:rsid w:val="00375BE2"/>
    <w:rsid w:val="003765C4"/>
    <w:rsid w:val="00383877"/>
    <w:rsid w:val="003908A0"/>
    <w:rsid w:val="00390B0A"/>
    <w:rsid w:val="003925E3"/>
    <w:rsid w:val="00393B97"/>
    <w:rsid w:val="00393FF4"/>
    <w:rsid w:val="003A1691"/>
    <w:rsid w:val="003A2130"/>
    <w:rsid w:val="003A55FB"/>
    <w:rsid w:val="003B3C3D"/>
    <w:rsid w:val="003B4532"/>
    <w:rsid w:val="003B50A1"/>
    <w:rsid w:val="003B59A4"/>
    <w:rsid w:val="003B77B5"/>
    <w:rsid w:val="003C1AD1"/>
    <w:rsid w:val="003C3124"/>
    <w:rsid w:val="003C6954"/>
    <w:rsid w:val="003D0F97"/>
    <w:rsid w:val="003E6256"/>
    <w:rsid w:val="003E76CD"/>
    <w:rsid w:val="003F1E38"/>
    <w:rsid w:val="003F59DC"/>
    <w:rsid w:val="00402389"/>
    <w:rsid w:val="0040305E"/>
    <w:rsid w:val="0041013E"/>
    <w:rsid w:val="00416D50"/>
    <w:rsid w:val="0043062F"/>
    <w:rsid w:val="0043519B"/>
    <w:rsid w:val="0043615D"/>
    <w:rsid w:val="00437309"/>
    <w:rsid w:val="00437B14"/>
    <w:rsid w:val="004432B6"/>
    <w:rsid w:val="004563FF"/>
    <w:rsid w:val="00456CA3"/>
    <w:rsid w:val="00457D60"/>
    <w:rsid w:val="00466D13"/>
    <w:rsid w:val="00472847"/>
    <w:rsid w:val="00481999"/>
    <w:rsid w:val="00481C0B"/>
    <w:rsid w:val="004820B6"/>
    <w:rsid w:val="0048671B"/>
    <w:rsid w:val="0049154D"/>
    <w:rsid w:val="004A25C3"/>
    <w:rsid w:val="004A2F45"/>
    <w:rsid w:val="004B0C05"/>
    <w:rsid w:val="004B1E1B"/>
    <w:rsid w:val="004B3CDF"/>
    <w:rsid w:val="004C0EE3"/>
    <w:rsid w:val="004C183C"/>
    <w:rsid w:val="004C2377"/>
    <w:rsid w:val="004C27A0"/>
    <w:rsid w:val="004C357C"/>
    <w:rsid w:val="004D4B3B"/>
    <w:rsid w:val="004E04E2"/>
    <w:rsid w:val="004F064A"/>
    <w:rsid w:val="005046F8"/>
    <w:rsid w:val="00504D89"/>
    <w:rsid w:val="005111F4"/>
    <w:rsid w:val="00516173"/>
    <w:rsid w:val="005232F9"/>
    <w:rsid w:val="00524884"/>
    <w:rsid w:val="00526B7F"/>
    <w:rsid w:val="00530831"/>
    <w:rsid w:val="00530C6E"/>
    <w:rsid w:val="0053141A"/>
    <w:rsid w:val="00532248"/>
    <w:rsid w:val="00545F73"/>
    <w:rsid w:val="0054658D"/>
    <w:rsid w:val="00546940"/>
    <w:rsid w:val="0054785E"/>
    <w:rsid w:val="0055436A"/>
    <w:rsid w:val="00563E96"/>
    <w:rsid w:val="00575FF4"/>
    <w:rsid w:val="00583244"/>
    <w:rsid w:val="00586815"/>
    <w:rsid w:val="00591620"/>
    <w:rsid w:val="00593A22"/>
    <w:rsid w:val="00593A7E"/>
    <w:rsid w:val="005944EE"/>
    <w:rsid w:val="005A45BD"/>
    <w:rsid w:val="005A6279"/>
    <w:rsid w:val="005B119F"/>
    <w:rsid w:val="005B2709"/>
    <w:rsid w:val="005C0ED8"/>
    <w:rsid w:val="005C1EA1"/>
    <w:rsid w:val="005C6161"/>
    <w:rsid w:val="005D2619"/>
    <w:rsid w:val="005D2D7D"/>
    <w:rsid w:val="005D4B5A"/>
    <w:rsid w:val="005E0148"/>
    <w:rsid w:val="005E277D"/>
    <w:rsid w:val="005E36BA"/>
    <w:rsid w:val="005E6B70"/>
    <w:rsid w:val="005F5B08"/>
    <w:rsid w:val="0060583B"/>
    <w:rsid w:val="006120C1"/>
    <w:rsid w:val="006218D6"/>
    <w:rsid w:val="00622633"/>
    <w:rsid w:val="006231AD"/>
    <w:rsid w:val="00624223"/>
    <w:rsid w:val="006250C4"/>
    <w:rsid w:val="00631D57"/>
    <w:rsid w:val="00633345"/>
    <w:rsid w:val="006420B1"/>
    <w:rsid w:val="00645C4F"/>
    <w:rsid w:val="00650829"/>
    <w:rsid w:val="00651855"/>
    <w:rsid w:val="006524B1"/>
    <w:rsid w:val="00652A22"/>
    <w:rsid w:val="00653A24"/>
    <w:rsid w:val="0065499B"/>
    <w:rsid w:val="0065533D"/>
    <w:rsid w:val="00661FDA"/>
    <w:rsid w:val="00667575"/>
    <w:rsid w:val="006838F8"/>
    <w:rsid w:val="00695D49"/>
    <w:rsid w:val="00697445"/>
    <w:rsid w:val="006A0FA9"/>
    <w:rsid w:val="006A32CB"/>
    <w:rsid w:val="006A5765"/>
    <w:rsid w:val="006B1281"/>
    <w:rsid w:val="006B48BA"/>
    <w:rsid w:val="006B53D6"/>
    <w:rsid w:val="006C0DA0"/>
    <w:rsid w:val="006C4D9F"/>
    <w:rsid w:val="006C6E15"/>
    <w:rsid w:val="006C74F3"/>
    <w:rsid w:val="006E32DA"/>
    <w:rsid w:val="006E504D"/>
    <w:rsid w:val="006E6B18"/>
    <w:rsid w:val="006E7DF7"/>
    <w:rsid w:val="006F5961"/>
    <w:rsid w:val="006F79A3"/>
    <w:rsid w:val="0070620E"/>
    <w:rsid w:val="00711B8E"/>
    <w:rsid w:val="007170B1"/>
    <w:rsid w:val="00721598"/>
    <w:rsid w:val="00723602"/>
    <w:rsid w:val="007236CC"/>
    <w:rsid w:val="00740854"/>
    <w:rsid w:val="00740B02"/>
    <w:rsid w:val="00741916"/>
    <w:rsid w:val="007468C9"/>
    <w:rsid w:val="00750881"/>
    <w:rsid w:val="00751238"/>
    <w:rsid w:val="00754349"/>
    <w:rsid w:val="00761F30"/>
    <w:rsid w:val="00762EAE"/>
    <w:rsid w:val="00763EFF"/>
    <w:rsid w:val="00764BD7"/>
    <w:rsid w:val="00765D9B"/>
    <w:rsid w:val="00766C3A"/>
    <w:rsid w:val="00782732"/>
    <w:rsid w:val="00786A91"/>
    <w:rsid w:val="00787F1B"/>
    <w:rsid w:val="0079592B"/>
    <w:rsid w:val="007A1319"/>
    <w:rsid w:val="007A41E2"/>
    <w:rsid w:val="007A4FF9"/>
    <w:rsid w:val="007B0CCC"/>
    <w:rsid w:val="007C24F6"/>
    <w:rsid w:val="007D510D"/>
    <w:rsid w:val="007D71F8"/>
    <w:rsid w:val="007F009B"/>
    <w:rsid w:val="00800146"/>
    <w:rsid w:val="00803C11"/>
    <w:rsid w:val="00806733"/>
    <w:rsid w:val="00814FA8"/>
    <w:rsid w:val="00816191"/>
    <w:rsid w:val="008207BF"/>
    <w:rsid w:val="00823259"/>
    <w:rsid w:val="008239BE"/>
    <w:rsid w:val="008261C4"/>
    <w:rsid w:val="008312C9"/>
    <w:rsid w:val="008336FB"/>
    <w:rsid w:val="00835832"/>
    <w:rsid w:val="00837566"/>
    <w:rsid w:val="00842A00"/>
    <w:rsid w:val="008445B6"/>
    <w:rsid w:val="00845665"/>
    <w:rsid w:val="00846129"/>
    <w:rsid w:val="008513B9"/>
    <w:rsid w:val="0085196B"/>
    <w:rsid w:val="00853009"/>
    <w:rsid w:val="00863D95"/>
    <w:rsid w:val="00865A23"/>
    <w:rsid w:val="00877E38"/>
    <w:rsid w:val="008838FD"/>
    <w:rsid w:val="00892856"/>
    <w:rsid w:val="00893D32"/>
    <w:rsid w:val="0089480E"/>
    <w:rsid w:val="008A1DC5"/>
    <w:rsid w:val="008A55C9"/>
    <w:rsid w:val="008B29F0"/>
    <w:rsid w:val="008B2FD0"/>
    <w:rsid w:val="008B4756"/>
    <w:rsid w:val="008B5449"/>
    <w:rsid w:val="008B7B04"/>
    <w:rsid w:val="008C54E7"/>
    <w:rsid w:val="008C72E8"/>
    <w:rsid w:val="008D0F82"/>
    <w:rsid w:val="008D6D3B"/>
    <w:rsid w:val="008E262E"/>
    <w:rsid w:val="008E4205"/>
    <w:rsid w:val="009010AF"/>
    <w:rsid w:val="0090670B"/>
    <w:rsid w:val="00925F3F"/>
    <w:rsid w:val="0092687B"/>
    <w:rsid w:val="00930C95"/>
    <w:rsid w:val="00931133"/>
    <w:rsid w:val="00932225"/>
    <w:rsid w:val="00932E45"/>
    <w:rsid w:val="0093355A"/>
    <w:rsid w:val="00936B13"/>
    <w:rsid w:val="00936BB5"/>
    <w:rsid w:val="00944B09"/>
    <w:rsid w:val="0094578C"/>
    <w:rsid w:val="009510B5"/>
    <w:rsid w:val="00956F88"/>
    <w:rsid w:val="0096013A"/>
    <w:rsid w:val="0096034F"/>
    <w:rsid w:val="00960995"/>
    <w:rsid w:val="00971D1E"/>
    <w:rsid w:val="00975369"/>
    <w:rsid w:val="00975743"/>
    <w:rsid w:val="00975A32"/>
    <w:rsid w:val="009817B4"/>
    <w:rsid w:val="009A02C6"/>
    <w:rsid w:val="009A0601"/>
    <w:rsid w:val="009A0B06"/>
    <w:rsid w:val="009A28E0"/>
    <w:rsid w:val="009A39CA"/>
    <w:rsid w:val="009A4B67"/>
    <w:rsid w:val="009A77BA"/>
    <w:rsid w:val="009B063F"/>
    <w:rsid w:val="009B4D3A"/>
    <w:rsid w:val="009D20E9"/>
    <w:rsid w:val="009D23DA"/>
    <w:rsid w:val="009D5B54"/>
    <w:rsid w:val="009E4862"/>
    <w:rsid w:val="009F19C3"/>
    <w:rsid w:val="009F7BBC"/>
    <w:rsid w:val="00A12931"/>
    <w:rsid w:val="00A24F33"/>
    <w:rsid w:val="00A301BD"/>
    <w:rsid w:val="00A35F67"/>
    <w:rsid w:val="00A4213D"/>
    <w:rsid w:val="00A42E3F"/>
    <w:rsid w:val="00A46A53"/>
    <w:rsid w:val="00A55EE3"/>
    <w:rsid w:val="00A632E7"/>
    <w:rsid w:val="00A74B73"/>
    <w:rsid w:val="00A779D6"/>
    <w:rsid w:val="00A77FF9"/>
    <w:rsid w:val="00A817C7"/>
    <w:rsid w:val="00A83BB4"/>
    <w:rsid w:val="00A85FB1"/>
    <w:rsid w:val="00A86CF4"/>
    <w:rsid w:val="00A870D1"/>
    <w:rsid w:val="00A9245F"/>
    <w:rsid w:val="00A9322E"/>
    <w:rsid w:val="00A93E9C"/>
    <w:rsid w:val="00AA1F89"/>
    <w:rsid w:val="00AA4DF4"/>
    <w:rsid w:val="00AA618F"/>
    <w:rsid w:val="00AB2C99"/>
    <w:rsid w:val="00AB7E36"/>
    <w:rsid w:val="00AC0EF2"/>
    <w:rsid w:val="00AD2D71"/>
    <w:rsid w:val="00AD3B9F"/>
    <w:rsid w:val="00AD3ECF"/>
    <w:rsid w:val="00AD6A87"/>
    <w:rsid w:val="00AD6E80"/>
    <w:rsid w:val="00AD78C4"/>
    <w:rsid w:val="00AE0EC3"/>
    <w:rsid w:val="00AE4F3F"/>
    <w:rsid w:val="00AF2628"/>
    <w:rsid w:val="00B05456"/>
    <w:rsid w:val="00B06863"/>
    <w:rsid w:val="00B07AF1"/>
    <w:rsid w:val="00B121E7"/>
    <w:rsid w:val="00B13D73"/>
    <w:rsid w:val="00B21BAB"/>
    <w:rsid w:val="00B24030"/>
    <w:rsid w:val="00B43BDB"/>
    <w:rsid w:val="00B46719"/>
    <w:rsid w:val="00B51B79"/>
    <w:rsid w:val="00B67617"/>
    <w:rsid w:val="00B7100A"/>
    <w:rsid w:val="00B804AB"/>
    <w:rsid w:val="00B81536"/>
    <w:rsid w:val="00B91EB1"/>
    <w:rsid w:val="00B935B4"/>
    <w:rsid w:val="00B953F1"/>
    <w:rsid w:val="00B9579B"/>
    <w:rsid w:val="00B95AB7"/>
    <w:rsid w:val="00BA1BE2"/>
    <w:rsid w:val="00BA1F49"/>
    <w:rsid w:val="00BA7B46"/>
    <w:rsid w:val="00BB19BD"/>
    <w:rsid w:val="00BC0CA5"/>
    <w:rsid w:val="00BC7814"/>
    <w:rsid w:val="00BD2F2D"/>
    <w:rsid w:val="00BD77AE"/>
    <w:rsid w:val="00BE3AAF"/>
    <w:rsid w:val="00BF6527"/>
    <w:rsid w:val="00BF661F"/>
    <w:rsid w:val="00C12751"/>
    <w:rsid w:val="00C16D87"/>
    <w:rsid w:val="00C233DE"/>
    <w:rsid w:val="00C23F11"/>
    <w:rsid w:val="00C25805"/>
    <w:rsid w:val="00C26089"/>
    <w:rsid w:val="00C262CD"/>
    <w:rsid w:val="00C26952"/>
    <w:rsid w:val="00C26EB2"/>
    <w:rsid w:val="00C3005E"/>
    <w:rsid w:val="00C322A7"/>
    <w:rsid w:val="00C36A61"/>
    <w:rsid w:val="00C36A85"/>
    <w:rsid w:val="00C417CD"/>
    <w:rsid w:val="00C43C08"/>
    <w:rsid w:val="00C44850"/>
    <w:rsid w:val="00C46221"/>
    <w:rsid w:val="00C608F5"/>
    <w:rsid w:val="00C61784"/>
    <w:rsid w:val="00C65372"/>
    <w:rsid w:val="00C66671"/>
    <w:rsid w:val="00C66F83"/>
    <w:rsid w:val="00C751F7"/>
    <w:rsid w:val="00C83FCE"/>
    <w:rsid w:val="00C926DB"/>
    <w:rsid w:val="00CA01B7"/>
    <w:rsid w:val="00CA76F3"/>
    <w:rsid w:val="00CB299E"/>
    <w:rsid w:val="00CB41A3"/>
    <w:rsid w:val="00CB7B2A"/>
    <w:rsid w:val="00CC0ECE"/>
    <w:rsid w:val="00CC4879"/>
    <w:rsid w:val="00CD4500"/>
    <w:rsid w:val="00CD69CB"/>
    <w:rsid w:val="00CE1152"/>
    <w:rsid w:val="00CE4296"/>
    <w:rsid w:val="00CE5A03"/>
    <w:rsid w:val="00CF1B3B"/>
    <w:rsid w:val="00D0462F"/>
    <w:rsid w:val="00D07F33"/>
    <w:rsid w:val="00D1422C"/>
    <w:rsid w:val="00D212D5"/>
    <w:rsid w:val="00D21607"/>
    <w:rsid w:val="00D21A70"/>
    <w:rsid w:val="00D254A2"/>
    <w:rsid w:val="00D4059B"/>
    <w:rsid w:val="00D502CB"/>
    <w:rsid w:val="00D52953"/>
    <w:rsid w:val="00D55CA0"/>
    <w:rsid w:val="00D645B9"/>
    <w:rsid w:val="00D64F0D"/>
    <w:rsid w:val="00D721FC"/>
    <w:rsid w:val="00D73EA6"/>
    <w:rsid w:val="00D756BD"/>
    <w:rsid w:val="00D9592B"/>
    <w:rsid w:val="00D96F2F"/>
    <w:rsid w:val="00D975F2"/>
    <w:rsid w:val="00DA4A5E"/>
    <w:rsid w:val="00DB4CE4"/>
    <w:rsid w:val="00DD46B6"/>
    <w:rsid w:val="00DE03B0"/>
    <w:rsid w:val="00DE2A86"/>
    <w:rsid w:val="00DE4C89"/>
    <w:rsid w:val="00DE65F1"/>
    <w:rsid w:val="00DF3184"/>
    <w:rsid w:val="00DF4A0E"/>
    <w:rsid w:val="00DF5C79"/>
    <w:rsid w:val="00DF742A"/>
    <w:rsid w:val="00E07CCF"/>
    <w:rsid w:val="00E1027A"/>
    <w:rsid w:val="00E12825"/>
    <w:rsid w:val="00E1560A"/>
    <w:rsid w:val="00E15BE8"/>
    <w:rsid w:val="00E16FF4"/>
    <w:rsid w:val="00E17293"/>
    <w:rsid w:val="00E20A4A"/>
    <w:rsid w:val="00E2795A"/>
    <w:rsid w:val="00E30C03"/>
    <w:rsid w:val="00E33FE0"/>
    <w:rsid w:val="00E36D95"/>
    <w:rsid w:val="00E516C0"/>
    <w:rsid w:val="00E54E90"/>
    <w:rsid w:val="00E55746"/>
    <w:rsid w:val="00E56A0F"/>
    <w:rsid w:val="00E63C53"/>
    <w:rsid w:val="00E670DD"/>
    <w:rsid w:val="00E71885"/>
    <w:rsid w:val="00E72989"/>
    <w:rsid w:val="00E74AED"/>
    <w:rsid w:val="00E834EA"/>
    <w:rsid w:val="00E83685"/>
    <w:rsid w:val="00E84020"/>
    <w:rsid w:val="00E87935"/>
    <w:rsid w:val="00E90BC4"/>
    <w:rsid w:val="00E92E76"/>
    <w:rsid w:val="00E9634B"/>
    <w:rsid w:val="00E97F5B"/>
    <w:rsid w:val="00EA0121"/>
    <w:rsid w:val="00EA2398"/>
    <w:rsid w:val="00EB4529"/>
    <w:rsid w:val="00EB7D7C"/>
    <w:rsid w:val="00EC4235"/>
    <w:rsid w:val="00EC793A"/>
    <w:rsid w:val="00ED239D"/>
    <w:rsid w:val="00ED54BA"/>
    <w:rsid w:val="00EE18FA"/>
    <w:rsid w:val="00EF3EA0"/>
    <w:rsid w:val="00EF5F9C"/>
    <w:rsid w:val="00F01862"/>
    <w:rsid w:val="00F10596"/>
    <w:rsid w:val="00F1576A"/>
    <w:rsid w:val="00F203AE"/>
    <w:rsid w:val="00F21CA2"/>
    <w:rsid w:val="00F26A61"/>
    <w:rsid w:val="00F439A0"/>
    <w:rsid w:val="00F43F46"/>
    <w:rsid w:val="00F520BF"/>
    <w:rsid w:val="00F542C3"/>
    <w:rsid w:val="00F55917"/>
    <w:rsid w:val="00F5765B"/>
    <w:rsid w:val="00F60666"/>
    <w:rsid w:val="00F6123C"/>
    <w:rsid w:val="00F66CB6"/>
    <w:rsid w:val="00F67E60"/>
    <w:rsid w:val="00F70AEB"/>
    <w:rsid w:val="00F72F7C"/>
    <w:rsid w:val="00F7536A"/>
    <w:rsid w:val="00F866A7"/>
    <w:rsid w:val="00F939AF"/>
    <w:rsid w:val="00F93A93"/>
    <w:rsid w:val="00F94509"/>
    <w:rsid w:val="00FA0C00"/>
    <w:rsid w:val="00FA67A6"/>
    <w:rsid w:val="00FA6D38"/>
    <w:rsid w:val="00FB14B0"/>
    <w:rsid w:val="00FB212C"/>
    <w:rsid w:val="00FB2E25"/>
    <w:rsid w:val="00FB50E2"/>
    <w:rsid w:val="00FB630C"/>
    <w:rsid w:val="00FC50E8"/>
    <w:rsid w:val="00FD0896"/>
    <w:rsid w:val="00FD63AC"/>
    <w:rsid w:val="00FE1242"/>
    <w:rsid w:val="00FE3529"/>
    <w:rsid w:val="00FE386A"/>
    <w:rsid w:val="00FF36C5"/>
    <w:rsid w:val="00FF524F"/>
    <w:rsid w:val="00FF6A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CC59B"/>
  <w15:docId w15:val="{A1510301-B417-4F96-BD9E-BF08F12C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79C"/>
  </w:style>
  <w:style w:type="paragraph" w:styleId="Heading1">
    <w:name w:val="heading 1"/>
    <w:basedOn w:val="Normal"/>
    <w:next w:val="Normal"/>
    <w:link w:val="Heading1Char"/>
    <w:qFormat/>
    <w:rsid w:val="00644897"/>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semiHidden/>
    <w:unhideWhenUsed/>
    <w:qFormat/>
    <w:rsid w:val="00644897"/>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1"/>
    <w:next w:val="Normal1"/>
    <w:rsid w:val="000A3D4F"/>
    <w:pPr>
      <w:keepNext/>
      <w:keepLines/>
      <w:spacing w:before="280" w:after="80"/>
      <w:outlineLvl w:val="2"/>
    </w:pPr>
    <w:rPr>
      <w:b/>
      <w:sz w:val="28"/>
      <w:szCs w:val="28"/>
    </w:rPr>
  </w:style>
  <w:style w:type="paragraph" w:styleId="Heading4">
    <w:name w:val="heading 4"/>
    <w:basedOn w:val="Normal"/>
    <w:next w:val="Normal"/>
    <w:link w:val="Heading4Char"/>
    <w:qFormat/>
    <w:rsid w:val="003D0E64"/>
    <w:pPr>
      <w:keepNext/>
      <w:jc w:val="center"/>
      <w:outlineLvl w:val="3"/>
    </w:pPr>
    <w:rPr>
      <w:rFonts w:ascii="Times New Roman" w:eastAsia="Times New Roman" w:hAnsi="Times New Roman" w:cs="Times New Roman"/>
      <w:b/>
      <w:bCs/>
      <w:sz w:val="24"/>
      <w:szCs w:val="24"/>
      <w:lang w:val="en-US"/>
    </w:rPr>
  </w:style>
  <w:style w:type="paragraph" w:styleId="Heading5">
    <w:name w:val="heading 5"/>
    <w:basedOn w:val="Normal1"/>
    <w:next w:val="Normal1"/>
    <w:rsid w:val="000A3D4F"/>
    <w:pPr>
      <w:keepNext/>
      <w:keepLines/>
      <w:spacing w:before="220" w:after="40"/>
      <w:outlineLvl w:val="4"/>
    </w:pPr>
    <w:rPr>
      <w:b/>
    </w:rPr>
  </w:style>
  <w:style w:type="paragraph" w:styleId="Heading6">
    <w:name w:val="heading 6"/>
    <w:basedOn w:val="Normal1"/>
    <w:next w:val="Normal1"/>
    <w:rsid w:val="000A3D4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A3D4F"/>
  </w:style>
  <w:style w:type="paragraph" w:styleId="Title">
    <w:name w:val="Title"/>
    <w:basedOn w:val="Normal"/>
    <w:link w:val="TitleChar"/>
    <w:qFormat/>
    <w:rsid w:val="00644897"/>
    <w:pPr>
      <w:spacing w:line="480" w:lineRule="auto"/>
      <w:jc w:val="center"/>
    </w:pPr>
    <w:rPr>
      <w:rFonts w:ascii="Times New Roman" w:eastAsia="Times New Roman" w:hAnsi="Times New Roman" w:cs="Times New Roman"/>
      <w:b/>
      <w:bCs/>
      <w:sz w:val="24"/>
      <w:szCs w:val="20"/>
      <w:lang w:val="en-AU"/>
    </w:rPr>
  </w:style>
  <w:style w:type="paragraph" w:customStyle="1" w:styleId="Default">
    <w:name w:val="Default"/>
    <w:rsid w:val="00583312"/>
    <w:pPr>
      <w:autoSpaceDE w:val="0"/>
      <w:autoSpaceDN w:val="0"/>
      <w:adjustRightInd w:val="0"/>
    </w:pPr>
    <w:rPr>
      <w:rFonts w:ascii="Times New Roman" w:hAnsi="Times New Roman" w:cs="Times New Roman"/>
      <w:color w:val="000000"/>
      <w:sz w:val="24"/>
      <w:szCs w:val="24"/>
    </w:rPr>
  </w:style>
  <w:style w:type="character" w:customStyle="1" w:styleId="tlid-translation">
    <w:name w:val="tlid-translation"/>
    <w:basedOn w:val="DefaultParagraphFont"/>
    <w:rsid w:val="00583312"/>
  </w:style>
  <w:style w:type="paragraph" w:styleId="ListParagraph">
    <w:name w:val="List Paragraph"/>
    <w:basedOn w:val="Normal"/>
    <w:link w:val="ListParagraphChar"/>
    <w:uiPriority w:val="34"/>
    <w:qFormat/>
    <w:rsid w:val="00EB3BE7"/>
    <w:pPr>
      <w:spacing w:after="200" w:line="276" w:lineRule="auto"/>
      <w:ind w:left="720"/>
      <w:contextualSpacing/>
      <w:jc w:val="both"/>
    </w:pPr>
  </w:style>
  <w:style w:type="table" w:styleId="TableGrid">
    <w:name w:val="Table Grid"/>
    <w:basedOn w:val="TableNormal"/>
    <w:uiPriority w:val="39"/>
    <w:rsid w:val="00EB3BE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BC02F0"/>
    <w:pPr>
      <w:spacing w:before="100" w:beforeAutospacing="1" w:after="100" w:afterAutospacing="1"/>
    </w:pPr>
    <w:rPr>
      <w:rFonts w:ascii="Times New Roman" w:eastAsia="MS Mincho" w:hAnsi="Times New Roman" w:cs="Times New Roman"/>
      <w:sz w:val="24"/>
      <w:szCs w:val="24"/>
      <w:lang w:val="en-US" w:eastAsia="ja-JP"/>
    </w:rPr>
  </w:style>
  <w:style w:type="character" w:styleId="Hyperlink">
    <w:name w:val="Hyperlink"/>
    <w:basedOn w:val="DefaultParagraphFont"/>
    <w:uiPriority w:val="99"/>
    <w:unhideWhenUsed/>
    <w:rsid w:val="00BC02F0"/>
    <w:rPr>
      <w:color w:val="0000FF" w:themeColor="hyperlink"/>
      <w:u w:val="single"/>
    </w:rPr>
  </w:style>
  <w:style w:type="character" w:styleId="Strong">
    <w:name w:val="Strong"/>
    <w:basedOn w:val="DefaultParagraphFont"/>
    <w:qFormat/>
    <w:rsid w:val="00BC02F0"/>
    <w:rPr>
      <w:b/>
      <w:bCs/>
    </w:rPr>
  </w:style>
  <w:style w:type="character" w:customStyle="1" w:styleId="hps">
    <w:name w:val="hps"/>
    <w:basedOn w:val="DefaultParagraphFont"/>
    <w:rsid w:val="009D26B5"/>
  </w:style>
  <w:style w:type="character" w:customStyle="1" w:styleId="apple-style-span">
    <w:name w:val="apple-style-span"/>
    <w:basedOn w:val="DefaultParagraphFont"/>
    <w:rsid w:val="009D26B5"/>
  </w:style>
  <w:style w:type="character" w:customStyle="1" w:styleId="longtext">
    <w:name w:val="long_text"/>
    <w:rsid w:val="00BE0099"/>
  </w:style>
  <w:style w:type="paragraph" w:customStyle="1" w:styleId="Pa9">
    <w:name w:val="Pa9"/>
    <w:basedOn w:val="Default"/>
    <w:next w:val="Default"/>
    <w:uiPriority w:val="99"/>
    <w:rsid w:val="00BE0099"/>
    <w:pPr>
      <w:spacing w:line="241" w:lineRule="atLeast"/>
    </w:pPr>
    <w:rPr>
      <w:rFonts w:ascii="Gotham Book" w:hAnsi="Gotham Book"/>
      <w:color w:val="auto"/>
    </w:rPr>
  </w:style>
  <w:style w:type="character" w:customStyle="1" w:styleId="A12">
    <w:name w:val="A12"/>
    <w:uiPriority w:val="99"/>
    <w:rsid w:val="00BE0099"/>
    <w:rPr>
      <w:rFonts w:ascii="Helvetica Neue LT" w:hAnsi="Helvetica Neue LT" w:cs="Helvetica Neue LT"/>
      <w:color w:val="000000"/>
      <w:sz w:val="11"/>
      <w:szCs w:val="11"/>
    </w:rPr>
  </w:style>
  <w:style w:type="paragraph" w:styleId="BalloonText">
    <w:name w:val="Balloon Text"/>
    <w:basedOn w:val="Normal"/>
    <w:link w:val="BalloonTextChar"/>
    <w:unhideWhenUsed/>
    <w:rsid w:val="003D0E64"/>
    <w:rPr>
      <w:rFonts w:ascii="Tahoma" w:hAnsi="Tahoma" w:cs="Tahoma"/>
      <w:sz w:val="16"/>
      <w:szCs w:val="16"/>
    </w:rPr>
  </w:style>
  <w:style w:type="character" w:customStyle="1" w:styleId="BalloonTextChar">
    <w:name w:val="Balloon Text Char"/>
    <w:basedOn w:val="DefaultParagraphFont"/>
    <w:link w:val="BalloonText"/>
    <w:rsid w:val="003D0E64"/>
    <w:rPr>
      <w:rFonts w:ascii="Tahoma" w:hAnsi="Tahoma" w:cs="Tahoma"/>
      <w:sz w:val="16"/>
      <w:szCs w:val="16"/>
    </w:rPr>
  </w:style>
  <w:style w:type="paragraph" w:styleId="BodyText2">
    <w:name w:val="Body Text 2"/>
    <w:basedOn w:val="Normal"/>
    <w:link w:val="BodyText2Char"/>
    <w:rsid w:val="003D0E64"/>
    <w:pPr>
      <w:spacing w:line="480" w:lineRule="auto"/>
      <w:jc w:val="both"/>
    </w:pPr>
    <w:rPr>
      <w:rFonts w:ascii="Times New Roman" w:eastAsia="Times New Roman" w:hAnsi="Times New Roman" w:cs="Times New Roman"/>
      <w:color w:val="000080"/>
      <w:sz w:val="24"/>
      <w:szCs w:val="24"/>
      <w:lang w:val="en-US"/>
    </w:rPr>
  </w:style>
  <w:style w:type="character" w:customStyle="1" w:styleId="BodyText2Char">
    <w:name w:val="Body Text 2 Char"/>
    <w:basedOn w:val="DefaultParagraphFont"/>
    <w:link w:val="BodyText2"/>
    <w:rsid w:val="003D0E64"/>
    <w:rPr>
      <w:rFonts w:ascii="Times New Roman" w:eastAsia="Times New Roman" w:hAnsi="Times New Roman" w:cs="Times New Roman"/>
      <w:color w:val="000080"/>
      <w:sz w:val="24"/>
      <w:szCs w:val="24"/>
      <w:lang w:val="en-US"/>
    </w:rPr>
  </w:style>
  <w:style w:type="character" w:customStyle="1" w:styleId="Heading4Char">
    <w:name w:val="Heading 4 Char"/>
    <w:basedOn w:val="DefaultParagraphFont"/>
    <w:link w:val="Heading4"/>
    <w:rsid w:val="003D0E64"/>
    <w:rPr>
      <w:rFonts w:ascii="Times New Roman" w:eastAsia="Times New Roman" w:hAnsi="Times New Roman" w:cs="Times New Roman"/>
      <w:b/>
      <w:bCs/>
      <w:sz w:val="24"/>
      <w:szCs w:val="24"/>
      <w:lang w:val="en-US"/>
    </w:rPr>
  </w:style>
  <w:style w:type="paragraph" w:styleId="Header">
    <w:name w:val="header"/>
    <w:basedOn w:val="Normal"/>
    <w:link w:val="HeaderChar"/>
    <w:uiPriority w:val="99"/>
    <w:rsid w:val="00644897"/>
    <w:pPr>
      <w:tabs>
        <w:tab w:val="center" w:pos="4320"/>
        <w:tab w:val="right" w:pos="8640"/>
      </w:tabs>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644897"/>
    <w:rPr>
      <w:rFonts w:ascii="Times New Roman" w:eastAsia="Times New Roman" w:hAnsi="Times New Roman" w:cs="Times New Roman"/>
      <w:sz w:val="24"/>
      <w:szCs w:val="24"/>
      <w:lang w:val="en-US"/>
    </w:rPr>
  </w:style>
  <w:style w:type="paragraph" w:styleId="BodyText">
    <w:name w:val="Body Text"/>
    <w:basedOn w:val="Normal"/>
    <w:link w:val="BodyTextChar"/>
    <w:unhideWhenUsed/>
    <w:rsid w:val="00644897"/>
    <w:pPr>
      <w:spacing w:after="120"/>
    </w:pPr>
  </w:style>
  <w:style w:type="character" w:customStyle="1" w:styleId="BodyTextChar">
    <w:name w:val="Body Text Char"/>
    <w:basedOn w:val="DefaultParagraphFont"/>
    <w:link w:val="BodyText"/>
    <w:uiPriority w:val="99"/>
    <w:semiHidden/>
    <w:rsid w:val="00644897"/>
  </w:style>
  <w:style w:type="paragraph" w:styleId="BodyTextIndent3">
    <w:name w:val="Body Text Indent 3"/>
    <w:basedOn w:val="Normal"/>
    <w:link w:val="BodyTextIndent3Char"/>
    <w:unhideWhenUsed/>
    <w:rsid w:val="0064489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44897"/>
    <w:rPr>
      <w:sz w:val="16"/>
      <w:szCs w:val="16"/>
    </w:rPr>
  </w:style>
  <w:style w:type="character" w:customStyle="1" w:styleId="Heading1Char">
    <w:name w:val="Heading 1 Char"/>
    <w:basedOn w:val="DefaultParagraphFont"/>
    <w:link w:val="Heading1"/>
    <w:rsid w:val="00644897"/>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semiHidden/>
    <w:rsid w:val="00644897"/>
    <w:rPr>
      <w:rFonts w:asciiTheme="majorHAnsi" w:eastAsiaTheme="majorEastAsia" w:hAnsiTheme="majorHAnsi" w:cstheme="majorBidi"/>
      <w:b/>
      <w:bCs/>
      <w:color w:val="4F81BD" w:themeColor="accent1"/>
      <w:sz w:val="26"/>
      <w:szCs w:val="26"/>
      <w:lang w:val="en-US"/>
    </w:rPr>
  </w:style>
  <w:style w:type="character" w:styleId="Emphasis">
    <w:name w:val="Emphasis"/>
    <w:basedOn w:val="DefaultParagraphFont"/>
    <w:uiPriority w:val="20"/>
    <w:qFormat/>
    <w:rsid w:val="00644897"/>
    <w:rPr>
      <w:i/>
      <w:iCs/>
    </w:rPr>
  </w:style>
  <w:style w:type="paragraph" w:styleId="Footer">
    <w:name w:val="footer"/>
    <w:basedOn w:val="Normal"/>
    <w:link w:val="FooterChar"/>
    <w:uiPriority w:val="99"/>
    <w:rsid w:val="00644897"/>
    <w:pPr>
      <w:tabs>
        <w:tab w:val="center" w:pos="4320"/>
        <w:tab w:val="right" w:pos="8640"/>
      </w:tabs>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644897"/>
    <w:rPr>
      <w:rFonts w:ascii="Times New Roman" w:eastAsia="Times New Roman" w:hAnsi="Times New Roman" w:cs="Times New Roman"/>
      <w:sz w:val="24"/>
      <w:szCs w:val="24"/>
      <w:lang w:val="en-US"/>
    </w:rPr>
  </w:style>
  <w:style w:type="character" w:styleId="PageNumber">
    <w:name w:val="page number"/>
    <w:basedOn w:val="DefaultParagraphFont"/>
    <w:rsid w:val="00644897"/>
  </w:style>
  <w:style w:type="paragraph" w:customStyle="1" w:styleId="cm6">
    <w:name w:val="cm6"/>
    <w:basedOn w:val="Normal"/>
    <w:rsid w:val="00644897"/>
    <w:pPr>
      <w:spacing w:before="100" w:beforeAutospacing="1" w:after="100" w:afterAutospacing="1"/>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644897"/>
    <w:pPr>
      <w:suppressAutoHyphens/>
      <w:spacing w:line="480" w:lineRule="auto"/>
      <w:ind w:firstLine="72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644897"/>
    <w:rPr>
      <w:rFonts w:ascii="Times New Roman" w:eastAsia="Times New Roman" w:hAnsi="Times New Roman" w:cs="Times New Roman"/>
      <w:sz w:val="24"/>
      <w:szCs w:val="24"/>
      <w:lang w:val="en-US"/>
    </w:rPr>
  </w:style>
  <w:style w:type="character" w:customStyle="1" w:styleId="Normal10">
    <w:name w:val="Normal1"/>
    <w:rsid w:val="00644897"/>
    <w:rPr>
      <w:rFonts w:ascii="Times New Roman" w:hAnsi="Times New Roman" w:cs="Times New Roman"/>
      <w:sz w:val="20"/>
      <w:szCs w:val="20"/>
    </w:rPr>
  </w:style>
  <w:style w:type="character" w:customStyle="1" w:styleId="CharacterStyle3">
    <w:name w:val="Character Style 3"/>
    <w:uiPriority w:val="99"/>
    <w:rsid w:val="00644897"/>
    <w:rPr>
      <w:rFonts w:ascii="Times New Roman" w:hAnsi="Times New Roman" w:cs="Times New Roman"/>
      <w:sz w:val="22"/>
      <w:szCs w:val="22"/>
    </w:rPr>
  </w:style>
  <w:style w:type="character" w:customStyle="1" w:styleId="CharacterStyle11">
    <w:name w:val="Character Style 11"/>
    <w:rsid w:val="00644897"/>
    <w:rPr>
      <w:rFonts w:ascii="Times New Roman" w:hAnsi="Times New Roman" w:cs="Times New Roman"/>
      <w:spacing w:val="5"/>
      <w:sz w:val="22"/>
      <w:szCs w:val="22"/>
    </w:rPr>
  </w:style>
  <w:style w:type="character" w:customStyle="1" w:styleId="CharacterStyle7">
    <w:name w:val="Character Style 7"/>
    <w:rsid w:val="00644897"/>
    <w:rPr>
      <w:rFonts w:ascii="Times New Roman" w:hAnsi="Times New Roman" w:cs="Times New Roman"/>
      <w:spacing w:val="10"/>
      <w:sz w:val="22"/>
      <w:szCs w:val="22"/>
    </w:rPr>
  </w:style>
  <w:style w:type="paragraph" w:styleId="Subtitle">
    <w:name w:val="Subtitle"/>
    <w:basedOn w:val="Normal"/>
    <w:next w:val="Normal"/>
    <w:link w:val="SubtitleChar"/>
    <w:rsid w:val="000A3D4F"/>
    <w:rPr>
      <w:rFonts w:ascii="Cambria" w:eastAsia="Cambria" w:hAnsi="Cambria" w:cs="Cambria"/>
      <w:i/>
      <w:color w:val="4F81BD"/>
      <w:sz w:val="24"/>
      <w:szCs w:val="24"/>
    </w:rPr>
  </w:style>
  <w:style w:type="character" w:customStyle="1" w:styleId="SubtitleChar">
    <w:name w:val="Subtitle Char"/>
    <w:basedOn w:val="DefaultParagraphFont"/>
    <w:link w:val="Subtitle"/>
    <w:rsid w:val="00644897"/>
    <w:rPr>
      <w:rFonts w:asciiTheme="majorHAnsi" w:eastAsiaTheme="majorEastAsia" w:hAnsiTheme="majorHAnsi" w:cstheme="majorBidi"/>
      <w:i/>
      <w:iCs/>
      <w:color w:val="4F81BD" w:themeColor="accent1"/>
      <w:spacing w:val="15"/>
      <w:sz w:val="24"/>
      <w:szCs w:val="24"/>
      <w:lang w:val="en-US"/>
    </w:rPr>
  </w:style>
  <w:style w:type="numbering" w:customStyle="1" w:styleId="Style1">
    <w:name w:val="Style1"/>
    <w:uiPriority w:val="99"/>
    <w:rsid w:val="00644897"/>
  </w:style>
  <w:style w:type="paragraph" w:customStyle="1" w:styleId="Style10">
    <w:name w:val="Style 1"/>
    <w:uiPriority w:val="99"/>
    <w:rsid w:val="00644897"/>
    <w:pPr>
      <w:widowControl w:val="0"/>
      <w:autoSpaceDE w:val="0"/>
      <w:autoSpaceDN w:val="0"/>
    </w:pPr>
    <w:rPr>
      <w:rFonts w:ascii="Times New Roman" w:eastAsiaTheme="minorEastAsia" w:hAnsi="Times New Roman" w:cs="Times New Roman"/>
      <w:sz w:val="20"/>
      <w:szCs w:val="20"/>
      <w:lang w:val="en-US"/>
    </w:rPr>
  </w:style>
  <w:style w:type="paragraph" w:customStyle="1" w:styleId="Style11">
    <w:name w:val="Style 11"/>
    <w:uiPriority w:val="99"/>
    <w:rsid w:val="00644897"/>
    <w:pPr>
      <w:widowControl w:val="0"/>
      <w:autoSpaceDE w:val="0"/>
      <w:autoSpaceDN w:val="0"/>
      <w:spacing w:before="72" w:line="480" w:lineRule="auto"/>
      <w:ind w:firstLine="720"/>
      <w:jc w:val="both"/>
    </w:pPr>
    <w:rPr>
      <w:rFonts w:ascii="Tahoma" w:eastAsiaTheme="minorEastAsia" w:hAnsi="Tahoma" w:cs="Tahoma"/>
      <w:lang w:val="en-US"/>
    </w:rPr>
  </w:style>
  <w:style w:type="character" w:customStyle="1" w:styleId="CharacterStyle1">
    <w:name w:val="Character Style 1"/>
    <w:uiPriority w:val="99"/>
    <w:rsid w:val="00644897"/>
    <w:rPr>
      <w:rFonts w:ascii="Tahoma" w:hAnsi="Tahoma"/>
      <w:sz w:val="22"/>
    </w:rPr>
  </w:style>
  <w:style w:type="paragraph" w:customStyle="1" w:styleId="Style4">
    <w:name w:val="Style 4"/>
    <w:uiPriority w:val="99"/>
    <w:rsid w:val="00644897"/>
    <w:pPr>
      <w:widowControl w:val="0"/>
      <w:autoSpaceDE w:val="0"/>
      <w:autoSpaceDN w:val="0"/>
      <w:spacing w:before="180" w:line="360" w:lineRule="auto"/>
      <w:ind w:left="144"/>
    </w:pPr>
    <w:rPr>
      <w:rFonts w:ascii="Arial" w:eastAsiaTheme="minorEastAsia" w:hAnsi="Arial" w:cs="Arial"/>
      <w:sz w:val="20"/>
      <w:szCs w:val="20"/>
      <w:lang w:val="en-US"/>
    </w:rPr>
  </w:style>
  <w:style w:type="character" w:customStyle="1" w:styleId="CharacterStyle12">
    <w:name w:val="Character Style 12"/>
    <w:uiPriority w:val="99"/>
    <w:rsid w:val="00644897"/>
    <w:rPr>
      <w:rFonts w:ascii="Arial" w:hAnsi="Arial"/>
      <w:sz w:val="20"/>
    </w:rPr>
  </w:style>
  <w:style w:type="paragraph" w:customStyle="1" w:styleId="Style5">
    <w:name w:val="Style 5"/>
    <w:uiPriority w:val="99"/>
    <w:rsid w:val="00644897"/>
    <w:pPr>
      <w:widowControl w:val="0"/>
      <w:autoSpaceDE w:val="0"/>
      <w:autoSpaceDN w:val="0"/>
      <w:spacing w:before="180" w:line="360" w:lineRule="auto"/>
      <w:ind w:left="144"/>
    </w:pPr>
    <w:rPr>
      <w:rFonts w:ascii="Arial" w:eastAsiaTheme="minorEastAsia" w:hAnsi="Arial" w:cs="Arial"/>
      <w:spacing w:val="5"/>
      <w:sz w:val="20"/>
      <w:szCs w:val="20"/>
      <w:lang w:val="en-US"/>
    </w:rPr>
  </w:style>
  <w:style w:type="paragraph" w:customStyle="1" w:styleId="Style3">
    <w:name w:val="Style 3"/>
    <w:uiPriority w:val="99"/>
    <w:rsid w:val="00644897"/>
    <w:pPr>
      <w:widowControl w:val="0"/>
      <w:autoSpaceDE w:val="0"/>
      <w:autoSpaceDN w:val="0"/>
      <w:spacing w:before="180" w:line="360" w:lineRule="auto"/>
    </w:pPr>
    <w:rPr>
      <w:rFonts w:ascii="Arial" w:eastAsiaTheme="minorEastAsia" w:hAnsi="Arial" w:cs="Arial"/>
      <w:lang w:val="en-US"/>
    </w:rPr>
  </w:style>
  <w:style w:type="character" w:customStyle="1" w:styleId="CharacterStyle4">
    <w:name w:val="Character Style 4"/>
    <w:uiPriority w:val="99"/>
    <w:rsid w:val="00644897"/>
    <w:rPr>
      <w:rFonts w:ascii="Arial" w:hAnsi="Arial"/>
      <w:sz w:val="22"/>
    </w:rPr>
  </w:style>
  <w:style w:type="character" w:customStyle="1" w:styleId="CharacterStyle5">
    <w:name w:val="Character Style 5"/>
    <w:uiPriority w:val="99"/>
    <w:rsid w:val="00644897"/>
    <w:rPr>
      <w:spacing w:val="5"/>
      <w:sz w:val="22"/>
    </w:rPr>
  </w:style>
  <w:style w:type="paragraph" w:customStyle="1" w:styleId="Style100">
    <w:name w:val="Style 10"/>
    <w:uiPriority w:val="99"/>
    <w:rsid w:val="00644897"/>
    <w:pPr>
      <w:widowControl w:val="0"/>
      <w:autoSpaceDE w:val="0"/>
      <w:autoSpaceDN w:val="0"/>
      <w:spacing w:before="36" w:line="480" w:lineRule="auto"/>
      <w:ind w:left="72" w:right="144" w:firstLine="720"/>
      <w:jc w:val="both"/>
    </w:pPr>
    <w:rPr>
      <w:rFonts w:ascii="Times New Roman" w:eastAsiaTheme="minorEastAsia" w:hAnsi="Times New Roman" w:cs="Times New Roman"/>
      <w:spacing w:val="5"/>
      <w:lang w:val="en-US"/>
    </w:rPr>
  </w:style>
  <w:style w:type="paragraph" w:customStyle="1" w:styleId="Style2">
    <w:name w:val="Style 2"/>
    <w:uiPriority w:val="99"/>
    <w:rsid w:val="00644897"/>
    <w:pPr>
      <w:widowControl w:val="0"/>
      <w:autoSpaceDE w:val="0"/>
      <w:autoSpaceDN w:val="0"/>
      <w:spacing w:before="72" w:line="480" w:lineRule="auto"/>
      <w:ind w:firstLine="648"/>
      <w:jc w:val="both"/>
    </w:pPr>
    <w:rPr>
      <w:rFonts w:ascii="Arial" w:eastAsiaTheme="minorEastAsia" w:hAnsi="Arial" w:cs="Arial"/>
      <w:lang w:val="en-US"/>
    </w:rPr>
  </w:style>
  <w:style w:type="paragraph" w:styleId="DocumentMap">
    <w:name w:val="Document Map"/>
    <w:basedOn w:val="Normal"/>
    <w:link w:val="DocumentMapChar"/>
    <w:rsid w:val="00644897"/>
    <w:rPr>
      <w:rFonts w:ascii="Tahoma" w:eastAsia="Times New Roman" w:hAnsi="Tahoma" w:cs="Tahoma"/>
      <w:sz w:val="16"/>
      <w:szCs w:val="16"/>
      <w:lang w:val="en-US"/>
    </w:rPr>
  </w:style>
  <w:style w:type="character" w:customStyle="1" w:styleId="DocumentMapChar">
    <w:name w:val="Document Map Char"/>
    <w:basedOn w:val="DefaultParagraphFont"/>
    <w:link w:val="DocumentMap"/>
    <w:rsid w:val="00644897"/>
    <w:rPr>
      <w:rFonts w:ascii="Tahoma" w:eastAsia="Times New Roman" w:hAnsi="Tahoma" w:cs="Tahoma"/>
      <w:sz w:val="16"/>
      <w:szCs w:val="16"/>
      <w:lang w:val="en-US"/>
    </w:rPr>
  </w:style>
  <w:style w:type="paragraph" w:styleId="BodyText3">
    <w:name w:val="Body Text 3"/>
    <w:basedOn w:val="Normal"/>
    <w:link w:val="BodyText3Char"/>
    <w:uiPriority w:val="99"/>
    <w:unhideWhenUsed/>
    <w:rsid w:val="00644897"/>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644897"/>
    <w:rPr>
      <w:rFonts w:ascii="Times New Roman" w:eastAsia="Times New Roman" w:hAnsi="Times New Roman" w:cs="Times New Roman"/>
      <w:sz w:val="16"/>
      <w:szCs w:val="16"/>
      <w:lang w:val="en-US"/>
    </w:rPr>
  </w:style>
  <w:style w:type="paragraph" w:styleId="BodyTextIndent2">
    <w:name w:val="Body Text Indent 2"/>
    <w:basedOn w:val="Normal"/>
    <w:link w:val="BodyTextIndent2Char"/>
    <w:rsid w:val="00644897"/>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644897"/>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644897"/>
    <w:rPr>
      <w:rFonts w:ascii="Times New Roman" w:eastAsia="Times New Roman" w:hAnsi="Times New Roman" w:cs="Times New Roman"/>
      <w:b/>
      <w:bCs/>
      <w:sz w:val="24"/>
      <w:szCs w:val="20"/>
      <w:lang w:val="en-AU"/>
    </w:rPr>
  </w:style>
  <w:style w:type="character" w:customStyle="1" w:styleId="CharacterStyle6">
    <w:name w:val="Character Style 6"/>
    <w:rsid w:val="00644897"/>
    <w:rPr>
      <w:rFonts w:ascii="Times New Roman" w:hAnsi="Times New Roman" w:cs="Times New Roman" w:hint="default"/>
      <w:sz w:val="24"/>
      <w:szCs w:val="24"/>
    </w:rPr>
  </w:style>
  <w:style w:type="table" w:customStyle="1" w:styleId="a">
    <w:basedOn w:val="TableNormal"/>
    <w:rsid w:val="000A3D4F"/>
    <w:pPr>
      <w:jc w:val="both"/>
    </w:pPr>
    <w:tblPr>
      <w:tblStyleRowBandSize w:val="1"/>
      <w:tblStyleColBandSize w:val="1"/>
    </w:tblPr>
  </w:style>
  <w:style w:type="table" w:customStyle="1" w:styleId="a0">
    <w:basedOn w:val="TableNormal"/>
    <w:rsid w:val="000A3D4F"/>
    <w:pPr>
      <w:jc w:val="both"/>
    </w:pPr>
    <w:tblPr>
      <w:tblStyleRowBandSize w:val="1"/>
      <w:tblStyleColBandSize w:val="1"/>
    </w:tblPr>
  </w:style>
  <w:style w:type="table" w:customStyle="1" w:styleId="a1">
    <w:basedOn w:val="TableNormal"/>
    <w:rsid w:val="000A3D4F"/>
    <w:tblPr>
      <w:tblStyleRowBandSize w:val="1"/>
      <w:tblStyleColBandSize w:val="1"/>
      <w:tblCellMar>
        <w:left w:w="115" w:type="dxa"/>
        <w:right w:w="115" w:type="dxa"/>
      </w:tblCellMar>
    </w:tblPr>
  </w:style>
  <w:style w:type="table" w:customStyle="1" w:styleId="a2">
    <w:basedOn w:val="TableNormal"/>
    <w:rsid w:val="000A3D4F"/>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unhideWhenUsed/>
    <w:rsid w:val="003D0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D0F97"/>
    <w:rPr>
      <w:rFonts w:ascii="Courier New" w:eastAsia="Times New Roman" w:hAnsi="Courier New" w:cs="Courier New"/>
      <w:sz w:val="20"/>
      <w:szCs w:val="20"/>
      <w:lang w:val="en-US"/>
    </w:rPr>
  </w:style>
  <w:style w:type="character" w:customStyle="1" w:styleId="ListParagraphChar">
    <w:name w:val="List Paragraph Char"/>
    <w:link w:val="ListParagraph"/>
    <w:uiPriority w:val="34"/>
    <w:rsid w:val="003D0F97"/>
  </w:style>
  <w:style w:type="paragraph" w:styleId="CommentText">
    <w:name w:val="annotation text"/>
    <w:basedOn w:val="Normal"/>
    <w:link w:val="CommentTextChar"/>
    <w:uiPriority w:val="99"/>
    <w:unhideWhenUsed/>
    <w:qFormat/>
    <w:rsid w:val="00E16FF4"/>
    <w:pPr>
      <w:widowControl w:val="0"/>
      <w:autoSpaceDE w:val="0"/>
      <w:autoSpaceDN w:val="0"/>
      <w:spacing w:after="160"/>
    </w:pPr>
    <w:rPr>
      <w:rFonts w:ascii="Times New Roman" w:eastAsia="Times New Roman" w:hAnsi="Times New Roman" w:cs="Times New Roman"/>
      <w:sz w:val="20"/>
      <w:szCs w:val="20"/>
      <w:lang w:val="en-US" w:bidi="en-US"/>
    </w:rPr>
  </w:style>
  <w:style w:type="character" w:customStyle="1" w:styleId="CommentTextChar">
    <w:name w:val="Comment Text Char"/>
    <w:basedOn w:val="DefaultParagraphFont"/>
    <w:link w:val="CommentText"/>
    <w:uiPriority w:val="99"/>
    <w:qFormat/>
    <w:rsid w:val="00E16FF4"/>
    <w:rPr>
      <w:rFonts w:ascii="Times New Roman" w:eastAsia="Times New Roman" w:hAnsi="Times New Roman" w:cs="Times New Roman"/>
      <w:sz w:val="20"/>
      <w:szCs w:val="20"/>
      <w:lang w:val="en-US" w:bidi="en-US"/>
    </w:rPr>
  </w:style>
  <w:style w:type="character" w:styleId="CommentReference">
    <w:name w:val="annotation reference"/>
    <w:basedOn w:val="DefaultParagraphFont"/>
    <w:uiPriority w:val="99"/>
    <w:semiHidden/>
    <w:unhideWhenUsed/>
    <w:qFormat/>
    <w:rsid w:val="00E16FF4"/>
    <w:rPr>
      <w:sz w:val="16"/>
      <w:szCs w:val="16"/>
    </w:rPr>
  </w:style>
  <w:style w:type="paragraph" w:styleId="Caption">
    <w:name w:val="caption"/>
    <w:next w:val="Normal"/>
    <w:uiPriority w:val="35"/>
    <w:semiHidden/>
    <w:unhideWhenUsed/>
    <w:qFormat/>
    <w:rsid w:val="004C2377"/>
    <w:pPr>
      <w:spacing w:after="200" w:line="276" w:lineRule="auto"/>
    </w:pPr>
    <w:rPr>
      <w:rFonts w:cs="Times New Roman" w:hint="eastAsia"/>
      <w:b/>
      <w:sz w:val="20"/>
      <w:szCs w:val="20"/>
      <w:lang w:val="en-US" w:eastAsia="zh-CN"/>
    </w:rPr>
  </w:style>
  <w:style w:type="paragraph" w:styleId="CommentSubject">
    <w:name w:val="annotation subject"/>
    <w:basedOn w:val="CommentText"/>
    <w:next w:val="CommentText"/>
    <w:link w:val="CommentSubjectChar"/>
    <w:uiPriority w:val="99"/>
    <w:semiHidden/>
    <w:unhideWhenUsed/>
    <w:rsid w:val="002E7FBB"/>
    <w:pPr>
      <w:widowControl/>
      <w:autoSpaceDE/>
      <w:autoSpaceDN/>
      <w:spacing w:after="0"/>
    </w:pPr>
    <w:rPr>
      <w:rFonts w:ascii="Calibri" w:eastAsia="Calibri" w:hAnsi="Calibri" w:cs="Calibri"/>
      <w:b/>
      <w:bCs/>
      <w:lang w:val="id-ID" w:bidi="ar-SA"/>
    </w:rPr>
  </w:style>
  <w:style w:type="character" w:customStyle="1" w:styleId="CommentSubjectChar">
    <w:name w:val="Comment Subject Char"/>
    <w:basedOn w:val="CommentTextChar"/>
    <w:link w:val="CommentSubject"/>
    <w:uiPriority w:val="99"/>
    <w:semiHidden/>
    <w:rsid w:val="002E7FBB"/>
    <w:rPr>
      <w:rFonts w:ascii="Times New Roman" w:eastAsia="Times New Roman" w:hAnsi="Times New Roman" w:cs="Times New Roman"/>
      <w:b/>
      <w:bCs/>
      <w:sz w:val="20"/>
      <w:szCs w:val="20"/>
      <w:lang w:val="en-US" w:bidi="en-US"/>
    </w:rPr>
  </w:style>
  <w:style w:type="paragraph" w:styleId="TOC1">
    <w:name w:val="toc 1"/>
    <w:basedOn w:val="Normal"/>
    <w:next w:val="Normal"/>
    <w:uiPriority w:val="39"/>
    <w:unhideWhenUsed/>
    <w:rsid w:val="00893D32"/>
    <w:pPr>
      <w:spacing w:after="200" w:line="276" w:lineRule="auto"/>
    </w:pPr>
    <w:rPr>
      <w:rFonts w:cs="Times New Roman"/>
      <w:lang w:val="en-US"/>
    </w:rPr>
  </w:style>
  <w:style w:type="character" w:styleId="UnresolvedMention">
    <w:name w:val="Unresolved Mention"/>
    <w:basedOn w:val="DefaultParagraphFont"/>
    <w:uiPriority w:val="99"/>
    <w:semiHidden/>
    <w:unhideWhenUsed/>
    <w:rsid w:val="00892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244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7509/jrak.v7i2.1723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A762B-38F4-404C-8F9B-D87BFECB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24732</Words>
  <Characters>140975</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Printed>2019-08-25T20:07:00Z</cp:lastPrinted>
  <dcterms:created xsi:type="dcterms:W3CDTF">2021-05-20T12:32:00Z</dcterms:created>
  <dcterms:modified xsi:type="dcterms:W3CDTF">2021-05-20T12:32:00Z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f75bb947-ff34-3b23-840d-cd1e669c744b</vt:lpwstr>
  </property>
</Properties>
</file>