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AF2" w:rsidRDefault="00077AF2" w:rsidP="009914A5">
      <w:pPr>
        <w:pStyle w:val="Authornames"/>
        <w:rPr>
          <w:b/>
        </w:rPr>
      </w:pPr>
      <w:r w:rsidRPr="00077AF2">
        <w:rPr>
          <w:b/>
        </w:rPr>
        <w:t xml:space="preserve">Perbedaan </w:t>
      </w:r>
      <w:r w:rsidRPr="009A2C86">
        <w:rPr>
          <w:b/>
          <w:i/>
        </w:rPr>
        <w:t>Physical Self-Concept</w:t>
      </w:r>
      <w:r w:rsidRPr="00077AF2">
        <w:rPr>
          <w:b/>
        </w:rPr>
        <w:t xml:space="preserve"> dan Aktivitas Fisik Usia Remaja: Apakah Ada </w:t>
      </w:r>
      <w:proofErr w:type="gramStart"/>
      <w:r w:rsidRPr="00077AF2">
        <w:rPr>
          <w:b/>
        </w:rPr>
        <w:t>Hubungannya ?</w:t>
      </w:r>
      <w:proofErr w:type="gramEnd"/>
    </w:p>
    <w:p w:rsidR="00077AF2" w:rsidRPr="00077AF2" w:rsidRDefault="00077AF2" w:rsidP="00077AF2"/>
    <w:p w:rsidR="00077AF2" w:rsidRDefault="00077AF2" w:rsidP="00A2360E">
      <w:pPr>
        <w:pStyle w:val="Affiliation"/>
        <w:rPr>
          <w:i w:val="0"/>
          <w:sz w:val="28"/>
        </w:rPr>
      </w:pPr>
      <w:r>
        <w:rPr>
          <w:i w:val="0"/>
          <w:sz w:val="28"/>
        </w:rPr>
        <w:t>Roni Kurniawan</w:t>
      </w:r>
      <w:r w:rsidRPr="00077AF2">
        <w:rPr>
          <w:i w:val="0"/>
          <w:sz w:val="28"/>
        </w:rPr>
        <w:t>, *Jajat, Nana Sutisna</w:t>
      </w:r>
    </w:p>
    <w:p w:rsidR="00077AF2" w:rsidRDefault="00077AF2" w:rsidP="00A2360E">
      <w:pPr>
        <w:pStyle w:val="Affiliation"/>
        <w:rPr>
          <w:i w:val="0"/>
          <w:sz w:val="28"/>
        </w:rPr>
      </w:pPr>
    </w:p>
    <w:p w:rsidR="00997B0F" w:rsidRPr="00077AF2" w:rsidRDefault="00077AF2" w:rsidP="00077AF2">
      <w:pPr>
        <w:rPr>
          <w:color w:val="000000" w:themeColor="text1"/>
        </w:rPr>
      </w:pPr>
      <w:r w:rsidRPr="00857042">
        <w:rPr>
          <w:color w:val="000000" w:themeColor="text1"/>
        </w:rPr>
        <w:t>*Co author</w:t>
      </w:r>
    </w:p>
    <w:p w:rsidR="00077AF2" w:rsidRPr="00077AF2" w:rsidRDefault="00077AF2" w:rsidP="00077AF2">
      <w:pPr>
        <w:pStyle w:val="Notesoncontributors"/>
        <w:rPr>
          <w:sz w:val="24"/>
        </w:rPr>
      </w:pPr>
      <w:r w:rsidRPr="00077AF2">
        <w:rPr>
          <w:sz w:val="24"/>
        </w:rPr>
        <w:t>Pendidikan Jasmani Kesehatan dan Rekreasi, Universitas Galuh Ciamis</w:t>
      </w:r>
    </w:p>
    <w:p w:rsidR="00077AF2" w:rsidRDefault="00077AF2" w:rsidP="00077AF2">
      <w:pPr>
        <w:pStyle w:val="Notesoncontributors"/>
        <w:rPr>
          <w:sz w:val="24"/>
        </w:rPr>
      </w:pPr>
      <w:proofErr w:type="gramStart"/>
      <w:r w:rsidRPr="00077AF2">
        <w:rPr>
          <w:sz w:val="24"/>
        </w:rPr>
        <w:t>email</w:t>
      </w:r>
      <w:proofErr w:type="gramEnd"/>
      <w:r w:rsidRPr="00077AF2">
        <w:rPr>
          <w:sz w:val="24"/>
        </w:rPr>
        <w:t xml:space="preserve">: </w:t>
      </w:r>
      <w:hyperlink r:id="rId8" w:history="1">
        <w:r w:rsidRPr="00AB42E0">
          <w:rPr>
            <w:rStyle w:val="Hyperlink"/>
            <w:sz w:val="24"/>
          </w:rPr>
          <w:t>ronikurniawan267@gmail.com</w:t>
        </w:r>
      </w:hyperlink>
    </w:p>
    <w:p w:rsidR="00C14585" w:rsidRDefault="007D54A1" w:rsidP="00077AF2">
      <w:pPr>
        <w:pStyle w:val="Notesoncontributors"/>
      </w:pPr>
      <w:r>
        <w:t>Biografhi singkat tentang penulis</w:t>
      </w:r>
      <w:r w:rsidR="00C14585">
        <w:t>.</w:t>
      </w:r>
    </w:p>
    <w:p w:rsidR="00FE4713" w:rsidRDefault="00FE4713" w:rsidP="00077AF2">
      <w:pPr>
        <w:pStyle w:val="Articletitle"/>
      </w:pPr>
    </w:p>
    <w:p w:rsidR="00077AF2" w:rsidRDefault="00077AF2" w:rsidP="00077AF2"/>
    <w:p w:rsidR="00077AF2" w:rsidRDefault="00077AF2" w:rsidP="00077AF2"/>
    <w:p w:rsidR="00077AF2" w:rsidRDefault="00077AF2" w:rsidP="00077AF2"/>
    <w:p w:rsidR="00077AF2" w:rsidRDefault="00077AF2" w:rsidP="00077AF2"/>
    <w:p w:rsidR="00077AF2" w:rsidRDefault="00077AF2" w:rsidP="00077AF2"/>
    <w:p w:rsidR="00077AF2" w:rsidRDefault="00077AF2" w:rsidP="00077AF2"/>
    <w:p w:rsidR="00077AF2" w:rsidRDefault="00077AF2" w:rsidP="00077AF2"/>
    <w:p w:rsidR="00077AF2" w:rsidRDefault="00077AF2" w:rsidP="00077AF2"/>
    <w:p w:rsidR="00077AF2" w:rsidRDefault="00077AF2" w:rsidP="00077AF2"/>
    <w:p w:rsidR="00077AF2" w:rsidRDefault="00077AF2" w:rsidP="00077AF2"/>
    <w:p w:rsidR="00077AF2" w:rsidRDefault="00077AF2" w:rsidP="00077AF2"/>
    <w:p w:rsidR="00077AF2" w:rsidRDefault="00077AF2" w:rsidP="00077AF2"/>
    <w:p w:rsidR="00077AF2" w:rsidRDefault="00077AF2" w:rsidP="00077AF2"/>
    <w:p w:rsidR="00077AF2" w:rsidRDefault="00077AF2" w:rsidP="00077AF2"/>
    <w:p w:rsidR="00077AF2" w:rsidRDefault="00077AF2" w:rsidP="00077AF2">
      <w:pPr>
        <w:pStyle w:val="Heading1"/>
        <w:jc w:val="both"/>
        <w:rPr>
          <w:sz w:val="28"/>
          <w:lang w:val="en-ID"/>
        </w:rPr>
      </w:pPr>
      <w:r w:rsidRPr="00077AF2">
        <w:rPr>
          <w:sz w:val="28"/>
          <w:lang w:val="en-ID"/>
        </w:rPr>
        <w:lastRenderedPageBreak/>
        <w:t xml:space="preserve">Perbedaan </w:t>
      </w:r>
      <w:r w:rsidRPr="00077AF2">
        <w:rPr>
          <w:i/>
          <w:sz w:val="28"/>
          <w:lang w:val="en-ID"/>
        </w:rPr>
        <w:t>Physical Self-Concept</w:t>
      </w:r>
      <w:r w:rsidRPr="00077AF2">
        <w:rPr>
          <w:sz w:val="28"/>
          <w:lang w:val="en-ID"/>
        </w:rPr>
        <w:t xml:space="preserve"> dan Aktivitas Fisik Usia Remaja: Apakah Ada </w:t>
      </w:r>
      <w:proofErr w:type="gramStart"/>
      <w:r w:rsidRPr="00077AF2">
        <w:rPr>
          <w:sz w:val="28"/>
          <w:lang w:val="en-ID"/>
        </w:rPr>
        <w:t>Hubungannya ?</w:t>
      </w:r>
      <w:proofErr w:type="gramEnd"/>
    </w:p>
    <w:p w:rsidR="00077AF2" w:rsidRPr="00077AF2" w:rsidRDefault="00077AF2" w:rsidP="00077AF2">
      <w:pPr>
        <w:pStyle w:val="Paragraph"/>
        <w:rPr>
          <w:lang w:val="en-ID"/>
        </w:rPr>
      </w:pPr>
    </w:p>
    <w:p w:rsidR="00077AF2" w:rsidRPr="00052A9C" w:rsidRDefault="00077AF2" w:rsidP="00077AF2">
      <w:pPr>
        <w:pStyle w:val="Abstrak"/>
        <w:spacing w:line="240" w:lineRule="auto"/>
      </w:pPr>
      <w:r w:rsidRPr="00052A9C">
        <w:t>ABSTRAK</w:t>
      </w:r>
    </w:p>
    <w:p w:rsidR="00077AF2" w:rsidRDefault="00077AF2" w:rsidP="00077AF2">
      <w:pPr>
        <w:spacing w:line="240" w:lineRule="auto"/>
        <w:jc w:val="both"/>
        <w:rPr>
          <w:lang w:val="en-ID"/>
        </w:rPr>
      </w:pPr>
      <w:r w:rsidRPr="00FB42D2">
        <w:rPr>
          <w:lang w:val="en-ID"/>
        </w:rPr>
        <w:t xml:space="preserve">Aktivitas fisik dikaitkan dengan penurunan mortalitas dari semua penyebab, penyakit kardiovaskular total fatal dan nonfatal, penurunan kejadian obesitas, diabetes mellitus tipe 2, kanker kolon, dan </w:t>
      </w:r>
      <w:r>
        <w:rPr>
          <w:lang w:val="en-ID"/>
        </w:rPr>
        <w:t xml:space="preserve">osteoporosis </w:t>
      </w:r>
      <w:r>
        <w:rPr>
          <w:lang w:val="en-ID"/>
        </w:rPr>
        <w:fldChar w:fldCharType="begin" w:fldLock="1"/>
      </w:r>
      <w:r>
        <w:rPr>
          <w:lang w:val="en-ID"/>
        </w:rPr>
        <w:instrText>ADDIN CSL_CITATION {"citationItems":[{"id":"ITEM-1","itemData":{"DOI":"10.1097/00005768-200106001-00003","ISBN":"0195-9131","ISSN":"0195-9131","PMID":"11427759","abstract":"Beneficial Effects of Physical Activity: The Panel concludes that a large body of evidence supports the contention that physical activity produces a number of major health benefits. Regular physical activity is associated with a reduction in all-cause mortality, fatal and nonfatal total cardiovascular disease, and coronary heart disease. It is also associated with a reduction in the incidence of obesity and type 2 diabetes mellitus, and an improvement in the metabolic control of individuals with established type 2 diabetes. Furthermore, physical activity is associated with a reduction in the incidence of colon cancer and osteoporosis. Further benefits of regular physical activity include improved physical function and independent living in the elderly. Individuals with high levels of physical activity are less likely than those with lower levels to develop depressive illness. Moreover in those with mild-to-moderate depression and anxiety, prescribed physical activity is associated with an improvement in symptoms. The Panel also recognizes the favorable impact of physical activity on several cardiovascular risk factors, including a reduction in blood pressure, improvement in the plasma lipid profile, and alterations in coagulation and hemostatic factors. Dose-Response Relationship of Physical Activity to Health Outcomes: There is an inverse and generally linear relationships for the rates of all-cause mortality, total CVD, and coronary heart disease incidence and for the incidence of type 2 diabetes mellitus. It is more difficult to determine a dose-response relationship for other health outcomes. Ther are several reasons for this diffulty: 1) the absence of studies defining a dose-responce; 2)lack of field methods sensitive and acurate enough to determine the dose of physical activity on some outcomes; 4) uncontrolled confounding factiors such as genetic variability; and 5) simultaneous changes in body weight and composition that accompanies physical activity. The Panel suggests that where a dose-response relationship cannot be proven, it may be sufficient to discover a level of physical activity for fitness that results in a beneficial effect. The greater the intensity and volume of exercise, the greater the risk of injury and harm, especially muskculoskeletal for most individuals and cardiovascular for those with underlying disease. When attempting to establish an optimal dose of physical activity for health, intensity is especially induced medical co…","author":[{"dropping-particle":"","family":"ANTERO KESANIEMI (Chair)","given":"Y.","non-dropping-particle":"","parse-names":false,"suffix":""},{"dropping-particle":"","family":"DANFORTH","given":"ELLIOT","non-dropping-particle":"","parse-names":false,"suffix":""},{"dropping-particle":"","family":"JENSEN","given":"MICHAEL D.","non-dropping-particle":"","parse-names":false,"suffix":""}],"container-title":"Medicine and Science in Sports and Exercise","id":"ITEM-1","issue":"Supplement","issued":{"date-parts":[["2001"]]},"page":"S351-S358","title":"Dose-response issues concerning physical activity and health: an evidence-based symposium","type":"article-journal","volume":"33"},"uris":["http://www.mendeley.com/documents/?uuid=ae769ac9-6d39-47c2-af83-75fd74fc0130"]}],"mendeley":{"formattedCitation":"(ANTERO KESANIEMI (Chair), DANFORTH, &amp; JENSEN, 2001)","manualFormatting":"(ANTERO KESANIEMI Chair; DANFORTH, &amp; JENSEN, 2001)","plainTextFormattedCitation":"(ANTERO KESANIEMI (Chair), DANFORTH, &amp; JENSEN, 2001)","previouslyFormattedCitation":"(ANTERO KESANIEMI (Chair), DANFORTH, &amp; JENSEN, 2001)"},"properties":{"noteIndex":0},"schema":"https://github.com/citation-style-language/schema/raw/master/csl-citation.json"}</w:instrText>
      </w:r>
      <w:r>
        <w:rPr>
          <w:lang w:val="en-ID"/>
        </w:rPr>
        <w:fldChar w:fldCharType="separate"/>
      </w:r>
      <w:r w:rsidRPr="00EC4A06">
        <w:rPr>
          <w:noProof/>
          <w:lang w:val="en-ID"/>
        </w:rPr>
        <w:t>(ANTERO KESANIEMI Chair</w:t>
      </w:r>
      <w:r>
        <w:rPr>
          <w:noProof/>
          <w:lang w:val="en-ID"/>
        </w:rPr>
        <w:t>;</w:t>
      </w:r>
      <w:r w:rsidRPr="00EC4A06">
        <w:rPr>
          <w:noProof/>
          <w:lang w:val="en-ID"/>
        </w:rPr>
        <w:t xml:space="preserve"> DANFORTH, &amp; JENSEN, 2001)</w:t>
      </w:r>
      <w:r>
        <w:rPr>
          <w:lang w:val="en-ID"/>
        </w:rPr>
        <w:fldChar w:fldCharType="end"/>
      </w:r>
      <w:r>
        <w:rPr>
          <w:lang w:val="en-ID"/>
        </w:rPr>
        <w:t>.</w:t>
      </w:r>
      <w:r w:rsidRPr="00FB42D2">
        <w:rPr>
          <w:lang w:val="en-ID"/>
        </w:rPr>
        <w:t xml:space="preserve"> Dengan aktivitas fisik secara teratur juga dapat meningkatkan kesehatan psikologis dan kebugaran fisik yang dapat mencegah berbagai penyakit termasuk kardiovaskular </w:t>
      </w:r>
      <w:r>
        <w:rPr>
          <w:lang w:val="en-ID"/>
        </w:rPr>
        <w:fldChar w:fldCharType="begin" w:fldLock="1"/>
      </w:r>
      <w:r>
        <w:rPr>
          <w:lang w:val="en-ID"/>
        </w:rPr>
        <w:instrText>ADDIN CSL_CITATION {"citationItems":[{"id":"ITEM-1","itemData":{"DOI":"10.1111/j.1742-1241.2008.01957.x","ISBN":"1742-1241","ISSN":"17421241","PMID":"19196369","abstract":"As the number of elderly persons in our country increases, more attention is being given to geriatric healthcare needs and successful ageing is becoming an important topic in medical literature. Concept of successful ageing is in first line on a preventive approach of care for older people. Promotion of regular physical activity is one of the main non-pharmaceutical measures proposed to older subjects as low rate of physical activity is frequently noticed in this age group. Moderate but regular physical activity is associated with a reduction in total mortality among older people, a positive effect on primary prevention of coronary heart disease and a significant benefit on the lipid profile. Improving body composition with a reduction in fat mass, reducing blood pressure and prevention of stroke, as well as type 2 diabetes, are also well established. Prevention of some cancers (especially that of breast and colon), increasing bone density and prevention of falls are also reported. Moreover, some longitudinal studies suggest that physical activity is linked to a reduced risk of developing dementia and Alzheimer?s disease in particular.","author":[{"dropping-particle":"","family":"Vogel","given":"T.","non-dropping-particle":"","parse-names":false,"suffix":""},{"dropping-particle":"","family":"Brechat","given":"P. H.","non-dropping-particle":"","parse-names":false,"suffix":""},{"dropping-particle":"","family":"Leprêtre","given":"P. M.","non-dropping-particle":"","parse-names":false,"suffix":""}],"container-title":"International Journal of Clinical Practice","id":"ITEM-1","issued":{"date-parts":[["2009"]]},"title":"Health benefits of physical activity in older patients: A review","type":"article"},"uris":["http://www.mendeley.com/documents/?uuid=328f3f6c-a5ba-4ced-9cc4-1fdddd28a350"]}],"mendeley":{"formattedCitation":"(Vogel, Brechat, &amp; Leprêtre, 2009)","manualFormatting":"(Vogel, Brechat, &amp; Leprêtre, 2009","plainTextFormattedCitation":"(Vogel, Brechat, &amp; Leprêtre, 2009)"},"properties":{"noteIndex":0},"schema":"https://github.com/citation-style-language/schema/raw/master/csl-citation.json"}</w:instrText>
      </w:r>
      <w:r>
        <w:rPr>
          <w:lang w:val="en-ID"/>
        </w:rPr>
        <w:fldChar w:fldCharType="separate"/>
      </w:r>
      <w:r w:rsidRPr="000B0BDC">
        <w:rPr>
          <w:noProof/>
          <w:lang w:val="en-ID"/>
        </w:rPr>
        <w:t>(Vogel, Brechat, &amp; Leprêtre, 2009</w:t>
      </w:r>
      <w:r>
        <w:rPr>
          <w:lang w:val="en-ID"/>
        </w:rPr>
        <w:fldChar w:fldCharType="end"/>
      </w:r>
      <w:r>
        <w:rPr>
          <w:lang w:val="en-ID"/>
        </w:rPr>
        <w:t>;</w:t>
      </w:r>
      <w:r w:rsidRPr="00FB42D2">
        <w:rPr>
          <w:lang w:val="en-ID"/>
        </w:rPr>
        <w:t xml:space="preserve"> </w:t>
      </w:r>
      <w:r>
        <w:rPr>
          <w:lang w:val="en-ID"/>
        </w:rPr>
        <w:fldChar w:fldCharType="begin" w:fldLock="1"/>
      </w:r>
      <w:r>
        <w:rPr>
          <w:lang w:val="en-ID"/>
        </w:rPr>
        <w:instrText>ADDIN CSL_CITATION {"citationItems":[{"id":"ITEM-1","itemData":{"DOI":"10.1111/j.1746-1561.2002.tb03562.x","ISBN":"0022-4391 (Print)","ISSN":"00224391","PMID":"12557633","abstract":"A four-page survey was administered to 535 adolescents at two single-sex (one male, one female) high schools in Cincinnati, Ohio, to examine whether perceptions of physical activity differed by gender. More specifically, the survey assessed perceived cues, benefits, and barriers to exercising. Results indicated that the most helpful cue to physical activity for both female and male students was \"having a friend to exercise with.\" The most commonly reported benefit of exercising among females was \"to stay in shape,\" whereas the most commonly reported benefit to exercising among males was \"to become strong.\" Among females, the most common barrier to exercising was \"having no time to exercise,\" whereas males were most likely to report \"wanting to do other things with my time.\" Multivariate analyses of covariance revealed that perceived cues, benefits, and barriers to physical activity differed significantly based on gender. Recommendations on specific strategies to increasing male and female adolescent physical activity levels are offered.","author":[{"dropping-particle":"","family":"Tergerson","given":"Jennifer L.","non-dropping-particle":"","parse-names":false,"suffix":""},{"dropping-particle":"","family":"King","given":"Keith A.","non-dropping-particle":"","parse-names":false,"suffix":""}],"container-title":"Journal of School Health","id":"ITEM-1","issued":{"date-parts":[["2002"]]},"title":"Do perceived cues, benefits, and barriers to physical activity differ between male and female adolescents?","type":"article-journal"},"uris":["http://www.mendeley.com/documents/?uuid=7a483263-fdaa-4a43-8e04-155ed6b6c37a"]}],"mendeley":{"formattedCitation":"(Tergerson &amp; King, 2002)","manualFormatting":"Tergerson &amp; King, 2002)","plainTextFormattedCitation":"(Tergerson &amp; King, 2002)","previouslyFormattedCitation":"(Tergerson &amp; King, 2002)"},"properties":{"noteIndex":0},"schema":"https://github.com/citation-style-language/schema/raw/master/csl-citation.json"}</w:instrText>
      </w:r>
      <w:r>
        <w:rPr>
          <w:lang w:val="en-ID"/>
        </w:rPr>
        <w:fldChar w:fldCharType="separate"/>
      </w:r>
      <w:r w:rsidRPr="00EC4A06">
        <w:rPr>
          <w:noProof/>
          <w:lang w:val="en-ID"/>
        </w:rPr>
        <w:t>Tergerson &amp; King, 2002)</w:t>
      </w:r>
      <w:r>
        <w:rPr>
          <w:lang w:val="en-ID"/>
        </w:rPr>
        <w:fldChar w:fldCharType="end"/>
      </w:r>
      <w:r w:rsidRPr="00FB42D2">
        <w:rPr>
          <w:lang w:val="en-ID"/>
        </w:rPr>
        <w:t xml:space="preserve">. Penelitian ini bertujuan mengetahui adanya hubungan </w:t>
      </w:r>
      <w:r w:rsidRPr="00C5017C">
        <w:rPr>
          <w:i/>
          <w:lang w:val="en-ID"/>
        </w:rPr>
        <w:t>physical self-concept</w:t>
      </w:r>
      <w:r w:rsidRPr="00FB42D2">
        <w:rPr>
          <w:lang w:val="en-ID"/>
        </w:rPr>
        <w:t xml:space="preserve"> dan aktivitas fisik terhadap </w:t>
      </w:r>
      <w:proofErr w:type="gramStart"/>
      <w:r>
        <w:rPr>
          <w:lang w:val="en-ID"/>
        </w:rPr>
        <w:t>usia</w:t>
      </w:r>
      <w:proofErr w:type="gramEnd"/>
      <w:r>
        <w:rPr>
          <w:lang w:val="en-ID"/>
        </w:rPr>
        <w:t xml:space="preserve"> remaja.</w:t>
      </w:r>
      <w:r w:rsidR="00034284" w:rsidRPr="00034284">
        <w:t xml:space="preserve"> </w:t>
      </w:r>
      <w:r w:rsidR="00034284" w:rsidRPr="00034284">
        <w:rPr>
          <w:lang w:val="en-ID"/>
        </w:rPr>
        <w:t xml:space="preserve">Hasil dari penelitian ini disimpulkan bahwa tidak terdapat hubungan yang signifikan dari </w:t>
      </w:r>
      <w:r w:rsidR="00034284" w:rsidRPr="00034284">
        <w:rPr>
          <w:i/>
          <w:lang w:val="en-ID"/>
        </w:rPr>
        <w:t>physical self-concept</w:t>
      </w:r>
      <w:r w:rsidR="00034284" w:rsidRPr="00034284">
        <w:rPr>
          <w:lang w:val="en-ID"/>
        </w:rPr>
        <w:t xml:space="preserve"> dan aktivitas fisik anak </w:t>
      </w:r>
      <w:proofErr w:type="gramStart"/>
      <w:r w:rsidR="00034284" w:rsidRPr="00034284">
        <w:rPr>
          <w:lang w:val="en-ID"/>
        </w:rPr>
        <w:t>usia</w:t>
      </w:r>
      <w:proofErr w:type="gramEnd"/>
      <w:r w:rsidR="00034284" w:rsidRPr="00034284">
        <w:rPr>
          <w:lang w:val="en-ID"/>
        </w:rPr>
        <w:t xml:space="preserve"> remaja.</w:t>
      </w:r>
      <w:r>
        <w:rPr>
          <w:lang w:val="en-ID"/>
        </w:rPr>
        <w:t xml:space="preserve"> Sampel berjumlah 50</w:t>
      </w:r>
      <w:r w:rsidRPr="00FB42D2">
        <w:rPr>
          <w:lang w:val="en-ID"/>
        </w:rPr>
        <w:t xml:space="preserve"> orang siswa SMA.</w:t>
      </w:r>
    </w:p>
    <w:p w:rsidR="00077AF2" w:rsidRDefault="00077AF2" w:rsidP="00077AF2">
      <w:pPr>
        <w:jc w:val="both"/>
        <w:rPr>
          <w:b/>
          <w:lang w:val="en-ID"/>
        </w:rPr>
      </w:pPr>
    </w:p>
    <w:p w:rsidR="00077AF2" w:rsidRPr="00077AF2" w:rsidRDefault="00077AF2" w:rsidP="00077AF2">
      <w:pPr>
        <w:spacing w:line="240" w:lineRule="auto"/>
        <w:jc w:val="both"/>
        <w:rPr>
          <w:b/>
          <w:lang w:val="en-ID"/>
        </w:rPr>
      </w:pPr>
      <w:r>
        <w:rPr>
          <w:b/>
          <w:lang w:val="en-ID"/>
        </w:rPr>
        <w:t>ABSTRACT</w:t>
      </w:r>
    </w:p>
    <w:p w:rsidR="00077AF2" w:rsidRDefault="00077AF2" w:rsidP="00077AF2">
      <w:pPr>
        <w:spacing w:line="240" w:lineRule="auto"/>
        <w:jc w:val="both"/>
      </w:pPr>
      <w:r>
        <w:t>P</w:t>
      </w:r>
      <w:r w:rsidRPr="009900A0">
        <w:t>hysical activity is related with decline in morality of all causes, total fatal and nonfatal cardiovascular disease, the decline in obesity, type 2 diabetes mellitus, colonic cancer, and osteoporosis</w:t>
      </w:r>
      <w:r>
        <w:t xml:space="preserve"> </w:t>
      </w:r>
      <w:r>
        <w:rPr>
          <w:lang w:val="en-ID"/>
        </w:rPr>
        <w:fldChar w:fldCharType="begin" w:fldLock="1"/>
      </w:r>
      <w:r>
        <w:rPr>
          <w:lang w:val="en-ID"/>
        </w:rPr>
        <w:instrText>ADDIN CSL_CITATION {"citationItems":[{"id":"ITEM-1","itemData":{"DOI":"10.1097/00005768-200106001-00003","ISBN":"0195-9131","ISSN":"0195-9131","PMID":"11427759","abstract":"Beneficial Effects of Physical Activity: The Panel concludes that a large body of evidence supports the contention that physical activity produces a number of major health benefits. Regular physical activity is associated with a reduction in all-cause mortality, fatal and nonfatal total cardiovascular disease, and coronary heart disease. It is also associated with a reduction in the incidence of obesity and type 2 diabetes mellitus, and an improvement in the metabolic control of individuals with established type 2 diabetes. Furthermore, physical activity is associated with a reduction in the incidence of colon cancer and osteoporosis. Further benefits of regular physical activity include improved physical function and independent living in the elderly. Individuals with high levels of physical activity are less likely than those with lower levels to develop depressive illness. Moreover in those with mild-to-moderate depression and anxiety, prescribed physical activity is associated with an improvement in symptoms. The Panel also recognizes the favorable impact of physical activity on several cardiovascular risk factors, including a reduction in blood pressure, improvement in the plasma lipid profile, and alterations in coagulation and hemostatic factors. Dose-Response Relationship of Physical Activity to Health Outcomes: There is an inverse and generally linear relationships for the rates of all-cause mortality, total CVD, and coronary heart disease incidence and for the incidence of type 2 diabetes mellitus. It is more difficult to determine a dose-response relationship for other health outcomes. Ther are several reasons for this diffulty: 1) the absence of studies defining a dose-responce; 2)lack of field methods sensitive and acurate enough to determine the dose of physical activity on some outcomes; 4) uncontrolled confounding factiors such as genetic variability; and 5) simultaneous changes in body weight and composition that accompanies physical activity. The Panel suggests that where a dose-response relationship cannot be proven, it may be sufficient to discover a level of physical activity for fitness that results in a beneficial effect. The greater the intensity and volume of exercise, the greater the risk of injury and harm, especially muskculoskeletal for most individuals and cardiovascular for those with underlying disease. When attempting to establish an optimal dose of physical activity for health, intensity is especially induced medical co…","author":[{"dropping-particle":"","family":"ANTERO KESANIEMI (Chair)","given":"Y.","non-dropping-particle":"","parse-names":false,"suffix":""},{"dropping-particle":"","family":"DANFORTH","given":"ELLIOT","non-dropping-particle":"","parse-names":false,"suffix":""},{"dropping-particle":"","family":"JENSEN","given":"MICHAEL D.","non-dropping-particle":"","parse-names":false,"suffix":""}],"container-title":"Medicine and Science in Sports and Exercise","id":"ITEM-1","issue":"Supplement","issued":{"date-parts":[["2001"]]},"page":"S351-S358","title":"Dose-response issues concerning physical activity and health: an evidence-based symposium","type":"article-journal","volume":"33"},"uris":["http://www.mendeley.com/documents/?uuid=ae769ac9-6d39-47c2-af83-75fd74fc0130"]}],"mendeley":{"formattedCitation":"(ANTERO KESANIEMI (Chair), DANFORTH, &amp; JENSEN, 2001)","manualFormatting":"(ANTERO KESANIEMI Chair; DANFORTH, &amp; JENSEN, 2001)","plainTextFormattedCitation":"(ANTERO KESANIEMI (Chair), DANFORTH, &amp; JENSEN, 2001)","previouslyFormattedCitation":"(ANTERO KESANIEMI (Chair), DANFORTH, &amp; JENSEN, 2001)"},"properties":{"noteIndex":0},"schema":"https://github.com/citation-style-language/schema/raw/master/csl-citation.json"}</w:instrText>
      </w:r>
      <w:r>
        <w:rPr>
          <w:lang w:val="en-ID"/>
        </w:rPr>
        <w:fldChar w:fldCharType="separate"/>
      </w:r>
      <w:r w:rsidRPr="00EC4A06">
        <w:rPr>
          <w:noProof/>
          <w:lang w:val="en-ID"/>
        </w:rPr>
        <w:t>(ANTERO KESANIEMI Chair</w:t>
      </w:r>
      <w:r>
        <w:rPr>
          <w:noProof/>
          <w:lang w:val="en-ID"/>
        </w:rPr>
        <w:t>;</w:t>
      </w:r>
      <w:r w:rsidRPr="00EC4A06">
        <w:rPr>
          <w:noProof/>
          <w:lang w:val="en-ID"/>
        </w:rPr>
        <w:t xml:space="preserve"> DANFORTH, &amp; JENSEN, 2001)</w:t>
      </w:r>
      <w:r>
        <w:rPr>
          <w:lang w:val="en-ID"/>
        </w:rPr>
        <w:fldChar w:fldCharType="end"/>
      </w:r>
      <w:r w:rsidRPr="009900A0">
        <w:t>. Regular physical activity can also improve psychological health and physical fitness which can prevent various diseases including cardiovascular</w:t>
      </w:r>
      <w:r>
        <w:t xml:space="preserve"> </w:t>
      </w:r>
      <w:r>
        <w:rPr>
          <w:lang w:val="en-ID"/>
        </w:rPr>
        <w:fldChar w:fldCharType="begin" w:fldLock="1"/>
      </w:r>
      <w:r>
        <w:rPr>
          <w:lang w:val="en-ID"/>
        </w:rPr>
        <w:instrText>ADDIN CSL_CITATION {"citationItems":[{"id":"ITEM-1","itemData":{"DOI":"10.1111/j.1742-1241.2008.01957.x","ISBN":"1742-1241","ISSN":"17421241","PMID":"19196369","abstract":"As the number of elderly persons in our country increases, more attention is being given to geriatric healthcare needs and successful ageing is becoming an important topic in medical literature. Concept of successful ageing is in first line on a preventive approach of care for older people. Promotion of regular physical activity is one of the main non-pharmaceutical measures proposed to older subjects as low rate of physical activity is frequently noticed in this age group. Moderate but regular physical activity is associated with a reduction in total mortality among older people, a positive effect on primary prevention of coronary heart disease and a significant benefit on the lipid profile. Improving body composition with a reduction in fat mass, reducing blood pressure and prevention of stroke, as well as type 2 diabetes, are also well established. Prevention of some cancers (especially that of breast and colon), increasing bone density and prevention of falls are also reported. Moreover, some longitudinal studies suggest that physical activity is linked to a reduced risk of developing dementia and Alzheimer?s disease in particular.","author":[{"dropping-particle":"","family":"Vogel","given":"T.","non-dropping-particle":"","parse-names":false,"suffix":""},{"dropping-particle":"","family":"Brechat","given":"P. H.","non-dropping-particle":"","parse-names":false,"suffix":""},{"dropping-particle":"","family":"Leprêtre","given":"P. M.","non-dropping-particle":"","parse-names":false,"suffix":""}],"container-title":"International Journal of Clinical Practice","id":"ITEM-1","issued":{"date-parts":[["2009"]]},"title":"Health benefits of physical activity in older patients: A review","type":"article"},"uris":["http://www.mendeley.com/documents/?uuid=328f3f6c-a5ba-4ced-9cc4-1fdddd28a350"]}],"mendeley":{"formattedCitation":"(Vogel, Brechat, &amp; Leprêtre, 2009)","manualFormatting":"(Vogel, Brechat, &amp; Leprêtre, 2009","plainTextFormattedCitation":"(Vogel, Brechat, &amp; Leprêtre, 2009)"},"properties":{"noteIndex":0},"schema":"https://github.com/citation-style-language/schema/raw/master/csl-citation.json"}</w:instrText>
      </w:r>
      <w:r>
        <w:rPr>
          <w:lang w:val="en-ID"/>
        </w:rPr>
        <w:fldChar w:fldCharType="separate"/>
      </w:r>
      <w:r w:rsidRPr="000B0BDC">
        <w:rPr>
          <w:noProof/>
          <w:lang w:val="en-ID"/>
        </w:rPr>
        <w:t>(Vogel, Brechat, &amp; Leprêtre, 2009</w:t>
      </w:r>
      <w:r>
        <w:rPr>
          <w:lang w:val="en-ID"/>
        </w:rPr>
        <w:fldChar w:fldCharType="end"/>
      </w:r>
      <w:r>
        <w:rPr>
          <w:lang w:val="en-ID"/>
        </w:rPr>
        <w:t>;</w:t>
      </w:r>
      <w:r w:rsidRPr="00FB42D2">
        <w:rPr>
          <w:lang w:val="en-ID"/>
        </w:rPr>
        <w:t xml:space="preserve"> </w:t>
      </w:r>
      <w:r>
        <w:rPr>
          <w:lang w:val="en-ID"/>
        </w:rPr>
        <w:fldChar w:fldCharType="begin" w:fldLock="1"/>
      </w:r>
      <w:r>
        <w:rPr>
          <w:lang w:val="en-ID"/>
        </w:rPr>
        <w:instrText>ADDIN CSL_CITATION {"citationItems":[{"id":"ITEM-1","itemData":{"DOI":"10.1111/j.1746-1561.2002.tb03562.x","ISBN":"0022-4391 (Print)","ISSN":"00224391","PMID":"12557633","abstract":"A four-page survey was administered to 535 adolescents at two single-sex (one male, one female) high schools in Cincinnati, Ohio, to examine whether perceptions of physical activity differed by gender. More specifically, the survey assessed perceived cues, benefits, and barriers to exercising. Results indicated that the most helpful cue to physical activity for both female and male students was \"having a friend to exercise with.\" The most commonly reported benefit of exercising among females was \"to stay in shape,\" whereas the most commonly reported benefit to exercising among males was \"to become strong.\" Among females, the most common barrier to exercising was \"having no time to exercise,\" whereas males were most likely to report \"wanting to do other things with my time.\" Multivariate analyses of covariance revealed that perceived cues, benefits, and barriers to physical activity differed significantly based on gender. Recommendations on specific strategies to increasing male and female adolescent physical activity levels are offered.","author":[{"dropping-particle":"","family":"Tergerson","given":"Jennifer L.","non-dropping-particle":"","parse-names":false,"suffix":""},{"dropping-particle":"","family":"King","given":"Keith A.","non-dropping-particle":"","parse-names":false,"suffix":""}],"container-title":"Journal of School Health","id":"ITEM-1","issued":{"date-parts":[["2002"]]},"title":"Do perceived cues, benefits, and barriers to physical activity differ between male and female adolescents?","type":"article-journal"},"uris":["http://www.mendeley.com/documents/?uuid=7a483263-fdaa-4a43-8e04-155ed6b6c37a"]}],"mendeley":{"formattedCitation":"(Tergerson &amp; King, 2002)","manualFormatting":"Tergerson &amp; King, 2002)","plainTextFormattedCitation":"(Tergerson &amp; King, 2002)","previouslyFormattedCitation":"(Tergerson &amp; King, 2002)"},"properties":{"noteIndex":0},"schema":"https://github.com/citation-style-language/schema/raw/master/csl-citation.json"}</w:instrText>
      </w:r>
      <w:r>
        <w:rPr>
          <w:lang w:val="en-ID"/>
        </w:rPr>
        <w:fldChar w:fldCharType="separate"/>
      </w:r>
      <w:r w:rsidRPr="00EC4A06">
        <w:rPr>
          <w:noProof/>
          <w:lang w:val="en-ID"/>
        </w:rPr>
        <w:t>Tergerson &amp; King, 2002)</w:t>
      </w:r>
      <w:r>
        <w:rPr>
          <w:lang w:val="en-ID"/>
        </w:rPr>
        <w:fldChar w:fldCharType="end"/>
      </w:r>
      <w:r w:rsidRPr="009900A0">
        <w:t xml:space="preserve">. This study aims to determine the relationship between </w:t>
      </w:r>
      <w:r w:rsidRPr="00034284">
        <w:rPr>
          <w:i/>
        </w:rPr>
        <w:t>physical self-concept</w:t>
      </w:r>
      <w:r w:rsidRPr="009900A0">
        <w:t xml:space="preserve"> and physical activity towards adoles</w:t>
      </w:r>
      <w:r>
        <w:t xml:space="preserve">cence. </w:t>
      </w:r>
      <w:r w:rsidR="00034284" w:rsidRPr="00034284">
        <w:t>The results of this study concluded that there was no significant relationship of physical self-concept and physical activity of adolescent children.</w:t>
      </w:r>
      <w:r w:rsidR="00034284">
        <w:t xml:space="preserve"> </w:t>
      </w:r>
      <w:r>
        <w:t>The sample amounted to 50</w:t>
      </w:r>
      <w:r w:rsidRPr="009900A0">
        <w:t xml:space="preserve"> high school students.</w:t>
      </w:r>
    </w:p>
    <w:p w:rsidR="00077AF2" w:rsidRPr="00B97AA3" w:rsidRDefault="00077AF2" w:rsidP="00077AF2">
      <w:pPr>
        <w:spacing w:line="240" w:lineRule="auto"/>
        <w:jc w:val="both"/>
      </w:pPr>
    </w:p>
    <w:p w:rsidR="00077AF2" w:rsidRDefault="00077AF2" w:rsidP="00077AF2">
      <w:pPr>
        <w:rPr>
          <w:lang w:val="en-ID"/>
        </w:rPr>
      </w:pPr>
      <w:r>
        <w:t>Keywords:</w:t>
      </w:r>
      <w:r w:rsidRPr="00077AF2">
        <w:rPr>
          <w:lang w:val="en-ID"/>
        </w:rPr>
        <w:t xml:space="preserve"> </w:t>
      </w:r>
      <w:r w:rsidRPr="004D1BF1">
        <w:rPr>
          <w:lang w:val="en-ID"/>
        </w:rPr>
        <w:t xml:space="preserve">Aktivitas Fisik, </w:t>
      </w:r>
      <w:r w:rsidRPr="00077AF2">
        <w:rPr>
          <w:i/>
          <w:lang w:val="en-ID"/>
        </w:rPr>
        <w:t>Physical self-concept</w:t>
      </w:r>
      <w:r w:rsidRPr="004D1BF1">
        <w:rPr>
          <w:lang w:val="en-ID"/>
        </w:rPr>
        <w:t xml:space="preserve">, </w:t>
      </w:r>
      <w:proofErr w:type="gramStart"/>
      <w:r w:rsidRPr="004D1BF1">
        <w:rPr>
          <w:lang w:val="en-ID"/>
        </w:rPr>
        <w:t>Usia</w:t>
      </w:r>
      <w:proofErr w:type="gramEnd"/>
      <w:r w:rsidRPr="004D1BF1">
        <w:rPr>
          <w:lang w:val="en-ID"/>
        </w:rPr>
        <w:t xml:space="preserve"> Remaja.</w:t>
      </w:r>
    </w:p>
    <w:p w:rsidR="00043BB6" w:rsidRDefault="00043BB6" w:rsidP="00077AF2">
      <w:pPr>
        <w:rPr>
          <w:lang w:val="en-ID"/>
        </w:rPr>
      </w:pPr>
    </w:p>
    <w:p w:rsidR="00043BB6" w:rsidRDefault="00043BB6" w:rsidP="00077AF2">
      <w:pPr>
        <w:rPr>
          <w:lang w:val="en-ID"/>
        </w:rPr>
      </w:pPr>
    </w:p>
    <w:p w:rsidR="00043BB6" w:rsidRDefault="00043BB6" w:rsidP="00077AF2">
      <w:pPr>
        <w:rPr>
          <w:lang w:val="en-ID"/>
        </w:rPr>
      </w:pPr>
    </w:p>
    <w:p w:rsidR="00043BB6" w:rsidRDefault="00043BB6" w:rsidP="00077AF2">
      <w:pPr>
        <w:rPr>
          <w:lang w:val="en-ID"/>
        </w:rPr>
      </w:pPr>
    </w:p>
    <w:p w:rsidR="00043BB6" w:rsidRDefault="00043BB6" w:rsidP="00077AF2">
      <w:pPr>
        <w:rPr>
          <w:lang w:val="en-ID"/>
        </w:rPr>
      </w:pPr>
    </w:p>
    <w:p w:rsidR="00043BB6" w:rsidRDefault="00043BB6" w:rsidP="00077AF2">
      <w:pPr>
        <w:rPr>
          <w:lang w:val="en-ID"/>
        </w:rPr>
      </w:pPr>
    </w:p>
    <w:p w:rsidR="00043BB6" w:rsidRDefault="00043BB6" w:rsidP="00077AF2">
      <w:pPr>
        <w:rPr>
          <w:lang w:val="en-ID"/>
        </w:rPr>
      </w:pPr>
    </w:p>
    <w:p w:rsidR="00043BB6" w:rsidRDefault="00043BB6" w:rsidP="00077AF2">
      <w:pPr>
        <w:rPr>
          <w:lang w:val="en-ID"/>
        </w:rPr>
      </w:pPr>
    </w:p>
    <w:p w:rsidR="00043BB6" w:rsidRDefault="00043BB6" w:rsidP="00077AF2">
      <w:pPr>
        <w:rPr>
          <w:lang w:val="en-ID"/>
        </w:rPr>
      </w:pPr>
    </w:p>
    <w:p w:rsidR="00043BB6" w:rsidRDefault="00043BB6" w:rsidP="00043BB6">
      <w:pPr>
        <w:pStyle w:val="Abstrak"/>
        <w:sectPr w:rsidR="00043BB6" w:rsidSect="00074B81">
          <w:headerReference w:type="even" r:id="rId9"/>
          <w:headerReference w:type="default" r:id="rId10"/>
          <w:footerReference w:type="even" r:id="rId11"/>
          <w:footerReference w:type="default" r:id="rId12"/>
          <w:headerReference w:type="first" r:id="rId13"/>
          <w:footerReference w:type="first" r:id="rId14"/>
          <w:pgSz w:w="11901" w:h="16840" w:code="9"/>
          <w:pgMar w:top="1418" w:right="1701" w:bottom="1418" w:left="1701" w:header="709" w:footer="709" w:gutter="0"/>
          <w:cols w:space="708"/>
          <w:docGrid w:linePitch="360"/>
        </w:sectPr>
      </w:pPr>
    </w:p>
    <w:p w:rsidR="00043BB6" w:rsidRPr="00052A9C" w:rsidRDefault="00043BB6" w:rsidP="00043BB6">
      <w:pPr>
        <w:pStyle w:val="Abstrak"/>
      </w:pPr>
      <w:bookmarkStart w:id="0" w:name="_GoBack"/>
      <w:bookmarkEnd w:id="0"/>
      <w:r w:rsidRPr="00052A9C">
        <w:lastRenderedPageBreak/>
        <w:t>PENDAHULUAN</w:t>
      </w:r>
    </w:p>
    <w:p w:rsidR="00043BB6" w:rsidRPr="004D1BF1" w:rsidRDefault="00043BB6" w:rsidP="00043BB6">
      <w:pPr>
        <w:spacing w:line="360" w:lineRule="auto"/>
        <w:ind w:firstLine="720"/>
        <w:jc w:val="both"/>
        <w:rPr>
          <w:lang w:val="en-ID"/>
        </w:rPr>
      </w:pPr>
      <w:r w:rsidRPr="004D1BF1">
        <w:rPr>
          <w:i/>
          <w:lang w:val="en-ID"/>
        </w:rPr>
        <w:t>Physical self-concept</w:t>
      </w:r>
      <w:r w:rsidRPr="004D1BF1">
        <w:rPr>
          <w:lang w:val="en-ID"/>
        </w:rPr>
        <w:t xml:space="preserve"> adalah </w:t>
      </w:r>
      <w:proofErr w:type="gramStart"/>
      <w:r w:rsidRPr="004D1BF1">
        <w:rPr>
          <w:lang w:val="en-ID"/>
        </w:rPr>
        <w:t>cara</w:t>
      </w:r>
      <w:proofErr w:type="gramEnd"/>
      <w:r w:rsidRPr="004D1BF1">
        <w:rPr>
          <w:lang w:val="en-ID"/>
        </w:rPr>
        <w:t xml:space="preserve"> pandang dan sikap seseorang terhadap dirinya sendiri. </w:t>
      </w:r>
      <w:r w:rsidRPr="00E41003">
        <w:rPr>
          <w:i/>
          <w:lang w:val="en-ID"/>
        </w:rPr>
        <w:t>Physical self-concept</w:t>
      </w:r>
      <w:r w:rsidRPr="004D1BF1">
        <w:rPr>
          <w:lang w:val="en-ID"/>
        </w:rPr>
        <w:t xml:space="preserve"> sangat erat hubungannya dengan dimensi fisik, karakter individu, dan motivasi diri. Pandangan diri atau konsep diri ini mencakup berbagai kekuatan individual dan juga kelemahannya, bahkan termasuk kegagalannya.</w:t>
      </w:r>
    </w:p>
    <w:p w:rsidR="00043BB6" w:rsidRPr="004D1BF1" w:rsidRDefault="00043BB6" w:rsidP="00043BB6">
      <w:pPr>
        <w:spacing w:line="360" w:lineRule="auto"/>
        <w:ind w:firstLine="720"/>
        <w:jc w:val="both"/>
        <w:rPr>
          <w:lang w:val="en-ID"/>
        </w:rPr>
      </w:pPr>
      <w:r w:rsidRPr="00E41003">
        <w:rPr>
          <w:i/>
          <w:lang w:val="en-ID"/>
        </w:rPr>
        <w:t>Physical self-concept</w:t>
      </w:r>
      <w:r w:rsidRPr="004D1BF1">
        <w:rPr>
          <w:lang w:val="en-ID"/>
        </w:rPr>
        <w:t xml:space="preserve"> sangat penting untuk kesejahteraan </w:t>
      </w:r>
      <w:proofErr w:type="gramStart"/>
      <w:r w:rsidRPr="004D1BF1">
        <w:rPr>
          <w:lang w:val="en-ID"/>
        </w:rPr>
        <w:t>psikologis  (</w:t>
      </w:r>
      <w:proofErr w:type="gramEnd"/>
      <w:r w:rsidRPr="004D1BF1">
        <w:rPr>
          <w:lang w:val="en-ID"/>
        </w:rPr>
        <w:t xml:space="preserve">Craven &amp; Marsh, 2008) dan merupakan istilah yang digunakan untuk menggambarkan kesadaran individu tentang kualitas dan keterbatasan mereka (Daniels, 2000). Individu yang merasa baik tentang diri mereka dan kemampuan mereka tahan terhadap tantangan hidup, dan </w:t>
      </w:r>
      <w:r w:rsidRPr="00E41003">
        <w:rPr>
          <w:i/>
          <w:lang w:val="en-ID"/>
        </w:rPr>
        <w:t>physical self-concept</w:t>
      </w:r>
      <w:r w:rsidRPr="004D1BF1">
        <w:rPr>
          <w:lang w:val="en-ID"/>
        </w:rPr>
        <w:t xml:space="preserve"> memfasilitasi aspek-aspek lain dari kesejahteraan, termasuk kebahagiaan, motivasi, dan kecemasan (Craven &amp; Marsh, 2008).</w:t>
      </w:r>
    </w:p>
    <w:p w:rsidR="00043BB6" w:rsidRPr="004D1BF1" w:rsidRDefault="00043BB6" w:rsidP="00043BB6">
      <w:pPr>
        <w:spacing w:line="360" w:lineRule="auto"/>
        <w:ind w:firstLine="720"/>
        <w:jc w:val="both"/>
        <w:rPr>
          <w:lang w:val="en-ID"/>
        </w:rPr>
      </w:pPr>
      <w:r w:rsidRPr="004D1BF1">
        <w:rPr>
          <w:lang w:val="en-ID"/>
        </w:rPr>
        <w:t xml:space="preserve">Faktor ini mengacu pada persepsi penampilan fisik dan kondisi fisik sendiri, itu dianggap sebagai faktor mendasar ketika datang ke pengembangan </w:t>
      </w:r>
      <w:proofErr w:type="gramStart"/>
      <w:r w:rsidRPr="004D1BF1">
        <w:rPr>
          <w:lang w:val="en-ID"/>
        </w:rPr>
        <w:t>gaya</w:t>
      </w:r>
      <w:proofErr w:type="gramEnd"/>
      <w:r w:rsidRPr="004D1BF1">
        <w:rPr>
          <w:lang w:val="en-ID"/>
        </w:rPr>
        <w:t xml:space="preserve"> hidup kita. Saat ini </w:t>
      </w:r>
      <w:r w:rsidRPr="00E41003">
        <w:rPr>
          <w:i/>
          <w:lang w:val="en-ID"/>
        </w:rPr>
        <w:t>physical self-concept</w:t>
      </w:r>
      <w:r w:rsidRPr="004D1BF1">
        <w:rPr>
          <w:lang w:val="en-ID"/>
        </w:rPr>
        <w:t xml:space="preserve"> mengambil peran dalam model teoritis konsep diri. Model empat dimensi adalah yang paling relevan dari se</w:t>
      </w:r>
      <w:r>
        <w:rPr>
          <w:lang w:val="en-ID"/>
        </w:rPr>
        <w:t xml:space="preserve">mua dan mencakup </w:t>
      </w:r>
      <w:r>
        <w:rPr>
          <w:lang w:val="en-ID"/>
        </w:rPr>
        <w:lastRenderedPageBreak/>
        <w:t>dimensi keahlian fisik, kondisi fisik, daya tarik dan kekuatan f</w:t>
      </w:r>
      <w:r w:rsidRPr="004D1BF1">
        <w:rPr>
          <w:lang w:val="en-ID"/>
        </w:rPr>
        <w:t xml:space="preserve">isik (Gónzalez Fernández, 2011). </w:t>
      </w:r>
    </w:p>
    <w:p w:rsidR="00043BB6" w:rsidRDefault="00043BB6" w:rsidP="00043BB6">
      <w:pPr>
        <w:spacing w:line="360" w:lineRule="auto"/>
        <w:ind w:firstLine="720"/>
        <w:jc w:val="both"/>
        <w:rPr>
          <w:lang w:val="en-ID"/>
        </w:rPr>
      </w:pPr>
      <w:r w:rsidRPr="00E41003">
        <w:rPr>
          <w:i/>
          <w:lang w:val="en-ID"/>
        </w:rPr>
        <w:t>Physical self-concept</w:t>
      </w:r>
      <w:r w:rsidRPr="004D1BF1">
        <w:rPr>
          <w:lang w:val="en-ID"/>
        </w:rPr>
        <w:t xml:space="preserve"> yang tinggi berarti individu yang menganggap diri mereka menarik secara fisik, dan yang menjaga diri mereka sendiri dan berhasil mempraktikkan beberapa olahraga. Mereka yang tidak menganggap diri mereka sendiri memiliki konsep diri yang rendah. Model </w:t>
      </w:r>
      <w:r w:rsidRPr="00E41003">
        <w:rPr>
          <w:i/>
          <w:lang w:val="en-ID"/>
        </w:rPr>
        <w:t>physical self-concept</w:t>
      </w:r>
      <w:r w:rsidRPr="004D1BF1">
        <w:rPr>
          <w:lang w:val="en-ID"/>
        </w:rPr>
        <w:t xml:space="preserve"> adalah salah satu pendekatan teoretis yang penting untuk menggambarkan dan menilai ketrampilan subjektif. Menurut (Daniels, 2000), </w:t>
      </w:r>
      <w:r w:rsidRPr="00E41003">
        <w:rPr>
          <w:i/>
          <w:lang w:val="en-ID"/>
        </w:rPr>
        <w:t>physical self-concept</w:t>
      </w:r>
      <w:r w:rsidRPr="004D1BF1">
        <w:rPr>
          <w:lang w:val="en-ID"/>
        </w:rPr>
        <w:t xml:space="preserve"> merepresentasikan dari dirinya.</w:t>
      </w:r>
    </w:p>
    <w:p w:rsidR="00043BB6" w:rsidRPr="004D1BF1" w:rsidRDefault="00043BB6" w:rsidP="00043BB6">
      <w:pPr>
        <w:spacing w:line="360" w:lineRule="auto"/>
        <w:ind w:firstLine="720"/>
        <w:jc w:val="both"/>
        <w:rPr>
          <w:lang w:val="en-ID"/>
        </w:rPr>
      </w:pPr>
      <w:r w:rsidRPr="004D1BF1">
        <w:rPr>
          <w:lang w:val="en-ID"/>
        </w:rPr>
        <w:t xml:space="preserve">Aktivitas fisik memiliki dampak besar pada kesehatan. Beberapa efek telah ditetapkan sebagai komponen utama pengeluaran energi, aktivitas fisik memiliki pengaruh besar pada keseimbangan energi dan komposisi tubuh. Juga diakui bahwa aktivitas fisik merupakan faktor risiko yang dapat dimodifikasi yang memiliki efek perlindungan terhadap penyakit kardiovaskular (CVD), stroke, diabetes tipe 2, kanker usus dan payudara, dan juga dikaitkan dengan hasil kesehatan penting lainnya seperti kesehatan mental, cedera dan jatuh. </w:t>
      </w:r>
    </w:p>
    <w:p w:rsidR="00043BB6" w:rsidRDefault="00043BB6" w:rsidP="00043BB6">
      <w:pPr>
        <w:spacing w:line="360" w:lineRule="auto"/>
        <w:ind w:firstLine="720"/>
        <w:jc w:val="both"/>
        <w:rPr>
          <w:lang w:val="en-ID"/>
        </w:rPr>
      </w:pPr>
      <w:r w:rsidRPr="004D1BF1">
        <w:rPr>
          <w:lang w:val="en-ID"/>
        </w:rPr>
        <w:t xml:space="preserve">Ketidakaktifan fisik tetap menjadi masalah kesehatan masyarakat </w:t>
      </w:r>
      <w:r w:rsidRPr="004D1BF1">
        <w:rPr>
          <w:lang w:val="en-ID"/>
        </w:rPr>
        <w:lastRenderedPageBreak/>
        <w:t>di banyak wilayah di dunia, termasuk Inggris. Tingkat aktivitas rendah di Inggris sekitar dua pertiga pria dan tiga perempat wanita tidak memenuhi rekomendasi nasional untuk aktivitas fisik. Masalah ini terjadi bersamaan dengan m</w:t>
      </w:r>
      <w:r>
        <w:rPr>
          <w:lang w:val="en-ID"/>
        </w:rPr>
        <w:t>eningkatnya gelombang obesitas.</w:t>
      </w:r>
    </w:p>
    <w:p w:rsidR="00043BB6" w:rsidRPr="004D1BF1" w:rsidRDefault="00043BB6" w:rsidP="00043BB6">
      <w:pPr>
        <w:spacing w:line="360" w:lineRule="auto"/>
        <w:ind w:firstLine="720"/>
        <w:jc w:val="both"/>
        <w:rPr>
          <w:lang w:val="en-ID"/>
        </w:rPr>
      </w:pPr>
      <w:r w:rsidRPr="004D1BF1">
        <w:rPr>
          <w:lang w:val="en-ID"/>
        </w:rPr>
        <w:t>Di Inggris, tingkat obesitas meningkat dari 13,2% pada tahun 1993 menjadi 23,1% pada tahun 2005 pada pria, dan dari 16,4% menjadi 24,8% pada wanita pada periode waktu yang sama (Lifestyles Statistics Team, 2015).</w:t>
      </w:r>
      <w:r>
        <w:rPr>
          <w:lang w:val="en-ID"/>
        </w:rPr>
        <w:t xml:space="preserve"> </w:t>
      </w:r>
      <w:r w:rsidRPr="004D1BF1">
        <w:rPr>
          <w:lang w:val="en-ID"/>
        </w:rPr>
        <w:t>Meskipun rekomendasi tersebut, kurang dari 40% orang dewasa di dunia Barat saat ini berpartisipasi dalam aktivitas fisik secara teratur (Seefeldt, Malina, &amp; Clark, 2002),</w:t>
      </w:r>
      <w:r>
        <w:rPr>
          <w:lang w:val="en-ID"/>
        </w:rPr>
        <w:t xml:space="preserve"> </w:t>
      </w:r>
      <w:r w:rsidRPr="004D1BF1">
        <w:rPr>
          <w:lang w:val="en-ID"/>
        </w:rPr>
        <w:t xml:space="preserve">menunjukkan kebutuhan mendesak untuk melaksanakan program untuk mempromosikan aktivitas fisik dalam populasi. Sementara banyak intervensi atau program kegiatan fisik telah dikembangkan dan dievaluasi, inisiatif tersebut telah menghasilkan hasil yang bervariasi, dengan dampak terbatas pada tingkat populasi keseluruhan aktivitas fisik. </w:t>
      </w:r>
    </w:p>
    <w:p w:rsidR="00043BB6" w:rsidRDefault="00043BB6" w:rsidP="00043BB6">
      <w:pPr>
        <w:spacing w:line="360" w:lineRule="auto"/>
        <w:ind w:firstLine="720"/>
        <w:jc w:val="both"/>
        <w:rPr>
          <w:lang w:val="en-ID"/>
        </w:rPr>
      </w:pPr>
      <w:r w:rsidRPr="004D1BF1">
        <w:rPr>
          <w:lang w:val="en-ID"/>
        </w:rPr>
        <w:t>Aktivitas fisik dianggap penting untuk mengurangi beban penyakit secara keseluruhan (U.S. Department Of Health And Human Services, 1996). Berdasarkan bukti epidemiologi</w:t>
      </w:r>
      <w:r>
        <w:rPr>
          <w:lang w:val="en-ID"/>
        </w:rPr>
        <w:t>s yang baik, pedoman aktivitas f</w:t>
      </w:r>
      <w:r w:rsidRPr="004D1BF1">
        <w:rPr>
          <w:lang w:val="en-ID"/>
        </w:rPr>
        <w:t xml:space="preserve">isik Australia </w:t>
      </w:r>
      <w:r w:rsidRPr="004D1BF1">
        <w:rPr>
          <w:lang w:val="en-ID"/>
        </w:rPr>
        <w:lastRenderedPageBreak/>
        <w:t xml:space="preserve">diterbitkan pada tahun 1999, yang merekomendasikan bahwa setiap orang dewasa harus mengumpulkan aktivitas intensitas sedang selama setengah jam pada sebagian besar hari dalam seminggu. </w:t>
      </w:r>
    </w:p>
    <w:p w:rsidR="00043BB6" w:rsidRPr="004D1BF1" w:rsidRDefault="00043BB6" w:rsidP="00043BB6">
      <w:pPr>
        <w:spacing w:line="360" w:lineRule="auto"/>
        <w:ind w:firstLine="720"/>
        <w:jc w:val="both"/>
        <w:rPr>
          <w:lang w:val="en-ID"/>
        </w:rPr>
      </w:pPr>
      <w:r w:rsidRPr="004D1BF1">
        <w:rPr>
          <w:lang w:val="en-ID"/>
        </w:rPr>
        <w:t xml:space="preserve">Manfaat kesehatan tambahan </w:t>
      </w:r>
      <w:proofErr w:type="gramStart"/>
      <w:r w:rsidRPr="004D1BF1">
        <w:rPr>
          <w:lang w:val="en-ID"/>
        </w:rPr>
        <w:t>akan</w:t>
      </w:r>
      <w:proofErr w:type="gramEnd"/>
      <w:r w:rsidRPr="004D1BF1">
        <w:rPr>
          <w:lang w:val="en-ID"/>
        </w:rPr>
        <w:t xml:space="preserve"> diperoleh bagi mereka yang melakukan beberapa kegiatan tambahan yang kuat, dan bagi mereka yang termasuk lebih banyak peluang untuk aktif secara fisik ke dalam semua aspek kehidupan sehari-hari. Penting untuk terus memperbarui bukti yang menjadi dasar rekomendasi ini. Ulasan ini berfokus pada orang dewasa, dan memperbarui bukti tentang hubungan antara aktivitas fisik dan semua penyebab kematian, penyakit kardiovaskular, diabetes, obesitas, kanker, kesehatan dan kesehatan muskuloskeletal. Dokumen ini memperbarui bukti sejak publikasi Getting Australia Active (Bauman, Bellew, Vita, Brown, &amp; Owen, 2002). </w:t>
      </w:r>
    </w:p>
    <w:p w:rsidR="00043BB6" w:rsidRPr="004D1BF1" w:rsidRDefault="00043BB6" w:rsidP="00043BB6">
      <w:pPr>
        <w:spacing w:line="360" w:lineRule="auto"/>
        <w:ind w:firstLine="720"/>
        <w:jc w:val="both"/>
        <w:rPr>
          <w:lang w:val="en-ID"/>
        </w:rPr>
      </w:pPr>
      <w:r w:rsidRPr="004D1BF1">
        <w:rPr>
          <w:lang w:val="en-ID"/>
        </w:rPr>
        <w:t xml:space="preserve">Pada tahun 2004, pedoman aktivitas fisik baru dirilis yang menganjurkan remaja melakukan setidaknya 60 menit aktivitas fisik intensitas sedang hingga kuat setiap hari dan menghabiskan tidak lebih dari 2 jam / hari menggunakan media elektronik untuk hiburan (Department of Health and Ageing, 2004). Siswa juga </w:t>
      </w:r>
      <w:r w:rsidRPr="004D1BF1">
        <w:rPr>
          <w:lang w:val="en-ID"/>
        </w:rPr>
        <w:lastRenderedPageBreak/>
        <w:t>diharapkan untuk terlibat dalam perilaku menetap 'pendidikan' dalam bentuk pekerjaan rumah. Pedoman departemen pendidikan negara bagian Australia umumnya konsisten dengan prinsip bahwa siswa menyelesaikan sekitar 10 menit pekerjaan rumah per hari untuk setiap kelas yang mereka kembangkan di sekolah, hingga maksimum 2 jam / hari di Tahun 2012 (Departemen Pendidikan dan Seni Queensland, 2004). Rekomendasi diet, aktivitas fisik, dan perilaku tidak bergerak yang serupa juga berlaku di negara lain (American Academy of Pediatrics. Committee on Public Education, 2001</w:t>
      </w:r>
      <w:proofErr w:type="gramStart"/>
      <w:r w:rsidRPr="004D1BF1">
        <w:rPr>
          <w:lang w:val="en-ID"/>
        </w:rPr>
        <w:t>,Department</w:t>
      </w:r>
      <w:proofErr w:type="gramEnd"/>
      <w:r w:rsidRPr="004D1BF1">
        <w:rPr>
          <w:lang w:val="en-ID"/>
        </w:rPr>
        <w:t xml:space="preserve"> of Health, 2004).</w:t>
      </w:r>
    </w:p>
    <w:p w:rsidR="00043BB6" w:rsidRPr="00DA66C7" w:rsidRDefault="00043BB6" w:rsidP="00043BB6">
      <w:pPr>
        <w:spacing w:line="360" w:lineRule="auto"/>
        <w:ind w:firstLine="720"/>
        <w:jc w:val="both"/>
        <w:rPr>
          <w:lang w:val="en-ID"/>
        </w:rPr>
      </w:pPr>
      <w:r w:rsidRPr="004D1BF1">
        <w:rPr>
          <w:lang w:val="en-ID"/>
        </w:rPr>
        <w:t>Akibatnya, aktivitas fisik secara teratur sangat direkomendasikan oleh banyak organisasi untuk manfaat kesehatannya, termasuk Laporan dari bedah umum tentang aktivitas fisik dan kesehatan (U.S. Department Of Health And Human Services, 1996).</w:t>
      </w:r>
    </w:p>
    <w:p w:rsidR="00043BB6" w:rsidRPr="00B51276" w:rsidRDefault="00043BB6" w:rsidP="00043BB6">
      <w:pPr>
        <w:pStyle w:val="Abstrak"/>
      </w:pPr>
      <w:r>
        <w:t>METODE</w:t>
      </w:r>
    </w:p>
    <w:p w:rsidR="00043BB6" w:rsidRPr="0040209F" w:rsidRDefault="00043BB6" w:rsidP="00043BB6">
      <w:pPr>
        <w:spacing w:line="360" w:lineRule="auto"/>
        <w:jc w:val="both"/>
        <w:rPr>
          <w:b/>
          <w:lang w:val="en-ID"/>
        </w:rPr>
      </w:pPr>
      <w:r w:rsidRPr="0040209F">
        <w:rPr>
          <w:b/>
          <w:lang w:val="en-ID"/>
        </w:rPr>
        <w:t>Partisipan dan Prosedur Pengambilan Data</w:t>
      </w:r>
    </w:p>
    <w:p w:rsidR="00043BB6" w:rsidRPr="004D1BF1" w:rsidRDefault="00043BB6" w:rsidP="00043BB6">
      <w:pPr>
        <w:spacing w:line="360" w:lineRule="auto"/>
        <w:jc w:val="both"/>
        <w:rPr>
          <w:lang w:val="en-ID"/>
        </w:rPr>
      </w:pPr>
      <w:r w:rsidRPr="004D1BF1">
        <w:rPr>
          <w:lang w:val="en-ID"/>
        </w:rPr>
        <w:t xml:space="preserve">Partisipan dalam penelitian ini adalah siswa SMA Negeri 3 Ciamis di Kabupaten Ciamis. </w:t>
      </w:r>
    </w:p>
    <w:p w:rsidR="00043BB6" w:rsidRDefault="00043BB6" w:rsidP="00043BB6">
      <w:pPr>
        <w:spacing w:line="360" w:lineRule="auto"/>
        <w:jc w:val="both"/>
        <w:rPr>
          <w:lang w:val="en-ID"/>
        </w:rPr>
      </w:pPr>
      <w:r w:rsidRPr="004D1BF1">
        <w:rPr>
          <w:lang w:val="en-ID"/>
        </w:rPr>
        <w:t xml:space="preserve">Pengukuran </w:t>
      </w:r>
      <w:r>
        <w:rPr>
          <w:i/>
          <w:lang w:val="en-ID"/>
        </w:rPr>
        <w:t xml:space="preserve">Physical Self </w:t>
      </w:r>
      <w:r w:rsidRPr="0040209F">
        <w:rPr>
          <w:i/>
          <w:lang w:val="en-ID"/>
        </w:rPr>
        <w:t>Concept</w:t>
      </w:r>
      <w:r>
        <w:rPr>
          <w:lang w:val="en-ID"/>
        </w:rPr>
        <w:t xml:space="preserve"> dan aktivitas fisik anak remaja.</w:t>
      </w:r>
    </w:p>
    <w:p w:rsidR="00043BB6" w:rsidRPr="004D1BF1" w:rsidRDefault="00043BB6" w:rsidP="00043BB6">
      <w:pPr>
        <w:spacing w:line="360" w:lineRule="auto"/>
        <w:ind w:firstLine="720"/>
        <w:jc w:val="both"/>
        <w:rPr>
          <w:lang w:val="en-ID"/>
        </w:rPr>
      </w:pPr>
      <w:r w:rsidRPr="004D1BF1">
        <w:rPr>
          <w:lang w:val="en-ID"/>
        </w:rPr>
        <w:t>Instrument yang digunakan untuk mengukur aktivitas fisik yai</w:t>
      </w:r>
      <w:r>
        <w:rPr>
          <w:lang w:val="en-ID"/>
        </w:rPr>
        <w:t xml:space="preserve">tu </w:t>
      </w:r>
      <w:r>
        <w:rPr>
          <w:lang w:val="en-ID"/>
        </w:rPr>
        <w:lastRenderedPageBreak/>
        <w:t xml:space="preserve">ActivPAL dan untuk </w:t>
      </w:r>
      <w:r>
        <w:rPr>
          <w:i/>
          <w:lang w:val="en-ID"/>
        </w:rPr>
        <w:t>physical self-</w:t>
      </w:r>
      <w:r w:rsidRPr="00EB2465">
        <w:rPr>
          <w:i/>
          <w:lang w:val="en-ID"/>
        </w:rPr>
        <w:t>concept</w:t>
      </w:r>
      <w:r>
        <w:rPr>
          <w:lang w:val="en-ID"/>
        </w:rPr>
        <w:t xml:space="preserve"> Kuesioner (Angket).</w:t>
      </w:r>
    </w:p>
    <w:p w:rsidR="00043BB6" w:rsidRDefault="00043BB6" w:rsidP="00043BB6">
      <w:pPr>
        <w:spacing w:line="360" w:lineRule="auto"/>
        <w:ind w:firstLine="720"/>
        <w:jc w:val="both"/>
        <w:rPr>
          <w:lang w:val="en-ID"/>
        </w:rPr>
      </w:pPr>
      <w:r w:rsidRPr="004D1BF1">
        <w:rPr>
          <w:lang w:val="en-ID"/>
        </w:rPr>
        <w:t>ActivPAL merupakan accelerometer yang dikeluarkan oleh PAL Technologies Ltd, Glasgow, UK dan telah banyak digunakan untuk mengukur aktivitas fisik. ActivPAL mengidentifikasi perubahan dari duduk dan tidur ke berdiri atau berjalan, merekam jumlah langkah dan irama jalan serta mengestimasi penge</w:t>
      </w:r>
      <w:r>
        <w:rPr>
          <w:lang w:val="en-ID"/>
        </w:rPr>
        <w:t>luaran enegi dalam satuan METs.</w:t>
      </w:r>
    </w:p>
    <w:p w:rsidR="00043BB6" w:rsidRPr="004D1BF1" w:rsidRDefault="00043BB6" w:rsidP="00043BB6">
      <w:pPr>
        <w:spacing w:line="360" w:lineRule="auto"/>
        <w:ind w:firstLine="720"/>
        <w:jc w:val="both"/>
        <w:rPr>
          <w:lang w:val="en-ID"/>
        </w:rPr>
      </w:pPr>
      <w:r w:rsidRPr="004D1BF1">
        <w:rPr>
          <w:lang w:val="en-ID"/>
        </w:rPr>
        <w:t xml:space="preserve">Kuesioner (Angket) yang merupakan teknik pengumpulan data yang dilakukan dengan </w:t>
      </w:r>
      <w:proofErr w:type="gramStart"/>
      <w:r w:rsidRPr="004D1BF1">
        <w:rPr>
          <w:lang w:val="en-ID"/>
        </w:rPr>
        <w:t>cara</w:t>
      </w:r>
      <w:proofErr w:type="gramEnd"/>
      <w:r w:rsidRPr="004D1BF1">
        <w:rPr>
          <w:lang w:val="en-ID"/>
        </w:rPr>
        <w:t xml:space="preserve"> dengan memberi seperangkat pertanyaan atau pernyataan tertulis kepada responden untuk dijawabnya. Menurut (Sugiyono 2012) kuesioner dapat berupa pertanyaan atau pernyataan terbuka atau tertutup, dapat diberikan secara langsung atau dikirim melalui pos atau internet. Kuesioner merupakan teknik pengumpulan data yang efisien bila peneliti tahu dengan pasti variabel yang </w:t>
      </w:r>
      <w:proofErr w:type="gramStart"/>
      <w:r w:rsidRPr="004D1BF1">
        <w:rPr>
          <w:lang w:val="en-ID"/>
        </w:rPr>
        <w:t>akan</w:t>
      </w:r>
      <w:proofErr w:type="gramEnd"/>
      <w:r w:rsidRPr="004D1BF1">
        <w:rPr>
          <w:lang w:val="en-ID"/>
        </w:rPr>
        <w:t xml:space="preserve"> diukur dan tahu apa yang bisa diharapkan dari responden.</w:t>
      </w:r>
    </w:p>
    <w:p w:rsidR="00043BB6" w:rsidRPr="00EB2465" w:rsidRDefault="00043BB6" w:rsidP="00043BB6">
      <w:pPr>
        <w:spacing w:line="360" w:lineRule="auto"/>
        <w:jc w:val="both"/>
        <w:rPr>
          <w:b/>
          <w:lang w:val="en-ID"/>
        </w:rPr>
      </w:pPr>
      <w:r w:rsidRPr="00EB2465">
        <w:rPr>
          <w:b/>
          <w:lang w:val="en-ID"/>
        </w:rPr>
        <w:t>Analisis Statistika</w:t>
      </w:r>
    </w:p>
    <w:p w:rsidR="00043BB6" w:rsidRDefault="00043BB6" w:rsidP="00043BB6">
      <w:pPr>
        <w:spacing w:line="360" w:lineRule="auto"/>
        <w:ind w:firstLine="720"/>
        <w:jc w:val="both"/>
        <w:rPr>
          <w:lang w:val="en-ID"/>
        </w:rPr>
      </w:pPr>
      <w:r w:rsidRPr="004D1BF1">
        <w:rPr>
          <w:lang w:val="en-ID"/>
        </w:rPr>
        <w:t xml:space="preserve">Pengolahan data menggunakan program SPSS Serie 24. Deskripsi data digunakan untuk mengetahui gambaran mengenai </w:t>
      </w:r>
      <w:r w:rsidRPr="0040209F">
        <w:rPr>
          <w:i/>
          <w:lang w:val="en-ID"/>
        </w:rPr>
        <w:t>physical sel-concept</w:t>
      </w:r>
      <w:r w:rsidRPr="004D1BF1">
        <w:rPr>
          <w:lang w:val="en-ID"/>
        </w:rPr>
        <w:t xml:space="preserve"> dan aktivitas fisik siswa yang terdiri atas rata-rata dan standar deviasi. Untuk </w:t>
      </w:r>
      <w:r w:rsidRPr="004D1BF1">
        <w:rPr>
          <w:lang w:val="en-ID"/>
        </w:rPr>
        <w:lastRenderedPageBreak/>
        <w:t xml:space="preserve">mengetahui apakah ada hubungan antara </w:t>
      </w:r>
      <w:r w:rsidRPr="0040209F">
        <w:rPr>
          <w:i/>
          <w:lang w:val="en-ID"/>
        </w:rPr>
        <w:t>physical self-concept</w:t>
      </w:r>
      <w:r w:rsidRPr="004D1BF1">
        <w:rPr>
          <w:lang w:val="en-ID"/>
        </w:rPr>
        <w:t xml:space="preserve"> dan aktivitas fisik anak remaja.</w:t>
      </w:r>
      <w:r>
        <w:rPr>
          <w:lang w:val="en-ID"/>
        </w:rPr>
        <w:t xml:space="preserve"> </w:t>
      </w:r>
    </w:p>
    <w:p w:rsidR="00043BB6" w:rsidRPr="00C50871" w:rsidRDefault="00043BB6" w:rsidP="00043BB6">
      <w:pPr>
        <w:spacing w:line="360" w:lineRule="auto"/>
        <w:ind w:firstLine="720"/>
        <w:jc w:val="both"/>
        <w:rPr>
          <w:lang w:val="en-ID"/>
        </w:rPr>
      </w:pPr>
    </w:p>
    <w:p w:rsidR="00043BB6" w:rsidRDefault="00043BB6" w:rsidP="00043BB6">
      <w:pPr>
        <w:pStyle w:val="Abstrak"/>
      </w:pPr>
      <w:r w:rsidRPr="00A65246">
        <w:t>HASIL</w:t>
      </w:r>
      <w:r>
        <w:t xml:space="preserve"> DAN PEMBAHASAN</w:t>
      </w:r>
    </w:p>
    <w:p w:rsidR="00043BB6" w:rsidRDefault="00043BB6" w:rsidP="00043BB6">
      <w:pPr>
        <w:pStyle w:val="Abstrak"/>
        <w:jc w:val="center"/>
        <w:rPr>
          <w:b w:val="0"/>
        </w:rPr>
      </w:pPr>
      <w:r>
        <w:rPr>
          <w:b w:val="0"/>
        </w:rPr>
        <w:t>Tabel 1.</w:t>
      </w:r>
    </w:p>
    <w:p w:rsidR="00043BB6" w:rsidRDefault="00043BB6" w:rsidP="00043BB6">
      <w:pPr>
        <w:pStyle w:val="Abstrak"/>
        <w:jc w:val="center"/>
        <w:rPr>
          <w:b w:val="0"/>
        </w:rPr>
      </w:pPr>
      <w:r>
        <w:rPr>
          <w:b w:val="0"/>
        </w:rPr>
        <w:t>Deskripsi Data</w:t>
      </w:r>
    </w:p>
    <w:tbl>
      <w:tblPr>
        <w:tblW w:w="4672" w:type="dxa"/>
        <w:tblInd w:w="-558" w:type="dxa"/>
        <w:tblLook w:val="04A0" w:firstRow="1" w:lastRow="0" w:firstColumn="1" w:lastColumn="0" w:noHBand="0" w:noVBand="1"/>
      </w:tblPr>
      <w:tblGrid>
        <w:gridCol w:w="644"/>
        <w:gridCol w:w="476"/>
        <w:gridCol w:w="936"/>
        <w:gridCol w:w="636"/>
        <w:gridCol w:w="990"/>
        <w:gridCol w:w="990"/>
      </w:tblGrid>
      <w:tr w:rsidR="009F32BC" w:rsidRPr="009F32BC" w:rsidTr="009F32BC">
        <w:trPr>
          <w:trHeight w:val="300"/>
        </w:trPr>
        <w:tc>
          <w:tcPr>
            <w:tcW w:w="644" w:type="dxa"/>
            <w:vMerge w:val="restart"/>
            <w:tcBorders>
              <w:top w:val="single" w:sz="4" w:space="0" w:color="auto"/>
              <w:left w:val="nil"/>
              <w:bottom w:val="single" w:sz="4" w:space="0" w:color="000000"/>
              <w:right w:val="nil"/>
            </w:tcBorders>
            <w:shd w:val="clear" w:color="auto" w:fill="auto"/>
            <w:noWrap/>
            <w:vAlign w:val="center"/>
            <w:hideMark/>
          </w:tcPr>
          <w:p w:rsidR="009F32BC" w:rsidRPr="009F32BC" w:rsidRDefault="009F32BC" w:rsidP="009F32BC">
            <w:pPr>
              <w:spacing w:line="240" w:lineRule="auto"/>
              <w:rPr>
                <w:color w:val="000000"/>
                <w:sz w:val="20"/>
                <w:szCs w:val="20"/>
                <w:lang w:val="en-US" w:eastAsia="en-US"/>
              </w:rPr>
            </w:pPr>
            <w:r w:rsidRPr="009F32BC">
              <w:rPr>
                <w:color w:val="000000"/>
                <w:sz w:val="20"/>
                <w:szCs w:val="20"/>
                <w:lang w:val="en-US" w:eastAsia="en-US"/>
              </w:rPr>
              <w:t> </w:t>
            </w:r>
          </w:p>
        </w:tc>
        <w:tc>
          <w:tcPr>
            <w:tcW w:w="476" w:type="dxa"/>
            <w:vMerge w:val="restart"/>
            <w:tcBorders>
              <w:top w:val="single" w:sz="4" w:space="0" w:color="auto"/>
              <w:left w:val="nil"/>
              <w:bottom w:val="single" w:sz="4" w:space="0" w:color="000000"/>
              <w:right w:val="nil"/>
            </w:tcBorders>
            <w:shd w:val="clear" w:color="auto" w:fill="auto"/>
            <w:noWrap/>
            <w:vAlign w:val="center"/>
            <w:hideMark/>
          </w:tcPr>
          <w:p w:rsidR="009F32BC" w:rsidRPr="009F32BC" w:rsidRDefault="009F32BC" w:rsidP="009F32BC">
            <w:pPr>
              <w:spacing w:line="240" w:lineRule="auto"/>
              <w:jc w:val="center"/>
              <w:rPr>
                <w:color w:val="000000"/>
                <w:lang w:val="en-US" w:eastAsia="en-US"/>
              </w:rPr>
            </w:pPr>
            <w:r w:rsidRPr="009F32BC">
              <w:rPr>
                <w:color w:val="000000"/>
                <w:lang w:val="id-ID" w:eastAsia="id-ID"/>
              </w:rPr>
              <w:t>N</w:t>
            </w:r>
          </w:p>
        </w:tc>
        <w:tc>
          <w:tcPr>
            <w:tcW w:w="936" w:type="dxa"/>
            <w:vMerge w:val="restart"/>
            <w:tcBorders>
              <w:top w:val="nil"/>
              <w:left w:val="nil"/>
              <w:bottom w:val="single" w:sz="4" w:space="0" w:color="000000"/>
              <w:right w:val="nil"/>
            </w:tcBorders>
            <w:shd w:val="clear" w:color="auto" w:fill="auto"/>
            <w:noWrap/>
            <w:vAlign w:val="bottom"/>
            <w:hideMark/>
          </w:tcPr>
          <w:p w:rsidR="009F32BC" w:rsidRPr="009F32BC" w:rsidRDefault="009F32BC" w:rsidP="009F32BC">
            <w:pPr>
              <w:spacing w:line="240" w:lineRule="auto"/>
              <w:rPr>
                <w:rFonts w:ascii="Calibri" w:hAnsi="Calibri" w:cs="Calibri"/>
                <w:color w:val="000000"/>
                <w:sz w:val="22"/>
                <w:szCs w:val="22"/>
                <w:lang w:val="en-US" w:eastAsia="en-US"/>
              </w:rPr>
            </w:pPr>
            <w:r w:rsidRPr="009F32BC">
              <w:rPr>
                <w:rFonts w:ascii="Calibri" w:hAnsi="Calibri" w:cs="Calibri"/>
                <w:noProof/>
                <w:color w:val="000000"/>
                <w:sz w:val="22"/>
                <w:szCs w:val="22"/>
                <w:lang w:val="en-US" w:eastAsia="en-US"/>
              </w:rPr>
              <w:drawing>
                <wp:anchor distT="0" distB="0" distL="114300" distR="114300" simplePos="0" relativeHeight="251659264" behindDoc="0" locked="0" layoutInCell="1" allowOverlap="1">
                  <wp:simplePos x="0" y="0"/>
                  <wp:positionH relativeFrom="column">
                    <wp:posOffset>171450</wp:posOffset>
                  </wp:positionH>
                  <wp:positionV relativeFrom="paragraph">
                    <wp:posOffset>38100</wp:posOffset>
                  </wp:positionV>
                  <wp:extent cx="190500" cy="25717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20"/>
            </w:tblGrid>
            <w:tr w:rsidR="009F32BC" w:rsidRPr="009F32BC">
              <w:trPr>
                <w:trHeight w:val="276"/>
                <w:tblCellSpacing w:w="0" w:type="dxa"/>
              </w:trPr>
              <w:tc>
                <w:tcPr>
                  <w:tcW w:w="720" w:type="dxa"/>
                  <w:vMerge w:val="restart"/>
                  <w:tcBorders>
                    <w:top w:val="single" w:sz="4" w:space="0" w:color="auto"/>
                    <w:left w:val="nil"/>
                    <w:bottom w:val="single" w:sz="4" w:space="0" w:color="000000"/>
                    <w:right w:val="nil"/>
                  </w:tcBorders>
                  <w:shd w:val="clear" w:color="auto" w:fill="auto"/>
                  <w:noWrap/>
                  <w:vAlign w:val="bottom"/>
                  <w:hideMark/>
                </w:tcPr>
                <w:p w:rsidR="009F32BC" w:rsidRPr="009F32BC" w:rsidRDefault="009F32BC" w:rsidP="009F32BC">
                  <w:pPr>
                    <w:spacing w:line="240" w:lineRule="auto"/>
                    <w:rPr>
                      <w:color w:val="000000"/>
                      <w:lang w:val="en-US" w:eastAsia="en-US"/>
                    </w:rPr>
                  </w:pPr>
                  <w:r w:rsidRPr="009F32BC">
                    <w:rPr>
                      <w:color w:val="000000"/>
                      <w:lang w:val="en-US" w:eastAsia="en-US"/>
                    </w:rPr>
                    <w:t> </w:t>
                  </w:r>
                </w:p>
              </w:tc>
            </w:tr>
            <w:tr w:rsidR="009F32BC" w:rsidRPr="009F32BC">
              <w:trPr>
                <w:trHeight w:val="276"/>
                <w:tblCellSpacing w:w="0" w:type="dxa"/>
              </w:trPr>
              <w:tc>
                <w:tcPr>
                  <w:tcW w:w="0" w:type="auto"/>
                  <w:vMerge/>
                  <w:tcBorders>
                    <w:top w:val="single" w:sz="4" w:space="0" w:color="auto"/>
                    <w:left w:val="nil"/>
                    <w:bottom w:val="single" w:sz="4" w:space="0" w:color="000000"/>
                    <w:right w:val="nil"/>
                  </w:tcBorders>
                  <w:vAlign w:val="center"/>
                  <w:hideMark/>
                </w:tcPr>
                <w:p w:rsidR="009F32BC" w:rsidRPr="009F32BC" w:rsidRDefault="009F32BC" w:rsidP="009F32BC">
                  <w:pPr>
                    <w:spacing w:line="240" w:lineRule="auto"/>
                    <w:rPr>
                      <w:color w:val="000000"/>
                      <w:lang w:val="en-US" w:eastAsia="en-US"/>
                    </w:rPr>
                  </w:pPr>
                </w:p>
              </w:tc>
            </w:tr>
          </w:tbl>
          <w:p w:rsidR="009F32BC" w:rsidRPr="009F32BC" w:rsidRDefault="009F32BC" w:rsidP="009F32BC">
            <w:pPr>
              <w:spacing w:line="240" w:lineRule="auto"/>
              <w:rPr>
                <w:rFonts w:ascii="Calibri" w:hAnsi="Calibri" w:cs="Calibri"/>
                <w:color w:val="000000"/>
                <w:sz w:val="22"/>
                <w:szCs w:val="22"/>
                <w:lang w:val="en-US" w:eastAsia="en-US"/>
              </w:rPr>
            </w:pPr>
          </w:p>
        </w:tc>
        <w:tc>
          <w:tcPr>
            <w:tcW w:w="636" w:type="dxa"/>
            <w:vMerge w:val="restart"/>
            <w:tcBorders>
              <w:top w:val="single" w:sz="4" w:space="0" w:color="auto"/>
              <w:left w:val="nil"/>
              <w:bottom w:val="single" w:sz="4" w:space="0" w:color="000000"/>
              <w:right w:val="nil"/>
            </w:tcBorders>
            <w:shd w:val="clear" w:color="auto" w:fill="auto"/>
            <w:noWrap/>
            <w:vAlign w:val="center"/>
            <w:hideMark/>
          </w:tcPr>
          <w:p w:rsidR="009F32BC" w:rsidRPr="009F32BC" w:rsidRDefault="009F32BC" w:rsidP="009F32BC">
            <w:pPr>
              <w:spacing w:line="240" w:lineRule="auto"/>
              <w:jc w:val="center"/>
              <w:rPr>
                <w:color w:val="000000"/>
                <w:lang w:val="en-US" w:eastAsia="en-US"/>
              </w:rPr>
            </w:pPr>
            <w:r w:rsidRPr="009F32BC">
              <w:rPr>
                <w:color w:val="000000"/>
                <w:lang w:val="id-ID" w:eastAsia="id-ID"/>
              </w:rPr>
              <w:t>S</w:t>
            </w:r>
          </w:p>
        </w:tc>
        <w:tc>
          <w:tcPr>
            <w:tcW w:w="990" w:type="dxa"/>
            <w:vMerge w:val="restart"/>
            <w:tcBorders>
              <w:top w:val="single" w:sz="4" w:space="0" w:color="auto"/>
              <w:left w:val="nil"/>
              <w:bottom w:val="single" w:sz="4" w:space="0" w:color="000000"/>
              <w:right w:val="nil"/>
            </w:tcBorders>
            <w:shd w:val="clear" w:color="auto" w:fill="auto"/>
            <w:vAlign w:val="center"/>
            <w:hideMark/>
          </w:tcPr>
          <w:p w:rsidR="009F32BC" w:rsidRPr="009F32BC" w:rsidRDefault="009F32BC" w:rsidP="009F32BC">
            <w:pPr>
              <w:spacing w:line="240" w:lineRule="auto"/>
              <w:jc w:val="center"/>
              <w:rPr>
                <w:color w:val="000000"/>
                <w:lang w:val="en-US" w:eastAsia="en-US"/>
              </w:rPr>
            </w:pPr>
            <w:r w:rsidRPr="009F32BC">
              <w:rPr>
                <w:color w:val="000000"/>
                <w:lang w:val="id-ID" w:eastAsia="id-ID"/>
              </w:rPr>
              <w:t>SCORE MIN</w:t>
            </w:r>
          </w:p>
        </w:tc>
        <w:tc>
          <w:tcPr>
            <w:tcW w:w="990" w:type="dxa"/>
            <w:vMerge w:val="restart"/>
            <w:tcBorders>
              <w:top w:val="single" w:sz="4" w:space="0" w:color="auto"/>
              <w:left w:val="nil"/>
              <w:bottom w:val="single" w:sz="4" w:space="0" w:color="000000"/>
              <w:right w:val="nil"/>
            </w:tcBorders>
            <w:shd w:val="clear" w:color="auto" w:fill="auto"/>
            <w:vAlign w:val="center"/>
            <w:hideMark/>
          </w:tcPr>
          <w:p w:rsidR="009F32BC" w:rsidRPr="009F32BC" w:rsidRDefault="009F32BC" w:rsidP="009F32BC">
            <w:pPr>
              <w:spacing w:line="240" w:lineRule="auto"/>
              <w:jc w:val="center"/>
              <w:rPr>
                <w:color w:val="000000"/>
                <w:lang w:val="en-US" w:eastAsia="en-US"/>
              </w:rPr>
            </w:pPr>
            <w:r w:rsidRPr="009F32BC">
              <w:rPr>
                <w:color w:val="000000"/>
                <w:lang w:val="id-ID" w:eastAsia="id-ID"/>
              </w:rPr>
              <w:t>SCORE MAX</w:t>
            </w:r>
          </w:p>
        </w:tc>
      </w:tr>
      <w:tr w:rsidR="009F32BC" w:rsidRPr="009F32BC" w:rsidTr="009F32BC">
        <w:trPr>
          <w:trHeight w:val="315"/>
        </w:trPr>
        <w:tc>
          <w:tcPr>
            <w:tcW w:w="644" w:type="dxa"/>
            <w:vMerge/>
            <w:tcBorders>
              <w:top w:val="single" w:sz="4" w:space="0" w:color="auto"/>
              <w:left w:val="nil"/>
              <w:bottom w:val="single" w:sz="4" w:space="0" w:color="000000"/>
              <w:right w:val="nil"/>
            </w:tcBorders>
            <w:vAlign w:val="center"/>
            <w:hideMark/>
          </w:tcPr>
          <w:p w:rsidR="009F32BC" w:rsidRPr="009F32BC" w:rsidRDefault="009F32BC" w:rsidP="009F32BC">
            <w:pPr>
              <w:spacing w:line="240" w:lineRule="auto"/>
              <w:rPr>
                <w:color w:val="000000"/>
                <w:sz w:val="20"/>
                <w:szCs w:val="20"/>
                <w:lang w:val="en-US" w:eastAsia="en-US"/>
              </w:rPr>
            </w:pPr>
          </w:p>
        </w:tc>
        <w:tc>
          <w:tcPr>
            <w:tcW w:w="476" w:type="dxa"/>
            <w:vMerge/>
            <w:tcBorders>
              <w:top w:val="single" w:sz="4" w:space="0" w:color="auto"/>
              <w:left w:val="nil"/>
              <w:bottom w:val="single" w:sz="4" w:space="0" w:color="000000"/>
              <w:right w:val="nil"/>
            </w:tcBorders>
            <w:vAlign w:val="center"/>
            <w:hideMark/>
          </w:tcPr>
          <w:p w:rsidR="009F32BC" w:rsidRPr="009F32BC" w:rsidRDefault="009F32BC" w:rsidP="009F32BC">
            <w:pPr>
              <w:spacing w:line="240" w:lineRule="auto"/>
              <w:rPr>
                <w:color w:val="000000"/>
                <w:lang w:val="en-US" w:eastAsia="en-US"/>
              </w:rPr>
            </w:pPr>
          </w:p>
        </w:tc>
        <w:tc>
          <w:tcPr>
            <w:tcW w:w="936" w:type="dxa"/>
            <w:vMerge/>
            <w:tcBorders>
              <w:top w:val="nil"/>
              <w:left w:val="nil"/>
              <w:bottom w:val="single" w:sz="4" w:space="0" w:color="000000"/>
              <w:right w:val="nil"/>
            </w:tcBorders>
            <w:vAlign w:val="center"/>
            <w:hideMark/>
          </w:tcPr>
          <w:p w:rsidR="009F32BC" w:rsidRPr="009F32BC" w:rsidRDefault="009F32BC" w:rsidP="009F32BC">
            <w:pPr>
              <w:spacing w:line="240" w:lineRule="auto"/>
              <w:rPr>
                <w:rFonts w:ascii="Calibri" w:hAnsi="Calibri" w:cs="Calibri"/>
                <w:color w:val="000000"/>
                <w:sz w:val="22"/>
                <w:szCs w:val="22"/>
                <w:lang w:val="en-US" w:eastAsia="en-US"/>
              </w:rPr>
            </w:pPr>
          </w:p>
        </w:tc>
        <w:tc>
          <w:tcPr>
            <w:tcW w:w="636" w:type="dxa"/>
            <w:vMerge/>
            <w:tcBorders>
              <w:top w:val="single" w:sz="4" w:space="0" w:color="auto"/>
              <w:left w:val="nil"/>
              <w:bottom w:val="single" w:sz="4" w:space="0" w:color="000000"/>
              <w:right w:val="nil"/>
            </w:tcBorders>
            <w:vAlign w:val="center"/>
            <w:hideMark/>
          </w:tcPr>
          <w:p w:rsidR="009F32BC" w:rsidRPr="009F32BC" w:rsidRDefault="009F32BC" w:rsidP="009F32BC">
            <w:pPr>
              <w:spacing w:line="240" w:lineRule="auto"/>
              <w:rPr>
                <w:color w:val="000000"/>
                <w:lang w:val="en-US" w:eastAsia="en-US"/>
              </w:rPr>
            </w:pPr>
          </w:p>
        </w:tc>
        <w:tc>
          <w:tcPr>
            <w:tcW w:w="990" w:type="dxa"/>
            <w:vMerge/>
            <w:tcBorders>
              <w:top w:val="single" w:sz="4" w:space="0" w:color="auto"/>
              <w:left w:val="nil"/>
              <w:bottom w:val="single" w:sz="4" w:space="0" w:color="000000"/>
              <w:right w:val="nil"/>
            </w:tcBorders>
            <w:vAlign w:val="center"/>
            <w:hideMark/>
          </w:tcPr>
          <w:p w:rsidR="009F32BC" w:rsidRPr="009F32BC" w:rsidRDefault="009F32BC" w:rsidP="009F32BC">
            <w:pPr>
              <w:spacing w:line="240" w:lineRule="auto"/>
              <w:rPr>
                <w:color w:val="000000"/>
                <w:lang w:val="en-US" w:eastAsia="en-US"/>
              </w:rPr>
            </w:pPr>
          </w:p>
        </w:tc>
        <w:tc>
          <w:tcPr>
            <w:tcW w:w="990" w:type="dxa"/>
            <w:vMerge/>
            <w:tcBorders>
              <w:top w:val="single" w:sz="4" w:space="0" w:color="auto"/>
              <w:left w:val="nil"/>
              <w:bottom w:val="single" w:sz="4" w:space="0" w:color="000000"/>
              <w:right w:val="nil"/>
            </w:tcBorders>
            <w:vAlign w:val="center"/>
            <w:hideMark/>
          </w:tcPr>
          <w:p w:rsidR="009F32BC" w:rsidRPr="009F32BC" w:rsidRDefault="009F32BC" w:rsidP="009F32BC">
            <w:pPr>
              <w:spacing w:line="240" w:lineRule="auto"/>
              <w:rPr>
                <w:color w:val="000000"/>
                <w:lang w:val="en-US" w:eastAsia="en-US"/>
              </w:rPr>
            </w:pPr>
          </w:p>
        </w:tc>
      </w:tr>
      <w:tr w:rsidR="009F32BC" w:rsidRPr="009F32BC" w:rsidTr="009F32BC">
        <w:trPr>
          <w:trHeight w:val="315"/>
        </w:trPr>
        <w:tc>
          <w:tcPr>
            <w:tcW w:w="644"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id-ID"/>
              </w:rPr>
              <w:t>PSC</w:t>
            </w:r>
          </w:p>
        </w:tc>
        <w:tc>
          <w:tcPr>
            <w:tcW w:w="476"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center"/>
              <w:rPr>
                <w:color w:val="000000"/>
                <w:lang w:val="en-US" w:eastAsia="en-US"/>
              </w:rPr>
            </w:pPr>
            <w:r w:rsidRPr="009F32BC">
              <w:rPr>
                <w:color w:val="000000"/>
                <w:lang w:val="id-ID" w:eastAsia="id-ID"/>
              </w:rPr>
              <w:t>50</w:t>
            </w:r>
          </w:p>
        </w:tc>
        <w:tc>
          <w:tcPr>
            <w:tcW w:w="936"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center"/>
              <w:rPr>
                <w:color w:val="000000"/>
                <w:lang w:val="en-US" w:eastAsia="en-US"/>
              </w:rPr>
            </w:pPr>
            <w:r w:rsidRPr="009F32BC">
              <w:rPr>
                <w:color w:val="000000"/>
                <w:lang w:val="id-ID" w:eastAsia="id-ID"/>
              </w:rPr>
              <w:t>168,4</w:t>
            </w:r>
          </w:p>
        </w:tc>
        <w:tc>
          <w:tcPr>
            <w:tcW w:w="636"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right"/>
              <w:rPr>
                <w:color w:val="000000"/>
                <w:lang w:val="en-US" w:eastAsia="en-US"/>
              </w:rPr>
            </w:pPr>
            <w:r w:rsidRPr="009F32BC">
              <w:rPr>
                <w:color w:val="000000"/>
                <w:lang w:eastAsia="id-ID"/>
              </w:rPr>
              <w:t>25,8</w:t>
            </w:r>
          </w:p>
        </w:tc>
        <w:tc>
          <w:tcPr>
            <w:tcW w:w="990"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center"/>
              <w:rPr>
                <w:color w:val="000000"/>
                <w:lang w:val="en-US" w:eastAsia="en-US"/>
              </w:rPr>
            </w:pPr>
            <w:r w:rsidRPr="009F32BC">
              <w:rPr>
                <w:color w:val="000000"/>
                <w:lang w:eastAsia="id-ID"/>
              </w:rPr>
              <w:t>121</w:t>
            </w:r>
          </w:p>
        </w:tc>
        <w:tc>
          <w:tcPr>
            <w:tcW w:w="990"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center"/>
              <w:rPr>
                <w:color w:val="000000"/>
                <w:lang w:val="en-US" w:eastAsia="en-US"/>
              </w:rPr>
            </w:pPr>
            <w:r w:rsidRPr="009F32BC">
              <w:rPr>
                <w:color w:val="000000"/>
                <w:lang w:eastAsia="id-ID"/>
              </w:rPr>
              <w:t>217</w:t>
            </w:r>
          </w:p>
        </w:tc>
      </w:tr>
      <w:tr w:rsidR="009F32BC" w:rsidRPr="009F32BC" w:rsidTr="009F32BC">
        <w:trPr>
          <w:trHeight w:val="315"/>
        </w:trPr>
        <w:tc>
          <w:tcPr>
            <w:tcW w:w="644"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val="id-ID" w:eastAsia="id-ID"/>
              </w:rPr>
              <w:t>AF</w:t>
            </w:r>
          </w:p>
        </w:tc>
        <w:tc>
          <w:tcPr>
            <w:tcW w:w="476"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center"/>
              <w:rPr>
                <w:color w:val="000000"/>
                <w:lang w:val="en-US" w:eastAsia="en-US"/>
              </w:rPr>
            </w:pPr>
            <w:r w:rsidRPr="009F32BC">
              <w:rPr>
                <w:color w:val="000000"/>
                <w:lang w:val="id-ID" w:eastAsia="id-ID"/>
              </w:rPr>
              <w:t>50</w:t>
            </w:r>
          </w:p>
        </w:tc>
        <w:tc>
          <w:tcPr>
            <w:tcW w:w="936"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center"/>
              <w:rPr>
                <w:color w:val="000000"/>
                <w:lang w:val="en-US" w:eastAsia="en-US"/>
              </w:rPr>
            </w:pPr>
            <w:r w:rsidRPr="009F32BC">
              <w:rPr>
                <w:color w:val="000000"/>
                <w:lang w:eastAsia="id-ID"/>
              </w:rPr>
              <w:t>33,66</w:t>
            </w:r>
          </w:p>
        </w:tc>
        <w:tc>
          <w:tcPr>
            <w:tcW w:w="636"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center"/>
              <w:rPr>
                <w:color w:val="000000"/>
                <w:lang w:val="en-US" w:eastAsia="en-US"/>
              </w:rPr>
            </w:pPr>
            <w:r w:rsidRPr="009F32BC">
              <w:rPr>
                <w:color w:val="000000"/>
                <w:lang w:val="id-ID" w:eastAsia="id-ID"/>
              </w:rPr>
              <w:t>1,13</w:t>
            </w:r>
          </w:p>
        </w:tc>
        <w:tc>
          <w:tcPr>
            <w:tcW w:w="990"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center"/>
              <w:rPr>
                <w:color w:val="000000"/>
                <w:lang w:val="en-US" w:eastAsia="en-US"/>
              </w:rPr>
            </w:pPr>
            <w:r w:rsidRPr="009F32BC">
              <w:rPr>
                <w:color w:val="000000"/>
                <w:lang w:eastAsia="id-ID"/>
              </w:rPr>
              <w:t>30,61</w:t>
            </w:r>
          </w:p>
        </w:tc>
        <w:tc>
          <w:tcPr>
            <w:tcW w:w="990"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center"/>
              <w:rPr>
                <w:color w:val="000000"/>
                <w:lang w:val="en-US" w:eastAsia="en-US"/>
              </w:rPr>
            </w:pPr>
            <w:r w:rsidRPr="009F32BC">
              <w:rPr>
                <w:color w:val="000000"/>
                <w:lang w:eastAsia="id-ID"/>
              </w:rPr>
              <w:t>36,49</w:t>
            </w:r>
          </w:p>
        </w:tc>
      </w:tr>
    </w:tbl>
    <w:p w:rsidR="009F32BC" w:rsidRDefault="009F32BC" w:rsidP="00043BB6">
      <w:pPr>
        <w:pStyle w:val="Abstrak"/>
        <w:jc w:val="center"/>
        <w:rPr>
          <w:b w:val="0"/>
        </w:rPr>
      </w:pPr>
    </w:p>
    <w:p w:rsidR="00043BB6" w:rsidRDefault="00043BB6" w:rsidP="00043BB6">
      <w:pPr>
        <w:spacing w:line="360" w:lineRule="auto"/>
        <w:jc w:val="both"/>
      </w:pPr>
    </w:p>
    <w:p w:rsidR="00043BB6" w:rsidRPr="00030E1C" w:rsidRDefault="00026B6E" w:rsidP="00043BB6">
      <w:pPr>
        <w:spacing w:line="360" w:lineRule="auto"/>
        <w:jc w:val="both"/>
      </w:pPr>
      <w:r>
        <w:t xml:space="preserve">Berdasarkan tabel </w:t>
      </w:r>
      <w:r w:rsidR="00043BB6">
        <w:t>1</w:t>
      </w:r>
      <w:r>
        <w:t>.</w:t>
      </w:r>
      <w:r w:rsidR="00043BB6">
        <w:t xml:space="preserve"> diketahui bahwa skor rata-rata </w:t>
      </w:r>
      <w:r w:rsidR="00043BB6">
        <w:rPr>
          <w:i/>
        </w:rPr>
        <w:t>physical self-concept</w:t>
      </w:r>
      <w:r w:rsidR="00043BB6">
        <w:t xml:space="preserve"> dari 50 orang sampel adalah 168,40, skor standar deviace 25,80, skor minimum 121, dan skor maksimum 217. Skor Aktivitas Fisik dari 50 sampel skor rata-rata 33,66, skor standar deviace 1,13, skor minimum 30,61, dan skor maksimum 36,49.</w:t>
      </w:r>
    </w:p>
    <w:p w:rsidR="00043BB6" w:rsidRDefault="00043BB6" w:rsidP="00043BB6">
      <w:pPr>
        <w:pStyle w:val="Abstrak"/>
        <w:jc w:val="center"/>
        <w:rPr>
          <w:b w:val="0"/>
        </w:rPr>
      </w:pPr>
      <w:r>
        <w:rPr>
          <w:b w:val="0"/>
        </w:rPr>
        <w:t>Tabel 2.</w:t>
      </w:r>
    </w:p>
    <w:p w:rsidR="00043BB6" w:rsidRDefault="00043BB6" w:rsidP="00043BB6">
      <w:pPr>
        <w:pStyle w:val="Abstrak"/>
        <w:jc w:val="center"/>
        <w:rPr>
          <w:b w:val="0"/>
        </w:rPr>
      </w:pPr>
      <w:r>
        <w:rPr>
          <w:b w:val="0"/>
        </w:rPr>
        <w:t>Uji Normality</w:t>
      </w:r>
    </w:p>
    <w:tbl>
      <w:tblPr>
        <w:tblW w:w="3686" w:type="dxa"/>
        <w:tblLook w:val="04A0" w:firstRow="1" w:lastRow="0" w:firstColumn="1" w:lastColumn="0" w:noHBand="0" w:noVBand="1"/>
      </w:tblPr>
      <w:tblGrid>
        <w:gridCol w:w="1134"/>
        <w:gridCol w:w="993"/>
        <w:gridCol w:w="850"/>
        <w:gridCol w:w="756"/>
      </w:tblGrid>
      <w:tr w:rsidR="009F32BC" w:rsidRPr="009F32BC" w:rsidTr="009F32BC">
        <w:trPr>
          <w:trHeight w:val="315"/>
        </w:trPr>
        <w:tc>
          <w:tcPr>
            <w:tcW w:w="1134" w:type="dxa"/>
            <w:tcBorders>
              <w:top w:val="single" w:sz="4" w:space="0" w:color="auto"/>
              <w:left w:val="nil"/>
              <w:bottom w:val="single" w:sz="4" w:space="0" w:color="auto"/>
              <w:right w:val="nil"/>
            </w:tcBorders>
            <w:shd w:val="clear" w:color="auto" w:fill="auto"/>
            <w:noWrap/>
            <w:vAlign w:val="bottom"/>
            <w:hideMark/>
          </w:tcPr>
          <w:p w:rsidR="009F32BC" w:rsidRPr="009F32BC" w:rsidRDefault="009F32BC" w:rsidP="009F32BC">
            <w:pPr>
              <w:spacing w:line="240" w:lineRule="auto"/>
              <w:rPr>
                <w:color w:val="000000"/>
                <w:sz w:val="20"/>
                <w:szCs w:val="20"/>
                <w:lang w:val="en-US" w:eastAsia="en-US"/>
              </w:rPr>
            </w:pPr>
            <w:r w:rsidRPr="009F32BC">
              <w:rPr>
                <w:color w:val="000000"/>
                <w:sz w:val="20"/>
                <w:szCs w:val="20"/>
                <w:lang w:val="en-US" w:eastAsia="en-US"/>
              </w:rPr>
              <w:t> </w:t>
            </w:r>
          </w:p>
        </w:tc>
        <w:tc>
          <w:tcPr>
            <w:tcW w:w="993" w:type="dxa"/>
            <w:tcBorders>
              <w:top w:val="single" w:sz="4" w:space="0" w:color="auto"/>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Statistic</w:t>
            </w:r>
          </w:p>
        </w:tc>
        <w:tc>
          <w:tcPr>
            <w:tcW w:w="850" w:type="dxa"/>
            <w:tcBorders>
              <w:top w:val="single" w:sz="4" w:space="0" w:color="auto"/>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Df</w:t>
            </w:r>
          </w:p>
        </w:tc>
        <w:tc>
          <w:tcPr>
            <w:tcW w:w="709" w:type="dxa"/>
            <w:tcBorders>
              <w:top w:val="single" w:sz="4" w:space="0" w:color="auto"/>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Sig.</w:t>
            </w:r>
          </w:p>
        </w:tc>
      </w:tr>
      <w:tr w:rsidR="009F32BC" w:rsidRPr="009F32BC" w:rsidTr="009F32BC">
        <w:trPr>
          <w:trHeight w:val="315"/>
        </w:trPr>
        <w:tc>
          <w:tcPr>
            <w:tcW w:w="1134"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PSC</w:t>
            </w:r>
          </w:p>
        </w:tc>
        <w:tc>
          <w:tcPr>
            <w:tcW w:w="993"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right"/>
              <w:rPr>
                <w:color w:val="000000"/>
                <w:lang w:val="en-US" w:eastAsia="en-US"/>
              </w:rPr>
            </w:pPr>
            <w:r w:rsidRPr="009F32BC">
              <w:rPr>
                <w:color w:val="000000"/>
                <w:lang w:eastAsia="en-US"/>
              </w:rPr>
              <w:t>0,973</w:t>
            </w:r>
          </w:p>
        </w:tc>
        <w:tc>
          <w:tcPr>
            <w:tcW w:w="850"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right"/>
              <w:rPr>
                <w:color w:val="000000"/>
                <w:lang w:val="en-US" w:eastAsia="en-US"/>
              </w:rPr>
            </w:pPr>
            <w:r w:rsidRPr="009F32BC">
              <w:rPr>
                <w:color w:val="000000"/>
                <w:lang w:eastAsia="en-US"/>
              </w:rPr>
              <w:t>50</w:t>
            </w:r>
          </w:p>
        </w:tc>
        <w:tc>
          <w:tcPr>
            <w:tcW w:w="709"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right"/>
              <w:rPr>
                <w:color w:val="000000"/>
                <w:lang w:val="en-US" w:eastAsia="en-US"/>
              </w:rPr>
            </w:pPr>
            <w:r w:rsidRPr="009F32BC">
              <w:rPr>
                <w:color w:val="000000"/>
                <w:lang w:eastAsia="en-US"/>
              </w:rPr>
              <w:t>0,307</w:t>
            </w:r>
          </w:p>
        </w:tc>
      </w:tr>
      <w:tr w:rsidR="009F32BC" w:rsidRPr="009F32BC" w:rsidTr="009F32BC">
        <w:trPr>
          <w:trHeight w:val="315"/>
        </w:trPr>
        <w:tc>
          <w:tcPr>
            <w:tcW w:w="1134"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AF</w:t>
            </w:r>
          </w:p>
        </w:tc>
        <w:tc>
          <w:tcPr>
            <w:tcW w:w="993"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right"/>
              <w:rPr>
                <w:color w:val="000000"/>
                <w:lang w:val="en-US" w:eastAsia="en-US"/>
              </w:rPr>
            </w:pPr>
            <w:r w:rsidRPr="009F32BC">
              <w:rPr>
                <w:color w:val="000000"/>
                <w:lang w:eastAsia="en-US"/>
              </w:rPr>
              <w:t>0,961</w:t>
            </w:r>
          </w:p>
        </w:tc>
        <w:tc>
          <w:tcPr>
            <w:tcW w:w="850"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right"/>
              <w:rPr>
                <w:color w:val="000000"/>
                <w:lang w:val="en-US" w:eastAsia="en-US"/>
              </w:rPr>
            </w:pPr>
            <w:r w:rsidRPr="009F32BC">
              <w:rPr>
                <w:color w:val="000000"/>
                <w:lang w:eastAsia="en-US"/>
              </w:rPr>
              <w:t>50</w:t>
            </w:r>
          </w:p>
        </w:tc>
        <w:tc>
          <w:tcPr>
            <w:tcW w:w="709"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right"/>
              <w:rPr>
                <w:color w:val="000000"/>
                <w:lang w:val="en-US" w:eastAsia="en-US"/>
              </w:rPr>
            </w:pPr>
            <w:r w:rsidRPr="009F32BC">
              <w:rPr>
                <w:color w:val="000000"/>
                <w:lang w:eastAsia="en-US"/>
              </w:rPr>
              <w:t>0,098</w:t>
            </w:r>
          </w:p>
        </w:tc>
      </w:tr>
    </w:tbl>
    <w:p w:rsidR="00043BB6" w:rsidRDefault="00043BB6" w:rsidP="00043BB6">
      <w:pPr>
        <w:pStyle w:val="Abstrak"/>
        <w:jc w:val="left"/>
        <w:rPr>
          <w:b w:val="0"/>
        </w:rPr>
      </w:pPr>
    </w:p>
    <w:p w:rsidR="00043BB6" w:rsidRDefault="00043BB6" w:rsidP="00043BB6">
      <w:pPr>
        <w:pStyle w:val="Abstrak"/>
        <w:jc w:val="left"/>
        <w:rPr>
          <w:b w:val="0"/>
        </w:rPr>
      </w:pPr>
      <w:r>
        <w:rPr>
          <w:b w:val="0"/>
        </w:rPr>
        <w:t xml:space="preserve">Kriteria </w:t>
      </w:r>
      <w:proofErr w:type="gramStart"/>
      <w:r>
        <w:rPr>
          <w:b w:val="0"/>
        </w:rPr>
        <w:t>keputusan :</w:t>
      </w:r>
      <w:proofErr w:type="gramEnd"/>
      <w:r>
        <w:rPr>
          <w:b w:val="0"/>
        </w:rPr>
        <w:t xml:space="preserve"> </w:t>
      </w:r>
    </w:p>
    <w:p w:rsidR="00043BB6" w:rsidRDefault="00043BB6" w:rsidP="00043BB6">
      <w:pPr>
        <w:pStyle w:val="Abstrak"/>
        <w:numPr>
          <w:ilvl w:val="0"/>
          <w:numId w:val="31"/>
        </w:numPr>
        <w:jc w:val="left"/>
        <w:rPr>
          <w:b w:val="0"/>
        </w:rPr>
      </w:pPr>
      <w:r>
        <w:rPr>
          <w:b w:val="0"/>
        </w:rPr>
        <w:t>Jika nilai sig &gt; 0,05 data berdistribusi normal</w:t>
      </w:r>
    </w:p>
    <w:p w:rsidR="00043BB6" w:rsidRDefault="00043BB6" w:rsidP="00043BB6">
      <w:pPr>
        <w:pStyle w:val="Abstrak"/>
        <w:numPr>
          <w:ilvl w:val="0"/>
          <w:numId w:val="31"/>
        </w:numPr>
        <w:jc w:val="left"/>
        <w:rPr>
          <w:b w:val="0"/>
        </w:rPr>
      </w:pPr>
      <w:r>
        <w:rPr>
          <w:b w:val="0"/>
        </w:rPr>
        <w:t>Jika nilai sig &lt; 0,05 data berdistribusi tidak normal</w:t>
      </w:r>
    </w:p>
    <w:p w:rsidR="00043BB6" w:rsidRPr="001F52E2" w:rsidRDefault="00043BB6" w:rsidP="00043BB6">
      <w:pPr>
        <w:spacing w:line="360" w:lineRule="auto"/>
        <w:ind w:left="360" w:right="60"/>
        <w:jc w:val="both"/>
        <w:rPr>
          <w:color w:val="010205"/>
        </w:rPr>
      </w:pPr>
      <w:r>
        <w:rPr>
          <w:color w:val="010205"/>
        </w:rPr>
        <w:t xml:space="preserve">Berdasarkan table </w:t>
      </w:r>
      <w:r w:rsidRPr="001F52E2">
        <w:rPr>
          <w:color w:val="010205"/>
        </w:rPr>
        <w:t>2</w:t>
      </w:r>
      <w:r>
        <w:rPr>
          <w:color w:val="010205"/>
        </w:rPr>
        <w:t>.</w:t>
      </w:r>
      <w:r w:rsidRPr="001F52E2">
        <w:rPr>
          <w:color w:val="010205"/>
        </w:rPr>
        <w:t xml:space="preserve"> </w:t>
      </w:r>
      <w:proofErr w:type="gramStart"/>
      <w:r w:rsidRPr="001F52E2">
        <w:rPr>
          <w:color w:val="010205"/>
        </w:rPr>
        <w:t>diketahui</w:t>
      </w:r>
      <w:proofErr w:type="gramEnd"/>
      <w:r w:rsidRPr="001F52E2">
        <w:rPr>
          <w:color w:val="010205"/>
        </w:rPr>
        <w:t xml:space="preserve"> bahwa nilai signifikan </w:t>
      </w:r>
      <w:r w:rsidRPr="001F52E2">
        <w:rPr>
          <w:i/>
          <w:color w:val="010205"/>
        </w:rPr>
        <w:t>physical self-</w:t>
      </w:r>
      <w:r w:rsidRPr="001F52E2">
        <w:rPr>
          <w:i/>
          <w:color w:val="010205"/>
        </w:rPr>
        <w:lastRenderedPageBreak/>
        <w:t xml:space="preserve">concept </w:t>
      </w:r>
      <w:r w:rsidRPr="001F52E2">
        <w:rPr>
          <w:color w:val="010205"/>
        </w:rPr>
        <w:t>adalah 0,307 &gt; 0,05, artinya data berdistribusi normal. Nilai signifikan aktivitas fisik adalah. 0,098 &gt; 0</w:t>
      </w:r>
      <w:proofErr w:type="gramStart"/>
      <w:r w:rsidRPr="001F52E2">
        <w:rPr>
          <w:color w:val="010205"/>
        </w:rPr>
        <w:t>,05</w:t>
      </w:r>
      <w:proofErr w:type="gramEnd"/>
      <w:r w:rsidRPr="001F52E2">
        <w:rPr>
          <w:color w:val="010205"/>
        </w:rPr>
        <w:t xml:space="preserve"> artinya data berdistribusi normal. Dengan demikian data dapat diolah menggunakan statistis korelasi </w:t>
      </w:r>
      <w:proofErr w:type="gramStart"/>
      <w:r w:rsidRPr="001F52E2">
        <w:rPr>
          <w:color w:val="010205"/>
        </w:rPr>
        <w:t>pearson</w:t>
      </w:r>
      <w:proofErr w:type="gramEnd"/>
      <w:r w:rsidRPr="001F52E2">
        <w:rPr>
          <w:color w:val="010205"/>
        </w:rPr>
        <w:t>.</w:t>
      </w:r>
    </w:p>
    <w:p w:rsidR="00043BB6" w:rsidRDefault="00043BB6" w:rsidP="00043BB6">
      <w:pPr>
        <w:pStyle w:val="Abstrak"/>
        <w:jc w:val="center"/>
        <w:rPr>
          <w:b w:val="0"/>
        </w:rPr>
      </w:pPr>
      <w:r>
        <w:rPr>
          <w:b w:val="0"/>
        </w:rPr>
        <w:t>Tabel 3.</w:t>
      </w:r>
    </w:p>
    <w:p w:rsidR="00043BB6" w:rsidRDefault="00043BB6" w:rsidP="00043BB6">
      <w:pPr>
        <w:pStyle w:val="Abstrak"/>
        <w:jc w:val="center"/>
        <w:rPr>
          <w:b w:val="0"/>
        </w:rPr>
      </w:pPr>
      <w:r>
        <w:rPr>
          <w:b w:val="0"/>
        </w:rPr>
        <w:t>Uji Hipotesis</w:t>
      </w:r>
    </w:p>
    <w:tbl>
      <w:tblPr>
        <w:tblW w:w="4111" w:type="dxa"/>
        <w:tblLook w:val="04A0" w:firstRow="1" w:lastRow="0" w:firstColumn="1" w:lastColumn="0" w:noHBand="0" w:noVBand="1"/>
      </w:tblPr>
      <w:tblGrid>
        <w:gridCol w:w="644"/>
        <w:gridCol w:w="3175"/>
        <w:gridCol w:w="756"/>
      </w:tblGrid>
      <w:tr w:rsidR="009F32BC" w:rsidRPr="009F32BC" w:rsidTr="009A2C86">
        <w:trPr>
          <w:trHeight w:val="306"/>
        </w:trPr>
        <w:tc>
          <w:tcPr>
            <w:tcW w:w="3819" w:type="dxa"/>
            <w:gridSpan w:val="2"/>
            <w:tcBorders>
              <w:top w:val="single" w:sz="4" w:space="0" w:color="auto"/>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center"/>
              <w:rPr>
                <w:color w:val="000000"/>
                <w:lang w:val="en-US" w:eastAsia="en-US"/>
              </w:rPr>
            </w:pPr>
            <w:r w:rsidRPr="009F32BC">
              <w:rPr>
                <w:color w:val="000000"/>
                <w:lang w:eastAsia="en-US"/>
              </w:rPr>
              <w:t>AF</w:t>
            </w:r>
          </w:p>
        </w:tc>
        <w:tc>
          <w:tcPr>
            <w:tcW w:w="292" w:type="dxa"/>
            <w:tcBorders>
              <w:top w:val="single" w:sz="4" w:space="0" w:color="auto"/>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center"/>
              <w:rPr>
                <w:color w:val="000000"/>
                <w:lang w:val="en-US" w:eastAsia="en-US"/>
              </w:rPr>
            </w:pPr>
            <w:r w:rsidRPr="009F32BC">
              <w:rPr>
                <w:color w:val="000000"/>
                <w:lang w:eastAsia="en-US"/>
              </w:rPr>
              <w:t>PSC</w:t>
            </w:r>
          </w:p>
        </w:tc>
      </w:tr>
      <w:tr w:rsidR="009F32BC" w:rsidRPr="009F32BC" w:rsidTr="009A2C86">
        <w:trPr>
          <w:trHeight w:val="306"/>
        </w:trPr>
        <w:tc>
          <w:tcPr>
            <w:tcW w:w="644"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AF</w:t>
            </w:r>
          </w:p>
        </w:tc>
        <w:tc>
          <w:tcPr>
            <w:tcW w:w="3175"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Pearson Correlation            1</w:t>
            </w:r>
          </w:p>
        </w:tc>
        <w:tc>
          <w:tcPr>
            <w:tcW w:w="292"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right"/>
              <w:rPr>
                <w:color w:val="000000"/>
                <w:lang w:val="en-US" w:eastAsia="en-US"/>
              </w:rPr>
            </w:pPr>
            <w:r w:rsidRPr="009F32BC">
              <w:rPr>
                <w:color w:val="000000"/>
                <w:lang w:eastAsia="en-US"/>
              </w:rPr>
              <w:t>0,068</w:t>
            </w:r>
          </w:p>
        </w:tc>
      </w:tr>
      <w:tr w:rsidR="009F32BC" w:rsidRPr="009F32BC" w:rsidTr="009A2C86">
        <w:trPr>
          <w:trHeight w:val="306"/>
        </w:trPr>
        <w:tc>
          <w:tcPr>
            <w:tcW w:w="644"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 </w:t>
            </w:r>
          </w:p>
        </w:tc>
        <w:tc>
          <w:tcPr>
            <w:tcW w:w="3175"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Sig. (2-tailed)</w:t>
            </w:r>
          </w:p>
        </w:tc>
        <w:tc>
          <w:tcPr>
            <w:tcW w:w="292"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right"/>
              <w:rPr>
                <w:color w:val="000000"/>
                <w:lang w:val="en-US" w:eastAsia="en-US"/>
              </w:rPr>
            </w:pPr>
            <w:r w:rsidRPr="009F32BC">
              <w:rPr>
                <w:color w:val="000000"/>
                <w:lang w:eastAsia="en-US"/>
              </w:rPr>
              <w:t>0,639</w:t>
            </w:r>
          </w:p>
        </w:tc>
      </w:tr>
      <w:tr w:rsidR="009F32BC" w:rsidRPr="009F32BC" w:rsidTr="009A2C86">
        <w:trPr>
          <w:trHeight w:val="291"/>
        </w:trPr>
        <w:tc>
          <w:tcPr>
            <w:tcW w:w="644"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 </w:t>
            </w:r>
          </w:p>
        </w:tc>
        <w:tc>
          <w:tcPr>
            <w:tcW w:w="3175"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N                                       50</w:t>
            </w:r>
          </w:p>
        </w:tc>
        <w:tc>
          <w:tcPr>
            <w:tcW w:w="292"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right"/>
              <w:rPr>
                <w:color w:val="000000"/>
                <w:lang w:val="en-US" w:eastAsia="en-US"/>
              </w:rPr>
            </w:pPr>
            <w:r w:rsidRPr="009F32BC">
              <w:rPr>
                <w:color w:val="000000"/>
                <w:lang w:eastAsia="en-US"/>
              </w:rPr>
              <w:t>50</w:t>
            </w:r>
          </w:p>
        </w:tc>
      </w:tr>
      <w:tr w:rsidR="009F32BC" w:rsidRPr="009F32BC" w:rsidTr="009A2C86">
        <w:trPr>
          <w:trHeight w:val="306"/>
        </w:trPr>
        <w:tc>
          <w:tcPr>
            <w:tcW w:w="644"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PSC</w:t>
            </w:r>
          </w:p>
        </w:tc>
        <w:tc>
          <w:tcPr>
            <w:tcW w:w="3175"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Pearson Correlation       ,068</w:t>
            </w:r>
          </w:p>
        </w:tc>
        <w:tc>
          <w:tcPr>
            <w:tcW w:w="292"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right"/>
              <w:rPr>
                <w:color w:val="000000"/>
                <w:lang w:val="en-US" w:eastAsia="en-US"/>
              </w:rPr>
            </w:pPr>
            <w:r w:rsidRPr="009F32BC">
              <w:rPr>
                <w:color w:val="000000"/>
                <w:lang w:eastAsia="en-US"/>
              </w:rPr>
              <w:t>1</w:t>
            </w:r>
          </w:p>
        </w:tc>
      </w:tr>
      <w:tr w:rsidR="009F32BC" w:rsidRPr="009F32BC" w:rsidTr="009A2C86">
        <w:trPr>
          <w:trHeight w:val="306"/>
        </w:trPr>
        <w:tc>
          <w:tcPr>
            <w:tcW w:w="644"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 </w:t>
            </w:r>
          </w:p>
        </w:tc>
        <w:tc>
          <w:tcPr>
            <w:tcW w:w="3175"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Sig. (2-tailed)                 ,639</w:t>
            </w:r>
          </w:p>
        </w:tc>
        <w:tc>
          <w:tcPr>
            <w:tcW w:w="292"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 </w:t>
            </w:r>
          </w:p>
        </w:tc>
      </w:tr>
      <w:tr w:rsidR="009F32BC" w:rsidRPr="009F32BC" w:rsidTr="009A2C86">
        <w:trPr>
          <w:trHeight w:val="306"/>
        </w:trPr>
        <w:tc>
          <w:tcPr>
            <w:tcW w:w="644"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 </w:t>
            </w:r>
          </w:p>
        </w:tc>
        <w:tc>
          <w:tcPr>
            <w:tcW w:w="3175"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rPr>
                <w:color w:val="000000"/>
                <w:lang w:val="en-US" w:eastAsia="en-US"/>
              </w:rPr>
            </w:pPr>
            <w:r w:rsidRPr="009F32BC">
              <w:rPr>
                <w:color w:val="000000"/>
                <w:lang w:eastAsia="en-US"/>
              </w:rPr>
              <w:t>N                                       50</w:t>
            </w:r>
          </w:p>
        </w:tc>
        <w:tc>
          <w:tcPr>
            <w:tcW w:w="292" w:type="dxa"/>
            <w:tcBorders>
              <w:top w:val="nil"/>
              <w:left w:val="nil"/>
              <w:bottom w:val="single" w:sz="4" w:space="0" w:color="auto"/>
              <w:right w:val="nil"/>
            </w:tcBorders>
            <w:shd w:val="clear" w:color="auto" w:fill="auto"/>
            <w:noWrap/>
            <w:vAlign w:val="center"/>
            <w:hideMark/>
          </w:tcPr>
          <w:p w:rsidR="009F32BC" w:rsidRPr="009F32BC" w:rsidRDefault="009F32BC" w:rsidP="009F32BC">
            <w:pPr>
              <w:spacing w:line="240" w:lineRule="auto"/>
              <w:jc w:val="right"/>
              <w:rPr>
                <w:color w:val="000000"/>
                <w:lang w:val="en-US" w:eastAsia="en-US"/>
              </w:rPr>
            </w:pPr>
            <w:r w:rsidRPr="009F32BC">
              <w:rPr>
                <w:color w:val="000000"/>
                <w:lang w:eastAsia="en-US"/>
              </w:rPr>
              <w:t>50</w:t>
            </w:r>
          </w:p>
        </w:tc>
      </w:tr>
    </w:tbl>
    <w:p w:rsidR="00043BB6" w:rsidRDefault="00043BB6" w:rsidP="00043BB6">
      <w:pPr>
        <w:spacing w:line="360" w:lineRule="auto"/>
        <w:rPr>
          <w:lang w:val="en-ID"/>
        </w:rPr>
      </w:pPr>
    </w:p>
    <w:p w:rsidR="00043BB6" w:rsidRDefault="00043BB6" w:rsidP="00043BB6">
      <w:pPr>
        <w:spacing w:line="360" w:lineRule="auto"/>
        <w:rPr>
          <w:lang w:val="en-ID"/>
        </w:rPr>
      </w:pPr>
      <w:proofErr w:type="gramStart"/>
      <w:r>
        <w:rPr>
          <w:lang w:val="en-ID"/>
        </w:rPr>
        <w:t>Hipotesis :</w:t>
      </w:r>
      <w:proofErr w:type="gramEnd"/>
    </w:p>
    <w:p w:rsidR="00043BB6" w:rsidRDefault="00043BB6" w:rsidP="00043BB6">
      <w:pPr>
        <w:spacing w:line="360" w:lineRule="auto"/>
        <w:rPr>
          <w:lang w:val="en-ID"/>
        </w:rPr>
      </w:pPr>
      <w:proofErr w:type="gramStart"/>
      <w:r>
        <w:rPr>
          <w:lang w:val="en-ID"/>
        </w:rPr>
        <w:t>Ho :</w:t>
      </w:r>
      <w:proofErr w:type="gramEnd"/>
      <w:r>
        <w:rPr>
          <w:lang w:val="en-ID"/>
        </w:rPr>
        <w:t xml:space="preserve"> tidak terdapat hubungan antara PSC dengan aktivitas fisik.</w:t>
      </w:r>
    </w:p>
    <w:p w:rsidR="00043BB6" w:rsidRDefault="00043BB6" w:rsidP="00043BB6">
      <w:pPr>
        <w:spacing w:line="360" w:lineRule="auto"/>
        <w:rPr>
          <w:lang w:val="en-ID"/>
        </w:rPr>
      </w:pPr>
      <w:proofErr w:type="gramStart"/>
      <w:r>
        <w:rPr>
          <w:lang w:val="en-ID"/>
        </w:rPr>
        <w:t>Ha :</w:t>
      </w:r>
      <w:proofErr w:type="gramEnd"/>
      <w:r>
        <w:rPr>
          <w:lang w:val="en-ID"/>
        </w:rPr>
        <w:t xml:space="preserve"> terdapat hubungan antara PSC dengan aktivitas fisik.</w:t>
      </w:r>
    </w:p>
    <w:p w:rsidR="00043BB6" w:rsidRDefault="00043BB6" w:rsidP="00043BB6">
      <w:pPr>
        <w:spacing w:line="360" w:lineRule="auto"/>
        <w:rPr>
          <w:lang w:val="en-ID"/>
        </w:rPr>
      </w:pPr>
      <w:r>
        <w:rPr>
          <w:lang w:val="en-ID"/>
        </w:rPr>
        <w:t xml:space="preserve">Kriteria </w:t>
      </w:r>
      <w:proofErr w:type="gramStart"/>
      <w:r>
        <w:rPr>
          <w:lang w:val="en-ID"/>
        </w:rPr>
        <w:t>keputusan :</w:t>
      </w:r>
      <w:proofErr w:type="gramEnd"/>
    </w:p>
    <w:p w:rsidR="00043BB6" w:rsidRDefault="00043BB6" w:rsidP="00043BB6">
      <w:pPr>
        <w:pStyle w:val="ListParagraph"/>
        <w:numPr>
          <w:ilvl w:val="0"/>
          <w:numId w:val="32"/>
        </w:numPr>
        <w:spacing w:after="0" w:line="360" w:lineRule="auto"/>
        <w:rPr>
          <w:rFonts w:ascii="Times New Roman" w:hAnsi="Times New Roman"/>
          <w:sz w:val="24"/>
          <w:lang w:val="en-ID"/>
        </w:rPr>
      </w:pPr>
      <w:r>
        <w:rPr>
          <w:rFonts w:ascii="Times New Roman" w:hAnsi="Times New Roman"/>
          <w:sz w:val="24"/>
          <w:lang w:val="en-ID"/>
        </w:rPr>
        <w:t>Terima ho jika nilai sig &gt; 0,05</w:t>
      </w:r>
    </w:p>
    <w:p w:rsidR="00043BB6" w:rsidRDefault="00043BB6" w:rsidP="00043BB6">
      <w:pPr>
        <w:pStyle w:val="ListParagraph"/>
        <w:numPr>
          <w:ilvl w:val="0"/>
          <w:numId w:val="32"/>
        </w:numPr>
        <w:spacing w:after="0" w:line="360" w:lineRule="auto"/>
        <w:rPr>
          <w:rFonts w:ascii="Times New Roman" w:hAnsi="Times New Roman"/>
          <w:sz w:val="24"/>
          <w:lang w:val="en-ID"/>
        </w:rPr>
      </w:pPr>
      <w:r>
        <w:rPr>
          <w:rFonts w:ascii="Times New Roman" w:hAnsi="Times New Roman"/>
          <w:sz w:val="24"/>
          <w:lang w:val="en-ID"/>
        </w:rPr>
        <w:t>Tolak ho jika nilai sig &lt; 0,05</w:t>
      </w:r>
    </w:p>
    <w:p w:rsidR="00043BB6" w:rsidRPr="001F52E2" w:rsidRDefault="00043BB6" w:rsidP="00043BB6">
      <w:pPr>
        <w:spacing w:line="360" w:lineRule="auto"/>
        <w:jc w:val="both"/>
      </w:pPr>
      <w:proofErr w:type="gramStart"/>
      <w:r w:rsidRPr="001F52E2">
        <w:t xml:space="preserve">Berdasarkan  </w:t>
      </w:r>
      <w:r>
        <w:t>table</w:t>
      </w:r>
      <w:proofErr w:type="gramEnd"/>
      <w:r>
        <w:t xml:space="preserve"> </w:t>
      </w:r>
      <w:r w:rsidRPr="001F52E2">
        <w:t>3 diketahui nilai signifikan. 0,639 &gt; 0</w:t>
      </w:r>
      <w:proofErr w:type="gramStart"/>
      <w:r w:rsidRPr="001F52E2">
        <w:t>,05</w:t>
      </w:r>
      <w:proofErr w:type="gramEnd"/>
      <w:r w:rsidRPr="001F52E2">
        <w:t>. Dengan demikian maka Ho diterima, artinya tidak terdapat hubungan yang signifikan antara physical self concept dengan aktivitas fisik.</w:t>
      </w:r>
    </w:p>
    <w:p w:rsidR="00043BB6" w:rsidRDefault="00043BB6" w:rsidP="00043BB6">
      <w:pPr>
        <w:spacing w:line="360" w:lineRule="auto"/>
        <w:ind w:firstLine="720"/>
        <w:jc w:val="both"/>
      </w:pPr>
      <w:r>
        <w:t>Penelitian</w:t>
      </w:r>
      <w:r w:rsidRPr="00E73BB5">
        <w:t xml:space="preserve"> k</w:t>
      </w:r>
      <w:r>
        <w:t>orelasional menunjukkan bahwa aktivitas fisik</w:t>
      </w:r>
      <w:r w:rsidRPr="00E73BB5">
        <w:t xml:space="preserve"> berhubun</w:t>
      </w:r>
      <w:r>
        <w:t xml:space="preserve">gan positif dengan </w:t>
      </w:r>
      <w:r>
        <w:rPr>
          <w:i/>
        </w:rPr>
        <w:t xml:space="preserve">physical </w:t>
      </w:r>
      <w:r>
        <w:rPr>
          <w:i/>
        </w:rPr>
        <w:lastRenderedPageBreak/>
        <w:t xml:space="preserve">self-concept </w:t>
      </w:r>
      <w:r>
        <w:t>diantara 110 peserta anak-anak dan remaja.</w:t>
      </w:r>
      <w:r>
        <w:fldChar w:fldCharType="begin" w:fldLock="1"/>
      </w:r>
      <w:r>
        <w:instrText>ADDIN CSL_CITATION {"citationItems":[{"id":"ITEM-1","itemData":{"author":[{"dropping-particle":"","family":"Crocker","given":"Peter R E","non-dropping-particle":"","parse-names":false,"suffix":""},{"dropping-particle":"","family":"Sabiston","given":"Catherine M","non-dropping-particle":"","parse-names":false,"suffix":""},{"dropping-particle":"","family":"Mcdonough","given":"Meghan H","non-dropping-particle":"","parse-names":false,"suffix":""}],"id":"ITEM-1","issue":"September","issued":{"date-parts":[["2003"]]},"title":"Predicting change in physical activity , dietary restraint , and physique anxiety in adolescent girls : Examining covariance in physical self-perceptions Predicting change in physical activity , dietary restraint , and ...","type":"article-journal"},"uris":["http://www.mendeley.com/documents/?uuid=c02eff87-ddfd-4e6f-8111-00db6317c423"]}],"mendeley":{"formattedCitation":"(Crocker, Sabiston, &amp; Mcdonough, 2003)","manualFormatting":"(Crocker, Sabiston, and Mcdonough 2003","plainTextFormattedCitation":"(Crocker, Sabiston, &amp; Mcdonough, 2003)","previouslyFormattedCitation":"(P. R. E. Crocker, Sabiston, &amp; Mcdonough, 2003)"},"properties":{"noteIndex":0},"schema":"https://github.com/citation-style-language/schema/raw/master/csl-citation.json"}</w:instrText>
      </w:r>
      <w:r>
        <w:fldChar w:fldCharType="separate"/>
      </w:r>
      <w:r w:rsidRPr="000D5DD4">
        <w:rPr>
          <w:noProof/>
        </w:rPr>
        <w:t>(Crocker, Sabiston, and Mcdonough 2003</w:t>
      </w:r>
      <w:r>
        <w:fldChar w:fldCharType="end"/>
      </w:r>
      <w:r>
        <w:t>,</w:t>
      </w:r>
      <w:r w:rsidRPr="00E73BB5">
        <w:t xml:space="preserve"> </w:t>
      </w:r>
      <w:r>
        <w:fldChar w:fldCharType="begin" w:fldLock="1"/>
      </w:r>
      <w:r>
        <w:instrText>ADDIN CSL_CITATION {"citationItems":[{"id":"ITEM-1","itemData":{"DOI":"10.1037/0278-6133.25.3.396","author":[{"dropping-particle":"","family":"Dishman","given":"","non-dropping-particle":"","parse-names":false,"suffix":""}],"id":"ITEM-1","issue":"3","issued":{"date-parts":[["2006"]]},"page":"396-407","title":"Physical Self-Concept and Self-Esteem Mediate Cross-Sectional Relations of Physical Activity and Sport Participation With Depression Symptoms Among Adolescent Girls","type":"article-journal","volume":"25"},"uris":["http://www.mendeley.com/documents/?uuid=50c9546c-b7c3-4279-8ad0-40135ebe34ae"]}],"mendeley":{"formattedCitation":"(Dishman, 2006)","manualFormatting":"Dishman et al. 2006,","plainTextFormattedCitation":"(Dishman, 2006)","previouslyFormattedCitation":"(Dishman, 2006)"},"properties":{"noteIndex":0},"schema":"https://github.com/citation-style-language/schema/raw/master/csl-citation.json"}</w:instrText>
      </w:r>
      <w:r>
        <w:fldChar w:fldCharType="separate"/>
      </w:r>
      <w:r w:rsidRPr="000D5DD4">
        <w:rPr>
          <w:noProof/>
        </w:rPr>
        <w:t>Dishman et al. 2006</w:t>
      </w:r>
      <w:r>
        <w:rPr>
          <w:noProof/>
        </w:rPr>
        <w:t>,</w:t>
      </w:r>
      <w:r>
        <w:fldChar w:fldCharType="end"/>
      </w:r>
      <w:r w:rsidRPr="00E73BB5">
        <w:t xml:space="preserve">  </w:t>
      </w:r>
      <w:r>
        <w:fldChar w:fldCharType="begin" w:fldLock="1"/>
      </w:r>
      <w:r>
        <w:instrText>ADDIN CSL_CITATION {"citationItems":[{"id":"ITEM-1","itemData":{"DOI":"10.1080/02701367.2001.10608936","author":[{"dropping-particle":"","family":"Nigg","given":"Claudio R","non-dropping-particle":"","parse-names":false,"suffix":""},{"dropping-particle":"","family":"Norman","given":"Gregory J","non-dropping-particle":"","parse-names":false,"suffix":""},{"dropping-particle":"","family":"Rossi","given":"Joseph S","non-dropping-particle":"","parse-names":false,"suffix":""},{"dropping-particle":"V","family":"Benisovich","given":"Sonya","non-dropping-particle":"","parse-names":false,"suffix":""},{"dropping-particle":"","family":"Nigg","given":"Claudio R","non-dropping-particle":"","parse-names":false,"suffix":""},{"dropping-particle":"","family":"Gregory","given":"J","non-dropping-particle":"","parse-names":false,"suffix":""},{"dropping-particle":"","family":"Joseph","given":"S","non-dropping-particle":"","parse-names":false,"suffix":""}],"id":"ITEM-1","issue":"August 2015","issued":{"date-parts":[["0"]]},"title":"Research Quarterly for Exercise and Sport","type":"article-journal"},"uris":["http://www.mendeley.com/documents/?uuid=36383343-b41f-4c56-b807-6fbf564ad4c5"]}],"mendeley":{"formattedCitation":"(Nigg et al., n.d.)","manualFormatting":"Nigg et al. n.d.","plainTextFormattedCitation":"(Nigg et al., n.d.)","previouslyFormattedCitation":"(Nigg et al., n.d.)"},"properties":{"noteIndex":0},"schema":"https://github.com/citation-style-language/schema/raw/master/csl-citation.json"}</w:instrText>
      </w:r>
      <w:r>
        <w:fldChar w:fldCharType="separate"/>
      </w:r>
      <w:r w:rsidRPr="000D5DD4">
        <w:rPr>
          <w:noProof/>
        </w:rPr>
        <w:t>Nigg et al. n.d.</w:t>
      </w:r>
      <w:r>
        <w:fldChar w:fldCharType="end"/>
      </w:r>
      <w:r>
        <w:t>,</w:t>
      </w:r>
      <w:r w:rsidRPr="00E73BB5">
        <w:t xml:space="preserve">  </w:t>
      </w:r>
      <w:r>
        <w:fldChar w:fldCharType="begin" w:fldLock="1"/>
      </w:r>
      <w:r>
        <w:instrText>ADDIN CSL_CITATION {"citationItems":[{"id":"ITEM-1","itemData":{"DOI":"10.1111/j.1600-0838.2004.00406.x","author":[{"dropping-particle":"","family":"Gudasic","given":"Helena","non-dropping-particle":"","parse-names":false,"suffix":""},{"dropping-particle":"","family":"Kinnunen","given":"Anneli","non-dropping-particle":"","parse-names":false,"suffix":""},{"dropping-particle":"","family":"Mattsson","given":"Eva","non-dropping-particle":"","parse-names":false,"suffix":""}],"id":"ITEM-1","issue":"1995","issued":{"date-parts":[["2005"]]},"page":"126-134","title":"Physical activity and self-perception in school children assessed with the Children and Youth – Physical Self-Perception Profile","type":"article-journal"},"uris":["http://www.mendeley.com/documents/?uuid=90945518-b4d3-4955-b215-90d87fd6318c"]}],"mendeley":{"formattedCitation":"(Gudasic, Kinnunen, &amp; Mattsson, 2005)","manualFormatting":"Gudasic, Kinnunen, and Mattsson 2005)","plainTextFormattedCitation":"(Gudasic, Kinnunen, &amp; Mattsson, 2005)","previouslyFormattedCitation":"(Gudasic, Kinnunen, &amp; Mattsson, 2005)"},"properties":{"noteIndex":0},"schema":"https://github.com/citation-style-language/schema/raw/master/csl-citation.json"}</w:instrText>
      </w:r>
      <w:r>
        <w:fldChar w:fldCharType="separate"/>
      </w:r>
      <w:r w:rsidRPr="000D5DD4">
        <w:rPr>
          <w:noProof/>
        </w:rPr>
        <w:t>Gudasic, Kinnunen, and Mattsson 2005)</w:t>
      </w:r>
      <w:r>
        <w:fldChar w:fldCharType="end"/>
      </w:r>
      <w:r w:rsidRPr="00E73BB5">
        <w:t>, dan tinjauan baru-baru ini dari studi intervensi di antara anak-anak dan remaja mendukun</w:t>
      </w:r>
      <w:r>
        <w:t>g bahwa peningkatan aktivitas fisik</w:t>
      </w:r>
      <w:r w:rsidRPr="00E73BB5">
        <w:t xml:space="preserve"> menghasilkan peningkatan jangka pendek dalam </w:t>
      </w:r>
      <w:r>
        <w:rPr>
          <w:i/>
        </w:rPr>
        <w:t>physical self-concept</w:t>
      </w:r>
      <w:r>
        <w:t xml:space="preserve"> di kalangan remaja.</w:t>
      </w:r>
      <w:r>
        <w:fldChar w:fldCharType="begin" w:fldLock="1"/>
      </w:r>
      <w:r>
        <w:instrText>ADDIN CSL_CITATION {"citationItems":[{"id":"ITEM-1","itemData":{"DOI":"10.4073/csr.2005.4","author":[{"dropping-particle":"","family":"Ekeland","given":"Eilin","non-dropping-particle":"","parse-names":false,"suffix":""},{"dropping-particle":"","family":"Heian","given":"Frode","non-dropping-particle":"","parse-names":false,"suffix":""},{"dropping-particle":"","family":"Hagen","given":"Kåre Birger","non-dropping-particle":"","parse-names":false,"suffix":""},{"dropping-particle":"","family":"Abbott","given":"Jo","non-dropping-particle":"","parse-names":false,"suffix":""},{"dropping-particle":"","family":"Birger","given":"Kåre","non-dropping-particle":"","parse-names":false,"suffix":""}],"id":"ITEM-1","issued":{"date-parts":[["2005"]]},"title":"Exercise to Improve Self- Esteem in Children and Young People","type":"article-journal"},"uris":["http://www.mendeley.com/documents/?uuid=55e429bd-b2f4-4e85-859e-12b5ea046b4f"]}],"mendeley":{"formattedCitation":"(Ekeland, Heian, Hagen, Abbott, &amp; Birger, 2005)","plainTextFormattedCitation":"(Ekeland, Heian, Hagen, Abbott, &amp; Birger, 2005)","previouslyFormattedCitation":"(Ekeland, Heian, Hagen, Abbott, &amp; Birger, 2005)"},"properties":{"noteIndex":0},"schema":"https://github.com/citation-style-language/schema/raw/master/csl-citation.json"}</w:instrText>
      </w:r>
      <w:r>
        <w:fldChar w:fldCharType="separate"/>
      </w:r>
      <w:r w:rsidRPr="00D112DF">
        <w:rPr>
          <w:noProof/>
        </w:rPr>
        <w:t>(Ekeland, Heian, Hagen, Abbott, &amp; Birger, 2005)</w:t>
      </w:r>
      <w:r>
        <w:fldChar w:fldCharType="end"/>
      </w:r>
      <w:r w:rsidRPr="00E73BB5">
        <w:t>. Akan tetapi, penulis ulasan tersebut mencatat bahwa banyak penelitian di kalangan anak muda telah mengalami keterbatasan metodologis, hanya satu dari 25 penelitian yang termasuk dalam kajian yang</w:t>
      </w:r>
      <w:r>
        <w:t xml:space="preserve"> dinilai memiliki '' risiko bias</w:t>
      </w:r>
      <w:r w:rsidRPr="00E73BB5">
        <w:t xml:space="preserve"> yang rendah, '</w:t>
      </w:r>
      <w:r>
        <w:t>' dan 14 memiliki '' risiko bias</w:t>
      </w:r>
      <w:r w:rsidRPr="00E73BB5">
        <w:t xml:space="preserve"> yang tinggi. '' Demikian pula, meta-analisis intervensi di antara orang dewasa </w:t>
      </w:r>
      <w:r>
        <w:fldChar w:fldCharType="begin" w:fldLock="1"/>
      </w:r>
      <w:r>
        <w:instrText>ADDIN CSL_CITATION {"citationItems":[{"id":"ITEM-1","itemData":{"DOI":"10.1123/jsep.27.3.311","ISBN":"08952779","ISSN":"0895-2779","PMID":"18014693","abstract":"The purpose of this study was to quantitatively review the body of research on exercise and global self-esteem (GSE). This review focuses specifi cally on studies using adults and also incorporates both published and unpublished works. Computer and manual searches identifi ed 113 studies matching the selection criteria. Each study was coded according to 20 study features. A total of 128 effect sizes ( d ) were derived. As indicated by effect-size magnitude, participation in exercise brought about a small change in GSE ( d = +0.23). d = +0.23). d Change in physical fi tness and type of program were signifi cant moderators of the effect of exercise on GSE. Larger effect sizes were observed for those who experienced signifi cant changes in physical fi tness and those participating in exercise or lifestyle programs as opposed to skills training","author":[{"dropping-particle":"","family":"Spence","given":"John C.","non-dropping-particle":"","parse-names":false,"suffix":""},{"dropping-particle":"","family":"McGannon","given":"Kerry R.","non-dropping-particle":"","parse-names":false,"suffix":""},{"dropping-particle":"","family":"Poon","given":"Pauline","non-dropping-particle":"","parse-names":false,"suffix":""}],"container-title":"Journal of Sport and Exercise Psychology","id":"ITEM-1","issue":"3","issued":{"date-parts":[["2005"]]},"page":"311-334","title":"The Effect of Exercise on Global Self-Esteem: A Quantitative Review","type":"article-journal","volume":"27"},"uris":["http://www.mendeley.com/documents/?uuid=e9b071f0-2c43-4431-b068-0d444f47b3a0"]}],"mendeley":{"formattedCitation":"(Spence, McGannon, &amp; Poon, 2005)","plainTextFormattedCitation":"(Spence, McGannon, &amp; Poon, 2005)","previouslyFormattedCitation":"(Spence, McGannon, &amp; Poon, 2005)"},"properties":{"noteIndex":0},"schema":"https://github.com/citation-style-language/schema/raw/master/csl-citation.json"}</w:instrText>
      </w:r>
      <w:r>
        <w:fldChar w:fldCharType="separate"/>
      </w:r>
      <w:r w:rsidRPr="00D112DF">
        <w:rPr>
          <w:noProof/>
        </w:rPr>
        <w:t>(Spence, McGannon, &amp; Poon, 2005)</w:t>
      </w:r>
      <w:r>
        <w:fldChar w:fldCharType="end"/>
      </w:r>
      <w:r w:rsidRPr="00E73BB5">
        <w:t xml:space="preserve"> menyimp</w:t>
      </w:r>
      <w:r>
        <w:t>ulkan bahwa partisipasi dalam aktivitas fisik</w:t>
      </w:r>
      <w:r w:rsidRPr="00E73BB5">
        <w:t xml:space="preserve"> menghasilkan perbaikan kecil y</w:t>
      </w:r>
      <w:r>
        <w:t xml:space="preserve">ang signifikan dalam </w:t>
      </w:r>
      <w:r>
        <w:rPr>
          <w:i/>
        </w:rPr>
        <w:t>physical self-concept</w:t>
      </w:r>
      <w:r w:rsidRPr="00E73BB5">
        <w:t>, namun mengeluarkan seruan untuk penelitian lebih l</w:t>
      </w:r>
      <w:r>
        <w:t xml:space="preserve">anjut dari tautan </w:t>
      </w:r>
      <w:r>
        <w:rPr>
          <w:i/>
        </w:rPr>
        <w:t xml:space="preserve">physical self-concept </w:t>
      </w:r>
      <w:r>
        <w:t>dan aktivitas fisik</w:t>
      </w:r>
      <w:r w:rsidRPr="00E73BB5">
        <w:t xml:space="preserve"> yang menguji perubahan dalam kebugaran fisik aktual.</w:t>
      </w:r>
      <w:r>
        <w:t xml:space="preserve"> </w:t>
      </w:r>
    </w:p>
    <w:p w:rsidR="00043BB6" w:rsidRPr="00D458BE" w:rsidRDefault="00043BB6" w:rsidP="00043BB6">
      <w:pPr>
        <w:spacing w:line="360" w:lineRule="auto"/>
        <w:ind w:firstLine="720"/>
        <w:jc w:val="both"/>
      </w:pPr>
      <w:r>
        <w:rPr>
          <w:szCs w:val="28"/>
        </w:rPr>
        <w:t xml:space="preserve">Hasil dari penelitain ini tidak ada  </w:t>
      </w:r>
      <w:r w:rsidRPr="00D24038">
        <w:rPr>
          <w:szCs w:val="28"/>
        </w:rPr>
        <w:t>hubungan</w:t>
      </w:r>
      <w:r>
        <w:rPr>
          <w:szCs w:val="28"/>
        </w:rPr>
        <w:t xml:space="preserve"> yang signifikan</w:t>
      </w:r>
      <w:r w:rsidRPr="00D24038">
        <w:rPr>
          <w:szCs w:val="28"/>
        </w:rPr>
        <w:t xml:space="preserve"> antara </w:t>
      </w:r>
      <w:r>
        <w:rPr>
          <w:i/>
          <w:szCs w:val="28"/>
        </w:rPr>
        <w:t>physical self-concept</w:t>
      </w:r>
      <w:r w:rsidRPr="00D24038">
        <w:rPr>
          <w:szCs w:val="28"/>
        </w:rPr>
        <w:t xml:space="preserve"> dan akti</w:t>
      </w:r>
      <w:r>
        <w:rPr>
          <w:szCs w:val="28"/>
        </w:rPr>
        <w:t xml:space="preserve">vitas fisik di antara  remaja, setidaknya minimum </w:t>
      </w:r>
      <w:r>
        <w:rPr>
          <w:szCs w:val="28"/>
        </w:rPr>
        <w:lastRenderedPageBreak/>
        <w:t xml:space="preserve">sampel </w:t>
      </w:r>
      <w:r>
        <w:t>u</w:t>
      </w:r>
      <w:r w:rsidRPr="00CD0478">
        <w:t>ntuk studi korelasional, sampel setidaknya 50 dianggap perlu untuk membangun keberadaan suatu hubungan</w:t>
      </w:r>
      <w:r>
        <w:t xml:space="preserve"> </w:t>
      </w:r>
      <w:r>
        <w:fldChar w:fldCharType="begin" w:fldLock="1"/>
      </w:r>
      <w:r>
        <w:instrText>ADDIN CSL_CITATION {"citationItems":[{"id":"ITEM-1","itemData":{"ISBN":"9780078097850","author":[{"dropping-particle":"","family":"Fraenkel, Jack R., Norman E. Wallen","given":"Helen H. Hyun","non-dropping-particle":"","parse-names":false,"suffix":""}],"id":"ITEM-1","issued":{"date-parts":[["2007"]]},"title":"How to Design and Evaluate Research in Education","type":"article"},"uris":["http://www.mendeley.com/documents/?uuid=3bcdd440-edbe-4b66-bf76-c3cd2151d3bf"]}],"mendeley":{"formattedCitation":"(Fraenkel, Jack R., Norman E. Wallen, 2007)","plainTextFormattedCitation":"(Fraenkel, Jack R., Norman E. Wallen, 2007)"},"properties":{"noteIndex":0},"schema":"https://github.com/citation-style-language/schema/raw/master/csl-citation.json"}</w:instrText>
      </w:r>
      <w:r>
        <w:fldChar w:fldCharType="separate"/>
      </w:r>
      <w:r w:rsidRPr="00D458BE">
        <w:rPr>
          <w:noProof/>
        </w:rPr>
        <w:t>(Fraenkel, Jack R., Norman E. Wallen, 2007)</w:t>
      </w:r>
      <w:r>
        <w:fldChar w:fldCharType="end"/>
      </w:r>
      <w:r w:rsidRPr="00CD0478">
        <w:t>.</w:t>
      </w:r>
      <w:r>
        <w:t xml:space="preserve"> Penulis menyarankan pada penelitian hubungan </w:t>
      </w:r>
      <w:r>
        <w:rPr>
          <w:i/>
        </w:rPr>
        <w:t xml:space="preserve">physical self-concept </w:t>
      </w:r>
      <w:r>
        <w:t xml:space="preserve">dengan aktivitas fisik disarankan bagi peneliti selanjutnya yang </w:t>
      </w:r>
      <w:proofErr w:type="gramStart"/>
      <w:r>
        <w:t>akan</w:t>
      </w:r>
      <w:proofErr w:type="gramEnd"/>
      <w:r>
        <w:t xml:space="preserve"> meneliti lebih lanjut agar menambah jumlah sampel lebih banyak lagi agar mendapatkan hasil yang lebih baik.</w:t>
      </w:r>
    </w:p>
    <w:p w:rsidR="00043BB6" w:rsidRDefault="00043BB6" w:rsidP="00043BB6">
      <w:pPr>
        <w:pStyle w:val="Abstrak"/>
      </w:pPr>
      <w:r>
        <w:t>KESIMPULAN</w:t>
      </w:r>
    </w:p>
    <w:p w:rsidR="00043BB6" w:rsidRDefault="00043BB6" w:rsidP="00043BB6">
      <w:pPr>
        <w:spacing w:line="360" w:lineRule="auto"/>
        <w:rPr>
          <w:b/>
          <w:lang w:val="en-ID"/>
        </w:rPr>
      </w:pPr>
      <w:r w:rsidRPr="00E41003">
        <w:rPr>
          <w:lang w:val="en-ID"/>
        </w:rPr>
        <w:t xml:space="preserve">Hasil dari penelitian ini disimpulkan bahwa tidak terdapat hubungan yang signifikan dari </w:t>
      </w:r>
      <w:r w:rsidRPr="00D23135">
        <w:rPr>
          <w:i/>
          <w:lang w:val="en-ID"/>
        </w:rPr>
        <w:t>physical self-concept</w:t>
      </w:r>
      <w:r w:rsidRPr="00E41003">
        <w:rPr>
          <w:lang w:val="en-ID"/>
        </w:rPr>
        <w:t xml:space="preserve"> dan aktivitas fisik anak </w:t>
      </w:r>
      <w:proofErr w:type="gramStart"/>
      <w:r w:rsidRPr="00E41003">
        <w:rPr>
          <w:lang w:val="en-ID"/>
        </w:rPr>
        <w:t>usia</w:t>
      </w:r>
      <w:proofErr w:type="gramEnd"/>
      <w:r w:rsidRPr="00E41003">
        <w:rPr>
          <w:lang w:val="en-ID"/>
        </w:rPr>
        <w:t xml:space="preserve"> remaja.</w:t>
      </w:r>
    </w:p>
    <w:p w:rsidR="00043BB6" w:rsidRDefault="00043BB6" w:rsidP="00043BB6">
      <w:pPr>
        <w:pStyle w:val="Abstrak"/>
      </w:pPr>
      <w:r w:rsidRPr="00C45866">
        <w:t>REFERENSI</w:t>
      </w:r>
    </w:p>
    <w:p w:rsidR="00043BB6" w:rsidRPr="00E41003" w:rsidRDefault="00043BB6" w:rsidP="00043BB6">
      <w:pPr>
        <w:spacing w:line="360" w:lineRule="auto"/>
        <w:jc w:val="both"/>
        <w:rPr>
          <w:bCs/>
          <w:lang w:val="en-ID"/>
        </w:rPr>
      </w:pPr>
      <w:r w:rsidRPr="00E41003">
        <w:rPr>
          <w:bCs/>
          <w:lang w:val="en-ID"/>
        </w:rPr>
        <w:t>American Academy of Pediatrics. Committee on Public Education, C. on P. (2001). American Academy of Pediatrics: Children, adolescents, and television. Pediatrics. https://doi.org/10.1542/PEDS.107.2.423</w:t>
      </w:r>
    </w:p>
    <w:p w:rsidR="00043BB6" w:rsidRPr="00E41003" w:rsidRDefault="00043BB6" w:rsidP="00043BB6">
      <w:pPr>
        <w:spacing w:line="360" w:lineRule="auto"/>
        <w:jc w:val="both"/>
        <w:rPr>
          <w:bCs/>
          <w:lang w:val="en-ID"/>
        </w:rPr>
      </w:pPr>
      <w:r w:rsidRPr="00E41003">
        <w:rPr>
          <w:bCs/>
          <w:lang w:val="en-ID"/>
        </w:rPr>
        <w:t>Bauman, A., Bellew, B., Vita, P., Brown, W., &amp; Owen, N. (2002). Getting Australia active: toward better practice for the promotion of physical activity. Retrieved from http://www.health.vic.gov.au/archive/archive2014/nphp/publications/sigpah/gaa.pdf</w:t>
      </w:r>
    </w:p>
    <w:p w:rsidR="00043BB6" w:rsidRPr="00E41003" w:rsidRDefault="00043BB6" w:rsidP="00043BB6">
      <w:pPr>
        <w:spacing w:line="360" w:lineRule="auto"/>
        <w:jc w:val="both"/>
        <w:rPr>
          <w:bCs/>
          <w:lang w:val="en-ID"/>
        </w:rPr>
      </w:pPr>
      <w:r w:rsidRPr="00E41003">
        <w:rPr>
          <w:bCs/>
          <w:lang w:val="en-ID"/>
        </w:rPr>
        <w:t xml:space="preserve">Craven, R. G., &amp; Marsh, H. W. (2008). The centrality of the self-concept </w:t>
      </w:r>
      <w:r w:rsidRPr="00E41003">
        <w:rPr>
          <w:bCs/>
          <w:lang w:val="en-ID"/>
        </w:rPr>
        <w:lastRenderedPageBreak/>
        <w:t>construct for psychological wellbeing and unlocking human potential : Implications for child and educational psychologists. Educational &amp; Child Psychology, 25(2), 104–118. https://doi.org/10.1111/1467-8624.00421</w:t>
      </w:r>
    </w:p>
    <w:p w:rsidR="00043BB6" w:rsidRPr="00E41003" w:rsidRDefault="00043BB6" w:rsidP="00043BB6">
      <w:pPr>
        <w:spacing w:line="360" w:lineRule="auto"/>
        <w:jc w:val="both"/>
        <w:rPr>
          <w:bCs/>
          <w:lang w:val="en-ID"/>
        </w:rPr>
      </w:pPr>
      <w:r w:rsidRPr="00E41003">
        <w:rPr>
          <w:bCs/>
          <w:lang w:val="en-ID"/>
        </w:rPr>
        <w:t>Daniels, D. (2000). Business management - Emerging marketplace demands printers put emphasis on employees’ motivational drives. Instant and Small Commercial Printer, 19(6), 40. https://doi.org/10.3102/00346543046003407</w:t>
      </w:r>
    </w:p>
    <w:p w:rsidR="00043BB6" w:rsidRPr="00E41003" w:rsidRDefault="00043BB6" w:rsidP="00043BB6">
      <w:pPr>
        <w:spacing w:line="360" w:lineRule="auto"/>
        <w:jc w:val="both"/>
        <w:rPr>
          <w:bCs/>
          <w:lang w:val="en-ID"/>
        </w:rPr>
      </w:pPr>
      <w:r w:rsidRPr="00E41003">
        <w:rPr>
          <w:bCs/>
          <w:lang w:val="en-ID"/>
        </w:rPr>
        <w:t>Department of Health. (2004). At Least Five a Week- Evidence on the impact of physcal activity and its relationship to health. Department of Health. https://doi.org/10.1111/j.1467-3010.2004.00455.x</w:t>
      </w:r>
    </w:p>
    <w:p w:rsidR="00043BB6" w:rsidRPr="00E41003" w:rsidRDefault="00043BB6" w:rsidP="00043BB6">
      <w:pPr>
        <w:spacing w:line="360" w:lineRule="auto"/>
        <w:jc w:val="both"/>
        <w:rPr>
          <w:bCs/>
          <w:lang w:val="en-ID"/>
        </w:rPr>
      </w:pPr>
      <w:r w:rsidRPr="00E41003">
        <w:rPr>
          <w:bCs/>
          <w:lang w:val="en-ID"/>
        </w:rPr>
        <w:t>Department of Health and Ageing. (2004). Active kids are healthy kids. Australia’s Physical Activity Recommendations for 5-12 year olds. Commonwealth of Australia.</w:t>
      </w:r>
    </w:p>
    <w:p w:rsidR="00043BB6" w:rsidRPr="00E41003" w:rsidRDefault="00043BB6" w:rsidP="00043BB6">
      <w:pPr>
        <w:spacing w:line="360" w:lineRule="auto"/>
        <w:jc w:val="both"/>
        <w:rPr>
          <w:bCs/>
          <w:lang w:val="en-ID"/>
        </w:rPr>
      </w:pPr>
      <w:r w:rsidRPr="00E41003">
        <w:rPr>
          <w:bCs/>
          <w:lang w:val="en-ID"/>
        </w:rPr>
        <w:t xml:space="preserve">Gónzalez Fernández, O. (2011). La presión sociocultural percibida sobre el autoconcepto físico: naturaleza, medida y variabilidad. Servicio Editorial de la Universidad </w:t>
      </w:r>
      <w:proofErr w:type="gramStart"/>
      <w:r w:rsidRPr="00E41003">
        <w:rPr>
          <w:bCs/>
          <w:lang w:val="en-ID"/>
        </w:rPr>
        <w:t>del</w:t>
      </w:r>
      <w:proofErr w:type="gramEnd"/>
      <w:r w:rsidRPr="00E41003">
        <w:rPr>
          <w:bCs/>
          <w:lang w:val="en-ID"/>
        </w:rPr>
        <w:t xml:space="preserve"> País Vasco. Retrieved from http://www.ehu.es/argitalpenak/images/stories/tesis/Ciencias_Sociales/GONZA</w:t>
      </w:r>
      <w:r w:rsidRPr="00E41003">
        <w:rPr>
          <w:bCs/>
          <w:lang w:val="en-ID"/>
        </w:rPr>
        <w:lastRenderedPageBreak/>
        <w:t>LEZ FERNANDEZ OSCAR.pdf%5Cnhttp://www.psikor.es/images/docs/tesis/la-presion-sociocultural-percibida-sobre-el-autoconcepto-fisico-naturaleza-medida-y-variabilidad.pdf</w:t>
      </w:r>
    </w:p>
    <w:p w:rsidR="00043BB6" w:rsidRPr="00E41003" w:rsidRDefault="00043BB6" w:rsidP="00043BB6">
      <w:pPr>
        <w:spacing w:line="360" w:lineRule="auto"/>
        <w:jc w:val="both"/>
        <w:rPr>
          <w:bCs/>
          <w:lang w:val="en-ID"/>
        </w:rPr>
      </w:pPr>
      <w:r w:rsidRPr="00E41003">
        <w:rPr>
          <w:bCs/>
          <w:lang w:val="en-ID"/>
        </w:rPr>
        <w:t>Lifestyles Statistics Team. (2015). Statistics on Obesity, Physical Activity and Diet: England 2015. Health and Social Care Information Centre. https://doi.org/http://www.ic.nhs.uk/pubs/alcohol09</w:t>
      </w:r>
    </w:p>
    <w:p w:rsidR="00043BB6" w:rsidRPr="00E41003" w:rsidRDefault="00043BB6" w:rsidP="00043BB6">
      <w:pPr>
        <w:spacing w:line="360" w:lineRule="auto"/>
        <w:jc w:val="both"/>
        <w:rPr>
          <w:bCs/>
          <w:lang w:val="en-ID"/>
        </w:rPr>
      </w:pPr>
      <w:r w:rsidRPr="00E41003">
        <w:rPr>
          <w:bCs/>
          <w:lang w:val="en-ID"/>
        </w:rPr>
        <w:t>Seefeldt, V., Malina, R. M., &amp; Clark, M. A. (2002). Factors affecting levels of physical activity in adults. Sports Medicine. https://doi.org/10.2165/00007256-200232030-00001</w:t>
      </w:r>
    </w:p>
    <w:p w:rsidR="00043BB6" w:rsidRPr="00E41003" w:rsidRDefault="00043BB6" w:rsidP="00043BB6">
      <w:pPr>
        <w:spacing w:line="360" w:lineRule="auto"/>
        <w:jc w:val="both"/>
        <w:rPr>
          <w:bCs/>
          <w:lang w:val="en-ID"/>
        </w:rPr>
      </w:pPr>
      <w:r w:rsidRPr="00E41003">
        <w:rPr>
          <w:bCs/>
          <w:lang w:val="en-ID"/>
        </w:rPr>
        <w:t>U.S. Department Of Health And Human Services. (1996a). Physical Activity and Health: A Report of the Surgeon General. National Center for Chronic Disease Prevention and Health Promotion. https://doi.org/10.1080/01635580903441295</w:t>
      </w:r>
    </w:p>
    <w:p w:rsidR="00043BB6" w:rsidRPr="00E41003" w:rsidRDefault="00043BB6" w:rsidP="00043BB6">
      <w:pPr>
        <w:spacing w:line="360" w:lineRule="auto"/>
        <w:jc w:val="both"/>
        <w:rPr>
          <w:bCs/>
          <w:lang w:val="en-ID"/>
        </w:rPr>
      </w:pPr>
    </w:p>
    <w:p w:rsidR="00043BB6" w:rsidRPr="00E41003" w:rsidRDefault="00043BB6" w:rsidP="00043BB6">
      <w:pPr>
        <w:spacing w:line="360" w:lineRule="auto"/>
        <w:jc w:val="both"/>
        <w:rPr>
          <w:bCs/>
          <w:lang w:val="en-ID"/>
        </w:rPr>
      </w:pPr>
      <w:r w:rsidRPr="00E41003">
        <w:rPr>
          <w:bCs/>
          <w:lang w:val="en-ID"/>
        </w:rPr>
        <w:t xml:space="preserve">U.S. Department Of Health And Human Services. (1996b). Physical Activity and Health: A Report of the Surgeon General. U.S. Department of Health and Human Services, Centers for Disease Control and Prevention, National Center for Chronic Disease Prevention and </w:t>
      </w:r>
      <w:r w:rsidRPr="00E41003">
        <w:rPr>
          <w:bCs/>
          <w:lang w:val="en-ID"/>
        </w:rPr>
        <w:lastRenderedPageBreak/>
        <w:t>Health Promotion. https://doi.org/10.1080/01635580903441295</w:t>
      </w:r>
    </w:p>
    <w:p w:rsidR="00043BB6" w:rsidRDefault="00043BB6" w:rsidP="00077AF2">
      <w:pPr>
        <w:sectPr w:rsidR="00043BB6" w:rsidSect="00043BB6">
          <w:type w:val="continuous"/>
          <w:pgSz w:w="11901" w:h="16840" w:code="9"/>
          <w:pgMar w:top="1418" w:right="1701" w:bottom="1418" w:left="1701" w:header="709" w:footer="709" w:gutter="0"/>
          <w:cols w:num="2" w:space="708"/>
          <w:docGrid w:linePitch="360"/>
        </w:sectPr>
      </w:pPr>
    </w:p>
    <w:p w:rsidR="00043BB6" w:rsidRPr="00077AF2" w:rsidRDefault="00043BB6" w:rsidP="00077AF2"/>
    <w:sectPr w:rsidR="00043BB6" w:rsidRPr="00077AF2" w:rsidSect="00043BB6">
      <w:type w:val="continuous"/>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2E8" w:rsidRDefault="00C502E8" w:rsidP="00AF2C92">
      <w:r>
        <w:separator/>
      </w:r>
    </w:p>
  </w:endnote>
  <w:endnote w:type="continuationSeparator" w:id="0">
    <w:p w:rsidR="00C502E8" w:rsidRDefault="00C502E8"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DD" w:rsidRDefault="002211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DD" w:rsidRDefault="002211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DD" w:rsidRDefault="00221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2E8" w:rsidRDefault="00C502E8" w:rsidP="00AF2C92">
      <w:r>
        <w:separator/>
      </w:r>
    </w:p>
  </w:footnote>
  <w:footnote w:type="continuationSeparator" w:id="0">
    <w:p w:rsidR="00C502E8" w:rsidRDefault="00C502E8" w:rsidP="00AF2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DD" w:rsidRDefault="002211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DD" w:rsidRDefault="002211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DD" w:rsidRDefault="002211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C391CAF"/>
    <w:multiLevelType w:val="hybridMultilevel"/>
    <w:tmpl w:val="2CAA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35557FC"/>
    <w:multiLevelType w:val="hybridMultilevel"/>
    <w:tmpl w:val="36F8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2"/>
  </w:num>
  <w:num w:numId="15">
    <w:abstractNumId w:val="15"/>
  </w:num>
  <w:num w:numId="16">
    <w:abstractNumId w:val="17"/>
  </w:num>
  <w:num w:numId="17">
    <w:abstractNumId w:val="11"/>
  </w:num>
  <w:num w:numId="18">
    <w:abstractNumId w:val="0"/>
  </w:num>
  <w:num w:numId="19">
    <w:abstractNumId w:val="13"/>
  </w:num>
  <w:num w:numId="20">
    <w:abstractNumId w:val="22"/>
  </w:num>
  <w:num w:numId="21">
    <w:abstractNumId w:val="22"/>
  </w:num>
  <w:num w:numId="22">
    <w:abstractNumId w:val="22"/>
  </w:num>
  <w:num w:numId="23">
    <w:abstractNumId w:val="22"/>
  </w:num>
  <w:num w:numId="24">
    <w:abstractNumId w:val="18"/>
  </w:num>
  <w:num w:numId="25">
    <w:abstractNumId w:val="19"/>
  </w:num>
  <w:num w:numId="26">
    <w:abstractNumId w:val="23"/>
  </w:num>
  <w:num w:numId="27">
    <w:abstractNumId w:val="24"/>
  </w:num>
  <w:num w:numId="28">
    <w:abstractNumId w:val="22"/>
  </w:num>
  <w:num w:numId="29">
    <w:abstractNumId w:val="14"/>
  </w:num>
  <w:num w:numId="30">
    <w:abstractNumId w:val="25"/>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0tDA0MTK2NDUwNjVV0lEKTi0uzszPAykwrAUA1c8qEiwAAAA="/>
  </w:docVars>
  <w:rsids>
    <w:rsidRoot w:val="00550B43"/>
    <w:rsid w:val="00001899"/>
    <w:rsid w:val="000049AD"/>
    <w:rsid w:val="0000681B"/>
    <w:rsid w:val="000133C0"/>
    <w:rsid w:val="00014C4E"/>
    <w:rsid w:val="00017107"/>
    <w:rsid w:val="000202E2"/>
    <w:rsid w:val="00022441"/>
    <w:rsid w:val="0002261E"/>
    <w:rsid w:val="00024839"/>
    <w:rsid w:val="00026871"/>
    <w:rsid w:val="00026B6E"/>
    <w:rsid w:val="00030B7A"/>
    <w:rsid w:val="00034284"/>
    <w:rsid w:val="00037A98"/>
    <w:rsid w:val="000427FB"/>
    <w:rsid w:val="00043BB6"/>
    <w:rsid w:val="0004455E"/>
    <w:rsid w:val="00047CB5"/>
    <w:rsid w:val="00051FAA"/>
    <w:rsid w:val="000572A9"/>
    <w:rsid w:val="00061325"/>
    <w:rsid w:val="000733AC"/>
    <w:rsid w:val="00074B81"/>
    <w:rsid w:val="00074D22"/>
    <w:rsid w:val="00075081"/>
    <w:rsid w:val="0007528A"/>
    <w:rsid w:val="00077AF2"/>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5554"/>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0B43"/>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001"/>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54A1"/>
    <w:rsid w:val="007D730F"/>
    <w:rsid w:val="007D7CD8"/>
    <w:rsid w:val="007E3AA7"/>
    <w:rsid w:val="007F737D"/>
    <w:rsid w:val="0080277C"/>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4D77"/>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2C86"/>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2BC"/>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02E8"/>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docId w15:val="{690F16F5-ECB2-47FC-A54C-B4032700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077AF2"/>
    <w:rPr>
      <w:color w:val="0000FF" w:themeColor="hyperlink"/>
      <w:u w:val="single"/>
    </w:rPr>
  </w:style>
  <w:style w:type="paragraph" w:customStyle="1" w:styleId="Abstrak">
    <w:name w:val="Abstrak"/>
    <w:basedOn w:val="Normal"/>
    <w:link w:val="AbstrakChar"/>
    <w:qFormat/>
    <w:rsid w:val="00077AF2"/>
    <w:pPr>
      <w:spacing w:line="360" w:lineRule="auto"/>
      <w:jc w:val="both"/>
    </w:pPr>
    <w:rPr>
      <w:b/>
      <w:szCs w:val="22"/>
      <w:lang w:val="en-ID" w:eastAsia="en-US"/>
    </w:rPr>
  </w:style>
  <w:style w:type="character" w:customStyle="1" w:styleId="AbstrakChar">
    <w:name w:val="Abstrak Char"/>
    <w:basedOn w:val="DefaultParagraphFont"/>
    <w:link w:val="Abstrak"/>
    <w:locked/>
    <w:rsid w:val="00077AF2"/>
    <w:rPr>
      <w:b/>
      <w:sz w:val="24"/>
      <w:szCs w:val="22"/>
      <w:lang w:val="en-ID" w:eastAsia="en-US"/>
    </w:rPr>
  </w:style>
  <w:style w:type="paragraph" w:styleId="ListParagraph">
    <w:name w:val="List Paragraph"/>
    <w:basedOn w:val="Normal"/>
    <w:link w:val="ListParagraphChar"/>
    <w:uiPriority w:val="34"/>
    <w:qFormat/>
    <w:rsid w:val="00043BB6"/>
    <w:pPr>
      <w:spacing w:after="160" w:line="259" w:lineRule="auto"/>
      <w:ind w:left="720"/>
      <w:contextualSpacing/>
    </w:pPr>
    <w:rPr>
      <w:rFonts w:asciiTheme="minorHAnsi" w:hAnsiTheme="minorHAnsi"/>
      <w:sz w:val="22"/>
      <w:szCs w:val="22"/>
      <w:lang w:val="en-US" w:eastAsia="en-US"/>
    </w:rPr>
  </w:style>
  <w:style w:type="character" w:customStyle="1" w:styleId="ListParagraphChar">
    <w:name w:val="List Paragraph Char"/>
    <w:link w:val="ListParagraph"/>
    <w:uiPriority w:val="34"/>
    <w:locked/>
    <w:rsid w:val="00043BB6"/>
    <w:rPr>
      <w:rFonts w:asciiTheme="minorHAnsi"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3022">
      <w:bodyDiv w:val="1"/>
      <w:marLeft w:val="0"/>
      <w:marRight w:val="0"/>
      <w:marTop w:val="0"/>
      <w:marBottom w:val="0"/>
      <w:divBdr>
        <w:top w:val="none" w:sz="0" w:space="0" w:color="auto"/>
        <w:left w:val="none" w:sz="0" w:space="0" w:color="auto"/>
        <w:bottom w:val="none" w:sz="0" w:space="0" w:color="auto"/>
        <w:right w:val="none" w:sz="0" w:space="0" w:color="auto"/>
      </w:divBdr>
    </w:div>
    <w:div w:id="809908294">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94097307">
      <w:bodyDiv w:val="1"/>
      <w:marLeft w:val="0"/>
      <w:marRight w:val="0"/>
      <w:marTop w:val="0"/>
      <w:marBottom w:val="0"/>
      <w:divBdr>
        <w:top w:val="none" w:sz="0" w:space="0" w:color="auto"/>
        <w:left w:val="none" w:sz="0" w:space="0" w:color="auto"/>
        <w:bottom w:val="none" w:sz="0" w:space="0" w:color="auto"/>
        <w:right w:val="none" w:sz="0" w:space="0" w:color="auto"/>
      </w:divBdr>
    </w:div>
    <w:div w:id="16053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ikurniawan267@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sto\AppData\Local\Temp\Rar$DIa0.291\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DFF12-60E1-4383-B11A-2459C39D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448</TotalTime>
  <Pages>9</Pages>
  <Words>6121</Words>
  <Characters>34893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40933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Kuston Sultoni</dc:creator>
  <cp:lastModifiedBy>lenovo</cp:lastModifiedBy>
  <cp:revision>7</cp:revision>
  <cp:lastPrinted>2011-07-22T14:54:00Z</cp:lastPrinted>
  <dcterms:created xsi:type="dcterms:W3CDTF">2018-04-02T04:49:00Z</dcterms:created>
  <dcterms:modified xsi:type="dcterms:W3CDTF">2019-07-31T17:04:00Z</dcterms:modified>
</cp:coreProperties>
</file>