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antara Waktu Reaksi Kognitif dengan Prestasi Pencak Silat Atlet PELATDA Jawa Barat 2019</w:t>
      </w:r>
    </w:p>
    <w:p w:rsidR="00C93C61" w:rsidRDefault="00C93C61">
      <w:pPr>
        <w:jc w:val="center"/>
        <w:rPr>
          <w:rFonts w:ascii="Times New Roman" w:eastAsia="Times New Roman" w:hAnsi="Times New Roman" w:cs="Times New Roman"/>
          <w:b/>
          <w:sz w:val="24"/>
          <w:szCs w:val="24"/>
        </w:rPr>
      </w:pPr>
    </w:p>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93C61" w:rsidRDefault="00EF0C6E">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Penelitian ini bertujuan untuk mengetahui apakah terdapat hubungan yang signifikan antara waktu reaksi kognitif, dengan prestasi pencak silat atlet PELATDA Jawa Barat 2019. Metode penelitian yang digunakan adalah metode deskriptif dengan teknik korelasiona</w:t>
      </w:r>
      <w:r>
        <w:rPr>
          <w:rFonts w:ascii="Times New Roman" w:eastAsia="Times New Roman" w:hAnsi="Times New Roman" w:cs="Times New Roman"/>
          <w:sz w:val="24"/>
          <w:szCs w:val="24"/>
        </w:rPr>
        <w:t xml:space="preserve">l. Populasi dan sampel yaitu atlet PELATDA pencak silat sebanyak 17 atlet dengan menggunakan teknik </w:t>
      </w:r>
      <w:r>
        <w:rPr>
          <w:rFonts w:ascii="Times New Roman" w:eastAsia="Times New Roman" w:hAnsi="Times New Roman" w:cs="Times New Roman"/>
          <w:i/>
          <w:sz w:val="24"/>
          <w:szCs w:val="24"/>
        </w:rPr>
        <w:t>total sampling</w:t>
      </w:r>
      <w:r>
        <w:rPr>
          <w:rFonts w:ascii="Times New Roman" w:eastAsia="Times New Roman" w:hAnsi="Times New Roman" w:cs="Times New Roman"/>
          <w:sz w:val="24"/>
          <w:szCs w:val="24"/>
        </w:rPr>
        <w:t>. Instrumen yang digunakan yaitu tes waktu reaksi kognitif dan skor hasil penelusuran prestasi atlet. Hasil penelitian menunjukan bahwa terdap</w:t>
      </w:r>
      <w:r>
        <w:rPr>
          <w:rFonts w:ascii="Times New Roman" w:eastAsia="Times New Roman" w:hAnsi="Times New Roman" w:cs="Times New Roman"/>
          <w:sz w:val="24"/>
          <w:szCs w:val="24"/>
        </w:rPr>
        <w:t>at hubungan yang signifikan antara waktu reaksi kognitif dengan prestasi pencak silat atlet PELATDA Jawa Barat 2019. Khususnya terdapat hubungan yang signifikan bagi atlet yang mempunyai prestasi yang tinggi terhadap waktu reaksi kognitif.</w:t>
      </w:r>
    </w:p>
    <w:p w:rsidR="00C93C61" w:rsidRDefault="00C93C61">
      <w:pPr>
        <w:jc w:val="center"/>
        <w:rPr>
          <w:rFonts w:ascii="Times New Roman" w:eastAsia="Times New Roman" w:hAnsi="Times New Roman" w:cs="Times New Roman"/>
          <w:sz w:val="24"/>
          <w:szCs w:val="24"/>
        </w:rPr>
      </w:pPr>
    </w:p>
    <w:p w:rsidR="00C93C61" w:rsidRDefault="00EF0C6E">
      <w:pPr>
        <w:ind w:left="1134" w:hanging="1134"/>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Kunci</w:t>
      </w:r>
      <w:r>
        <w:rPr>
          <w:rFonts w:ascii="Times New Roman" w:eastAsia="Times New Roman" w:hAnsi="Times New Roman" w:cs="Times New Roman"/>
          <w:sz w:val="24"/>
          <w:szCs w:val="24"/>
        </w:rPr>
        <w:tab/>
        <w:t>: Waktu R</w:t>
      </w:r>
      <w:r>
        <w:rPr>
          <w:rFonts w:ascii="Times New Roman" w:eastAsia="Times New Roman" w:hAnsi="Times New Roman" w:cs="Times New Roman"/>
          <w:sz w:val="24"/>
          <w:szCs w:val="24"/>
        </w:rPr>
        <w:t>eaksi Kognitif, Prestasi, Pencak Silat.</w:t>
      </w:r>
    </w:p>
    <w:p w:rsidR="00C93C61" w:rsidRDefault="00C93C61">
      <w:pPr>
        <w:ind w:left="1134" w:hanging="1134"/>
        <w:rPr>
          <w:rFonts w:ascii="Times New Roman" w:eastAsia="Times New Roman" w:hAnsi="Times New Roman" w:cs="Times New Roman"/>
          <w:sz w:val="24"/>
          <w:szCs w:val="24"/>
        </w:rPr>
      </w:pPr>
    </w:p>
    <w:p w:rsidR="00C93C61" w:rsidRDefault="00EF0C6E">
      <w:pPr>
        <w:ind w:left="1134" w:hanging="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Irawan, Agus Mahendra &amp; Mulyana</w:t>
      </w:r>
    </w:p>
    <w:p w:rsidR="00C93C61" w:rsidRDefault="00EF0C6E">
      <w:pPr>
        <w:ind w:left="1134" w:hanging="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Pendidikan Indonesia, Bandung, Jawa Barat, Indonesia</w:t>
      </w:r>
    </w:p>
    <w:p w:rsidR="00C93C61" w:rsidRDefault="00EF0C6E">
      <w:pPr>
        <w:ind w:left="1134" w:hanging="1134"/>
        <w:jc w:val="center"/>
        <w:rPr>
          <w:rFonts w:ascii="Times New Roman" w:eastAsia="Times New Roman" w:hAnsi="Times New Roman" w:cs="Times New Roman"/>
          <w:sz w:val="24"/>
          <w:szCs w:val="24"/>
        </w:rPr>
      </w:pPr>
      <w:hyperlink r:id="rId5">
        <w:r>
          <w:rPr>
            <w:rFonts w:ascii="Times New Roman" w:eastAsia="Times New Roman" w:hAnsi="Times New Roman" w:cs="Times New Roman"/>
            <w:sz w:val="24"/>
            <w:szCs w:val="24"/>
            <w:u w:val="single"/>
          </w:rPr>
          <w:t>irawan@upi.edu</w:t>
        </w:r>
      </w:hyperlink>
    </w:p>
    <w:p w:rsidR="00C93C61" w:rsidRDefault="00C93C61">
      <w:pPr>
        <w:ind w:left="1134" w:hanging="1134"/>
        <w:rPr>
          <w:rFonts w:ascii="Times New Roman" w:eastAsia="Times New Roman" w:hAnsi="Times New Roman" w:cs="Times New Roman"/>
          <w:sz w:val="24"/>
          <w:szCs w:val="24"/>
        </w:rPr>
      </w:pPr>
    </w:p>
    <w:p w:rsidR="00C93C61" w:rsidRDefault="00EF0C6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PENDAHULUAN</w:t>
      </w:r>
    </w:p>
    <w:p w:rsidR="00C93C61" w:rsidRDefault="00EF0C6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Olahraga merupakan bagian dari upaya untuk meni</w:t>
      </w:r>
      <w:r>
        <w:rPr>
          <w:rFonts w:ascii="Times New Roman" w:eastAsia="Times New Roman" w:hAnsi="Times New Roman" w:cs="Times New Roman"/>
          <w:sz w:val="24"/>
          <w:szCs w:val="24"/>
        </w:rPr>
        <w:t>ngkatkan kualitas sumber daya manusia, sehingga Pemerintah menjadikan olahraga sebagai sarana Pembangunan Nasional. Hal tersebut tertuang dalam pasal 25 ayat 4 Undang-Undang Nomor 3 Tahun 2005 tentang sistem Keolahragaan Nasional yang berbunyi “Keolahragaa</w:t>
      </w:r>
      <w:r>
        <w:rPr>
          <w:rFonts w:ascii="Times New Roman" w:eastAsia="Times New Roman" w:hAnsi="Times New Roman" w:cs="Times New Roman"/>
          <w:sz w:val="24"/>
          <w:szCs w:val="24"/>
        </w:rPr>
        <w:t xml:space="preserve">n nasional bertujuan memelihara dan meningkatkan kesehatan, kebugaran, prestasi, kualitas manusia, menanamkan nilai moral dan akhlak mulia, sportivitas, disiplin, mempererat, dan membina persatuan dan kesatuan Bangsa, memperkokoh ketahanan Nasional, serta </w:t>
      </w:r>
      <w:r>
        <w:rPr>
          <w:rFonts w:ascii="Times New Roman" w:eastAsia="Times New Roman" w:hAnsi="Times New Roman" w:cs="Times New Roman"/>
          <w:sz w:val="24"/>
          <w:szCs w:val="24"/>
        </w:rPr>
        <w:t xml:space="preserve">mengangkat, harkat, martabat dan kehormatan Bangsa”. Dengan berolahraga dapat membuat seseorang menjadi lebih aktif, Departemen kesehatan dan layanan kemanusiaan AS (USDHHS, 2010) dan </w:t>
      </w:r>
      <w:r>
        <w:rPr>
          <w:rFonts w:ascii="Times New Roman" w:eastAsia="Times New Roman" w:hAnsi="Times New Roman" w:cs="Times New Roman"/>
          <w:sz w:val="24"/>
          <w:szCs w:val="24"/>
        </w:rPr>
        <w:lastRenderedPageBreak/>
        <w:t>laporan crawford di Australia (Crawford, 2009), menunjukkan bahwa pendid</w:t>
      </w:r>
      <w:r>
        <w:rPr>
          <w:rFonts w:ascii="Times New Roman" w:eastAsia="Times New Roman" w:hAnsi="Times New Roman" w:cs="Times New Roman"/>
          <w:sz w:val="24"/>
          <w:szCs w:val="24"/>
        </w:rPr>
        <w:t>ikan jasmani sangat penting bagi siswa yang terlibat dan mengadopsi gaya hidup aktif secara fisik. Orang yang aktif secara fisik cenderung memiliki penurunan risiko untuk penyakit jantung, diabetes dan beberapa bentuk kanker, (USDHHS, 2008).</w:t>
      </w:r>
    </w:p>
    <w:p w:rsidR="00C93C61" w:rsidRDefault="00EF0C6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 beladiri </w:t>
      </w:r>
      <w:r>
        <w:rPr>
          <w:rFonts w:ascii="Times New Roman" w:eastAsia="Times New Roman" w:hAnsi="Times New Roman" w:cs="Times New Roman"/>
          <w:sz w:val="24"/>
          <w:szCs w:val="24"/>
        </w:rPr>
        <w:t xml:space="preserve">pencak silat merupakan bagian dari olahraga budaya Bangsa. Istilah pencak silat sebagai seni beladiri bangsa Indonesia, merupakan kata majemuk adalah hasil keputusan seminar pencak silat tahun 1973 di tugu Bogor, (Moh. Nur Kholis, 2016). Dengan kata lain, </w:t>
      </w:r>
      <w:r>
        <w:rPr>
          <w:rFonts w:ascii="Times New Roman" w:eastAsia="Times New Roman" w:hAnsi="Times New Roman" w:cs="Times New Roman"/>
          <w:sz w:val="24"/>
          <w:szCs w:val="24"/>
        </w:rPr>
        <w:t>pencak silat adalah hasil budaya manusia Indonesia untuk membela atau mempertahankan eksistensi serta kemandirian dan integritasnya, manunggalnya terhadap lingkungan hidup serta alam sekitarnya untuk mencapai keselarasan hidup guna meningkatkan iman dan ta</w:t>
      </w:r>
      <w:r>
        <w:rPr>
          <w:rFonts w:ascii="Times New Roman" w:eastAsia="Times New Roman" w:hAnsi="Times New Roman" w:cs="Times New Roman"/>
          <w:sz w:val="24"/>
          <w:szCs w:val="24"/>
        </w:rPr>
        <w:t xml:space="preserve">qwa kepada Tuhan Yang maha Esa, (Nurkholis &amp; Weda, 2015). Pencak silat sebagai salah satu olahraga tradisional yang tercermin dalam bela diri di Indonesia, (Sintia Catur Sutantri, 2018). Seiring dengan kemajuan zaman, pencak silat juga mengambil bagian di </w:t>
      </w:r>
      <w:r>
        <w:rPr>
          <w:rFonts w:ascii="Times New Roman" w:eastAsia="Times New Roman" w:hAnsi="Times New Roman" w:cs="Times New Roman"/>
          <w:sz w:val="24"/>
          <w:szCs w:val="24"/>
        </w:rPr>
        <w:t>dalamnya. Pencak silat sebagai bagian kebudayaan Indonesia berkembang sejalan dengan sejarah perkembangan masyarakat, (Moh. Nur Kholis, 2016). Pencak silat juga merupakan aktivitas manusia dalam masyarakat bersifat konkret, yang dapat diobservasi, (Mardhot</w:t>
      </w:r>
      <w:r>
        <w:rPr>
          <w:rFonts w:ascii="Times New Roman" w:eastAsia="Times New Roman" w:hAnsi="Times New Roman" w:cs="Times New Roman"/>
          <w:sz w:val="24"/>
          <w:szCs w:val="24"/>
        </w:rPr>
        <w:t>illah &amp; Zen, 2017).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Dalam wadah kegiatan pencak silat yang meliputi aktivitas fisik dan kerohanian diharapkan mampu mengurangi kenakalan pelajar bak di sekolah maupun di luar sekolah, (Xii &amp; Oktober, 2008). </w:t>
      </w:r>
    </w:p>
    <w:p w:rsidR="00C93C61" w:rsidRDefault="00EF0C6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Usaha-usaha mengembangkan unsur olahraga pencak </w:t>
      </w:r>
      <w:r>
        <w:rPr>
          <w:rFonts w:ascii="Times New Roman" w:eastAsia="Times New Roman" w:hAnsi="Times New Roman" w:cs="Times New Roman"/>
          <w:sz w:val="24"/>
          <w:szCs w:val="24"/>
        </w:rPr>
        <w:t>ini telah dilakukan oleh Ikatan Pencak Silat Indonesia (IPSI), baik yang dirintis pada masa kebangkitan pencak silat pada tahun-tahun setelah kemerdekaan, maupun pada masa tujuh puluhan yang memungkinkan kondisi untuk kembali mengadakan pembinaan. Pengemba</w:t>
      </w:r>
      <w:r>
        <w:rPr>
          <w:rFonts w:ascii="Times New Roman" w:eastAsia="Times New Roman" w:hAnsi="Times New Roman" w:cs="Times New Roman"/>
          <w:sz w:val="24"/>
          <w:szCs w:val="24"/>
        </w:rPr>
        <w:t>ngan pencak silat sebagai olahraga prestasi, telah dirintis sejak tahun 1969, dengan melalui percobaan-percobaan pertandingan di daerah-daerah dan tingkat pusat. Pada waktu Pekan Olahraga Nasional (PON) VIII tahun 1973 di Jakarta yang merupakan kejuaraan t</w:t>
      </w:r>
      <w:r>
        <w:rPr>
          <w:rFonts w:ascii="Times New Roman" w:eastAsia="Times New Roman" w:hAnsi="Times New Roman" w:cs="Times New Roman"/>
          <w:sz w:val="24"/>
          <w:szCs w:val="24"/>
        </w:rPr>
        <w:t>ingkat nasional pertama, banyak di dapat pengalaman untuk menyempurnakan peraturan maupun aparat pertandingan, (Nurkholis &amp; Weda, 2015).</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Mengacu pada (undang-undang nomor 3 Tahun 2005 tentang sistem keolahragaan Nasional), olahraga prestasi adalah olahraga</w:t>
      </w:r>
      <w:r>
        <w:rPr>
          <w:rFonts w:ascii="Times New Roman" w:eastAsia="Times New Roman" w:hAnsi="Times New Roman" w:cs="Times New Roman"/>
          <w:sz w:val="24"/>
          <w:szCs w:val="24"/>
        </w:rPr>
        <w:t xml:space="preserve"> yang membina dan mengembangkan olahragawan secara terencana, berjenjang, dan berkelanjutan melalui kompetisi untuk mencapai prestasi dengan dukungan ilmu pengetahuan dan teknologi keolahragaan. Pembinaan olahraga prestasi pencak silat tidak bisa dengan ca</w:t>
      </w:r>
      <w:r>
        <w:rPr>
          <w:rFonts w:ascii="Times New Roman" w:eastAsia="Times New Roman" w:hAnsi="Times New Roman" w:cs="Times New Roman"/>
          <w:sz w:val="24"/>
          <w:szCs w:val="24"/>
        </w:rPr>
        <w:t xml:space="preserve">ra instan apalagi tidak ada manajemen asal jalan akan tetapi membutuhkan totalitas dan komitmen untuk membina olahraga secara sistemik dan mendukung </w:t>
      </w:r>
      <w:r>
        <w:rPr>
          <w:rFonts w:ascii="Times New Roman" w:eastAsia="Times New Roman" w:hAnsi="Times New Roman" w:cs="Times New Roman"/>
          <w:i/>
          <w:sz w:val="24"/>
          <w:szCs w:val="24"/>
        </w:rPr>
        <w:t>(sustainable)</w:t>
      </w:r>
      <w:r>
        <w:rPr>
          <w:rFonts w:ascii="Times New Roman" w:eastAsia="Times New Roman" w:hAnsi="Times New Roman" w:cs="Times New Roman"/>
          <w:sz w:val="24"/>
          <w:szCs w:val="24"/>
        </w:rPr>
        <w:t>, (Didik Assalam, Sulaiman, &amp; Hidayah, 2015). Selain itu, pembinaan dan pengembangan dalam ola</w:t>
      </w:r>
      <w:r>
        <w:rPr>
          <w:rFonts w:ascii="Times New Roman" w:eastAsia="Times New Roman" w:hAnsi="Times New Roman" w:cs="Times New Roman"/>
          <w:sz w:val="24"/>
          <w:szCs w:val="24"/>
        </w:rPr>
        <w:t>hraga kompetitif untuk mencapai prestasi puncak menganut konsep piramida. Komponen-komponen dari piramida tersebut berhubungan antara satu dengan yang lainnya, dan membentuk suatu sistem pembinaan berjenjang berporos pada proses pembinaan yang berkesinambu</w:t>
      </w:r>
      <w:r>
        <w:rPr>
          <w:rFonts w:ascii="Times New Roman" w:eastAsia="Times New Roman" w:hAnsi="Times New Roman" w:cs="Times New Roman"/>
          <w:sz w:val="24"/>
          <w:szCs w:val="24"/>
        </w:rPr>
        <w:t>ngan. Permasalahan dasar dari piramida adalah pembibitan yang merupakan sebuah tahap penting dalam pembinaan prestasi olahraga, merupakan pondasi dari bangunan sistem pembinaan prestasi olahraga. Program pembinaan prestasi dimantapkan melalui pemuncakan pr</w:t>
      </w:r>
      <w:r>
        <w:rPr>
          <w:rFonts w:ascii="Times New Roman" w:eastAsia="Times New Roman" w:hAnsi="Times New Roman" w:cs="Times New Roman"/>
          <w:sz w:val="24"/>
          <w:szCs w:val="24"/>
        </w:rPr>
        <w:t xml:space="preserve">estasi dalam bentuk </w:t>
      </w:r>
      <w:r>
        <w:rPr>
          <w:rFonts w:ascii="Times New Roman" w:eastAsia="Times New Roman" w:hAnsi="Times New Roman" w:cs="Times New Roman"/>
          <w:i/>
          <w:sz w:val="24"/>
          <w:szCs w:val="24"/>
        </w:rPr>
        <w:t>training camp</w:t>
      </w:r>
      <w:r>
        <w:rPr>
          <w:rFonts w:ascii="Times New Roman" w:eastAsia="Times New Roman" w:hAnsi="Times New Roman" w:cs="Times New Roman"/>
          <w:sz w:val="24"/>
          <w:szCs w:val="24"/>
        </w:rPr>
        <w:t xml:space="preserve"> bagi para bibit atlet yang sudah terbukti berbakat untuk pencapaian prestasi yang optimal. Prestasi optimal hanya dapat dicapai, jika seorang atlet telah melalui proses latihan yang sangat kompleks. Dengan mengetahui perub</w:t>
      </w:r>
      <w:r>
        <w:rPr>
          <w:rFonts w:ascii="Times New Roman" w:eastAsia="Times New Roman" w:hAnsi="Times New Roman" w:cs="Times New Roman"/>
          <w:sz w:val="24"/>
          <w:szCs w:val="24"/>
        </w:rPr>
        <w:t>ahan yang terjadi di tubuh, seseorang dapat merancang suatu program latihan olahraga untuk mendapatkan perubahan optimal sesuai dengan yang diharapkan, (Bafirman HB, 2013).</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Pemusatan latihan daerah atlet pencak Jawa Barat tahun 2019 adalah suatu tempat lat</w:t>
      </w:r>
      <w:r>
        <w:rPr>
          <w:rFonts w:ascii="Times New Roman" w:eastAsia="Times New Roman" w:hAnsi="Times New Roman" w:cs="Times New Roman"/>
          <w:sz w:val="24"/>
          <w:szCs w:val="24"/>
        </w:rPr>
        <w:t>ihan yang membina para atlet-atlet dari berbagai Kota dan Kabupaten Jawa Barat. Sebelum memasuki pemusatan latihan daerah, para atlet harus terlebih dahulu melewati proses seleksi di Kota dan Kabupaten masing-masing, kemudian para atlet dikumpulkan menjadi</w:t>
      </w:r>
      <w:r>
        <w:rPr>
          <w:rFonts w:ascii="Times New Roman" w:eastAsia="Times New Roman" w:hAnsi="Times New Roman" w:cs="Times New Roman"/>
          <w:sz w:val="24"/>
          <w:szCs w:val="24"/>
        </w:rPr>
        <w:t xml:space="preserve"> satu tempat untuk dilatih sesuai keahlian atau nomor tanding dan kelas-kelas mereka. Dari berbagai atlet terdapat berbagai kelas dan kejuruan, seperti tanding atau laga putra dan putri dari kelas B, C, D, E, F, G, H, dan I untuk putra dan B,C, D, E, dan F</w:t>
      </w:r>
      <w:r>
        <w:rPr>
          <w:rFonts w:ascii="Times New Roman" w:eastAsia="Times New Roman" w:hAnsi="Times New Roman" w:cs="Times New Roman"/>
          <w:sz w:val="24"/>
          <w:szCs w:val="24"/>
        </w:rPr>
        <w:t>, untuk putri. Seni tunggal putra dan putri, seni ganda putra dan putri dan beregu putra dan putri.</w:t>
      </w:r>
    </w:p>
    <w:p w:rsidR="00C93C61" w:rsidRDefault="00EF0C6E">
      <w:pPr>
        <w:spacing w:after="0" w:line="360" w:lineRule="auto"/>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Selain faktor kecerdasan intelektual, terdapat juga yang lainnya. Waktu reaksi juga dianggap sebagai faktor kunci yang menentukan kinerja dalam banyak olahr</w:t>
      </w:r>
      <w:r>
        <w:rPr>
          <w:rFonts w:ascii="Times New Roman" w:eastAsia="Times New Roman" w:hAnsi="Times New Roman" w:cs="Times New Roman"/>
          <w:sz w:val="24"/>
          <w:szCs w:val="24"/>
        </w:rPr>
        <w:t>aga, (Van Biesen, McCulloch, Janssens, &amp; Vanlandewijck, 2017). Setiap orang mempunyai kemampuan yang berbeda-beda, waktu reaksi individu memainkan peran penting dalam semua bentuk olahraga dan penentu dalam terungkapnya sebuah kompetisi di mana atlet mengh</w:t>
      </w:r>
      <w:r>
        <w:rPr>
          <w:rFonts w:ascii="Times New Roman" w:eastAsia="Times New Roman" w:hAnsi="Times New Roman" w:cs="Times New Roman"/>
          <w:sz w:val="24"/>
          <w:szCs w:val="24"/>
        </w:rPr>
        <w:t>adiri telah mencapai tingkat yang sama dari latihan fisik, (Cucurella, 2012). Olahraga beladiri pencak silat juga termasuk yang dinyatakan di atas, (Nur Moh Kusuma Atmaja, 2015), Agar sukses dalam acara-acara olahraga, atlet harus menunjukkan kinerja  yang</w:t>
      </w:r>
      <w:r>
        <w:rPr>
          <w:rFonts w:ascii="Times New Roman" w:eastAsia="Times New Roman" w:hAnsi="Times New Roman" w:cs="Times New Roman"/>
          <w:sz w:val="24"/>
          <w:szCs w:val="24"/>
        </w:rPr>
        <w:t xml:space="preserve"> tinggi berkaitan dengan keterampilan fisik dan motorik, (Atan &amp; Akyol, 2014). Salah satu parameter yang memungkinkan seorang atlet untuk memiliki kinerja tersebut adalah waktu reaksi, (Koc dan Kaya, 2006). Waktu reaksi lebih ditujukan untuk menjelaskan da</w:t>
      </w:r>
      <w:r>
        <w:rPr>
          <w:rFonts w:ascii="Times New Roman" w:eastAsia="Times New Roman" w:hAnsi="Times New Roman" w:cs="Times New Roman"/>
          <w:sz w:val="24"/>
          <w:szCs w:val="24"/>
        </w:rPr>
        <w:t>lam hal waktu, sedangkan kecepatan reaksi lebih ke arah gerakan, (Anggi Setia Lengkana, Tangkudung, &amp; Moch. Asmawi, 2018). Faktor komponen fisik yang diperlukan dalam olahraga adalah salah satu dari kecepatan, (Henjilito et al., 2019).</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Keahlian-keahlian ya</w:t>
      </w:r>
      <w:r>
        <w:rPr>
          <w:rFonts w:ascii="Times New Roman" w:eastAsia="Times New Roman" w:hAnsi="Times New Roman" w:cs="Times New Roman"/>
          <w:sz w:val="24"/>
          <w:szCs w:val="24"/>
        </w:rPr>
        <w:t>ng dimiliki atlet saling berkaitan antara satu dan lainnya. Keahlian olahraga telah dikaitkan dengan peningkatan waktu reaksi (Williams dan Ericsson, 2005). Dalam banyak cabang olahraga, kecepatan sangat penting untuk olahraga yang membutuhkan kemampuan ad</w:t>
      </w:r>
      <w:r>
        <w:rPr>
          <w:rFonts w:ascii="Times New Roman" w:eastAsia="Times New Roman" w:hAnsi="Times New Roman" w:cs="Times New Roman"/>
          <w:sz w:val="24"/>
          <w:szCs w:val="24"/>
        </w:rPr>
        <w:t>aptasi tinggi terhadap perubahan-perubahan situasi dalam pertandingan, (Rahman Diputra, 2015). Kondisi fisik yang meliputi kecepatan reaksi merupakan unsur kondisi fisik yang diperlukan di dalam berbagai banyak cabang olahraga, Misalnya cabang olahraga pen</w:t>
      </w:r>
      <w:r>
        <w:rPr>
          <w:rFonts w:ascii="Times New Roman" w:eastAsia="Times New Roman" w:hAnsi="Times New Roman" w:cs="Times New Roman"/>
          <w:sz w:val="24"/>
          <w:szCs w:val="24"/>
        </w:rPr>
        <w:t>cak silat, futsal, dan atletik, disamping itu kecepatan reaksi ini mempunyai peranan yang sangat penting untuk meningkatkan prestasi khususnya dalam bidang olahraga, (Utomo, 2017). Kemampuan yang atlet miliki akan berpengaruh kepada prestasi yang akan dira</w:t>
      </w:r>
      <w:r>
        <w:rPr>
          <w:rFonts w:ascii="Times New Roman" w:eastAsia="Times New Roman" w:hAnsi="Times New Roman" w:cs="Times New Roman"/>
          <w:sz w:val="24"/>
          <w:szCs w:val="24"/>
        </w:rPr>
        <w:t>ih, termasuk kemampuan kecerdasan intelektual dan kemampuan waktu reaksi dalam ranah kognitif.</w:t>
      </w:r>
    </w:p>
    <w:p w:rsidR="00C93C61" w:rsidRDefault="00EF0C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Reaksi terbagi atas dua jenis, yakni reaksi tunggal dan reaksi majemuk. Reaksi tunggal adalah reaksi yang muncul dari seseorang untuk merespon stimulus dengan ar</w:t>
      </w:r>
      <w:r>
        <w:rPr>
          <w:rFonts w:ascii="Times New Roman" w:eastAsia="Times New Roman" w:hAnsi="Times New Roman" w:cs="Times New Roman"/>
          <w:sz w:val="24"/>
          <w:szCs w:val="24"/>
        </w:rPr>
        <w:t xml:space="preserve">ah yang sudah diketahui sebelumnya dengan waktu secepat-cepatnya dan reaksi majemuk adalah reaksi yang muncul dari seseorang untuk merespon stimulus </w:t>
      </w:r>
      <w:r>
        <w:rPr>
          <w:rFonts w:ascii="Times New Roman" w:eastAsia="Times New Roman" w:hAnsi="Times New Roman" w:cs="Times New Roman"/>
          <w:sz w:val="24"/>
          <w:szCs w:val="24"/>
        </w:rPr>
        <w:lastRenderedPageBreak/>
        <w:t>dengan arah yang belum diketahui sebelumnya dengan waktu secepat-cepatnya, (Ketut et al, 2016). Perpaduan a</w:t>
      </w:r>
      <w:r>
        <w:rPr>
          <w:rFonts w:ascii="Times New Roman" w:eastAsia="Times New Roman" w:hAnsi="Times New Roman" w:cs="Times New Roman"/>
          <w:sz w:val="24"/>
          <w:szCs w:val="24"/>
        </w:rPr>
        <w:t>ntara waktu reaksi dan kognitif, jadilah waktu reaksi kognitif, yang didalamnya terdapat muatan kognitif.</w:t>
      </w:r>
    </w:p>
    <w:p w:rsidR="00C93C61" w:rsidRDefault="00EF0C6E">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reaksi kognitif memegang peranan yang sangat penting bagi atlet pencak silat, karena dengan waktu reaksi yang bagus akan membantu atlet dalam melakukan serangan maupun tangkisan. Waktu reaksi merupakan interval antara sebuah stimulus dengan respons y</w:t>
      </w:r>
      <w:r>
        <w:rPr>
          <w:rFonts w:ascii="Times New Roman" w:eastAsia="Times New Roman" w:hAnsi="Times New Roman" w:cs="Times New Roman"/>
          <w:sz w:val="24"/>
          <w:szCs w:val="24"/>
        </w:rPr>
        <w:t xml:space="preserve">ang diberikan atau kontraksi otot pertama, (Amithya Ekacitta Anindita, Tanjung Ayu Sumekar, 2017). Terdapat beberapa faktor yang mempengaruhi waktu reaksi seorang atlet. Waktu reaksi didefinisikan sebagai waktu yang berlalu antara menerima stimulus segera </w:t>
      </w:r>
      <w:r>
        <w:rPr>
          <w:rFonts w:ascii="Times New Roman" w:eastAsia="Times New Roman" w:hAnsi="Times New Roman" w:cs="Times New Roman"/>
          <w:sz w:val="24"/>
          <w:szCs w:val="24"/>
        </w:rPr>
        <w:t>dan tak terduga dan reaksi yang diberikan untuk itu, bagaimanapun, perubahan waktu reaksi berdasarkan faktor-faktor seperti usia, jenis kelamin, kondisi, kelelahan, alkohol, nikotin dan penggunaan zat psychotropic, (Colakoglu, 1993).</w:t>
      </w:r>
    </w:p>
    <w:p w:rsidR="00C93C61" w:rsidRDefault="00EF0C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Kecepatan reaksi dalam</w:t>
      </w:r>
      <w:r>
        <w:rPr>
          <w:rFonts w:ascii="Times New Roman" w:eastAsia="Times New Roman" w:hAnsi="Times New Roman" w:cs="Times New Roman"/>
          <w:sz w:val="24"/>
          <w:szCs w:val="24"/>
        </w:rPr>
        <w:t xml:space="preserve"> kehidupan sehari-hari sangatlah penting, karena kecepatan reaksi adalah kemampuan tubuh untuk melakukan suatu perintah dalam suatu periode waktu tertentu setelah mendapatkan suatu rangsangan atau perintah. kecepatan reaksi berkaitan dengan waktu yang dipe</w:t>
      </w:r>
      <w:r>
        <w:rPr>
          <w:rFonts w:ascii="Times New Roman" w:eastAsia="Times New Roman" w:hAnsi="Times New Roman" w:cs="Times New Roman"/>
          <w:sz w:val="24"/>
          <w:szCs w:val="24"/>
        </w:rPr>
        <w:t xml:space="preserve">rlukan diri saat diterimanya </w:t>
      </w:r>
      <w:r>
        <w:rPr>
          <w:rFonts w:ascii="Times New Roman" w:eastAsia="Times New Roman" w:hAnsi="Times New Roman" w:cs="Times New Roman"/>
          <w:i/>
          <w:sz w:val="24"/>
          <w:szCs w:val="24"/>
        </w:rPr>
        <w:t xml:space="preserve">stimulus </w:t>
      </w:r>
      <w:r>
        <w:rPr>
          <w:rFonts w:ascii="Times New Roman" w:eastAsia="Times New Roman" w:hAnsi="Times New Roman" w:cs="Times New Roman"/>
          <w:sz w:val="24"/>
          <w:szCs w:val="24"/>
        </w:rPr>
        <w:t>atau rangsangan sampai awal munculnya respon atau reaksi. (Seduri-mojokerto, 2013).</w:t>
      </w:r>
    </w:p>
    <w:p w:rsidR="00C93C61" w:rsidRDefault="00EF0C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Waktu reaksi kognitif mencangkup diantaranya waktu reaksi sederhana, waktu reaksi pilihan, dan waktu reaksi </w:t>
      </w:r>
      <w:r>
        <w:rPr>
          <w:rFonts w:ascii="Times New Roman" w:eastAsia="Times New Roman" w:hAnsi="Times New Roman" w:cs="Times New Roman"/>
          <w:i/>
          <w:sz w:val="24"/>
          <w:szCs w:val="24"/>
        </w:rPr>
        <w:t>flanker</w:t>
      </w:r>
      <w:r>
        <w:rPr>
          <w:rFonts w:ascii="Times New Roman" w:eastAsia="Times New Roman" w:hAnsi="Times New Roman" w:cs="Times New Roman"/>
          <w:sz w:val="24"/>
          <w:szCs w:val="24"/>
        </w:rPr>
        <w:t>. Banyak jenis tuga</w:t>
      </w:r>
      <w:r>
        <w:rPr>
          <w:rFonts w:ascii="Times New Roman" w:eastAsia="Times New Roman" w:hAnsi="Times New Roman" w:cs="Times New Roman"/>
          <w:sz w:val="24"/>
          <w:szCs w:val="24"/>
        </w:rPr>
        <w:t xml:space="preserve">s waktu reaksi (Cinaz, Vogt, Arnrich, &amp; Troster, 2012). Elemen kognitif sebagai berikut yaitu berpikir lancar yaitu menciptakan solusi sebanyak mungkin, fleksibilitas yaitu berpikir luwes orisinalitas yaitu menciptakan solusi yang berbeda dari orang lain, </w:t>
      </w:r>
      <w:r>
        <w:rPr>
          <w:rFonts w:ascii="Times New Roman" w:eastAsia="Times New Roman" w:hAnsi="Times New Roman" w:cs="Times New Roman"/>
          <w:sz w:val="24"/>
          <w:szCs w:val="24"/>
        </w:rPr>
        <w:t>elaborasi yaitu merinci, (Maria Andriani Barek Ladjar Ladjar et al., 2018). Biasanya tes waktu reaksi sederhana digunakan buat seorang atlet yang berkebutuhan khusus atau keterbelakangan mental dikarenakan waktu reaksi sederhana ini memiliki muatan kogniti</w:t>
      </w:r>
      <w:r>
        <w:rPr>
          <w:rFonts w:ascii="Times New Roman" w:eastAsia="Times New Roman" w:hAnsi="Times New Roman" w:cs="Times New Roman"/>
          <w:sz w:val="24"/>
          <w:szCs w:val="24"/>
        </w:rPr>
        <w:t xml:space="preserve">f yang rendah. Waktu reaksi sederhana mengacu pada waktu yang dibutuhkan untuk merespons sebuah stimulus tunggal, dan hanya satu pilihan respons yang tersedia, (Nissan, Liewald, &amp; Diary, 2013). Tugas semacam ini </w:t>
      </w:r>
      <w:r>
        <w:rPr>
          <w:rFonts w:ascii="Times New Roman" w:eastAsia="Times New Roman" w:hAnsi="Times New Roman" w:cs="Times New Roman"/>
          <w:sz w:val="24"/>
          <w:szCs w:val="24"/>
        </w:rPr>
        <w:lastRenderedPageBreak/>
        <w:t>biasanya memiliki muatan yang rendah (Schnei</w:t>
      </w:r>
      <w:r>
        <w:rPr>
          <w:rFonts w:ascii="Times New Roman" w:eastAsia="Times New Roman" w:hAnsi="Times New Roman" w:cs="Times New Roman"/>
          <w:sz w:val="24"/>
          <w:szCs w:val="24"/>
        </w:rPr>
        <w:t>der &amp; McGrew, 2012). WRS tidak membutuhkan substansial usaha kognitif, itu cukup bagi orang yang diuji hanya untuk menunjukkan bahwa stimulus itu dirasakan (Johnson &amp; Diary, 2011). Setelah waktu reaksi sederhana, terdapat tingkatan yang kedua yakni waktu r</w:t>
      </w:r>
      <w:r>
        <w:rPr>
          <w:rFonts w:ascii="Times New Roman" w:eastAsia="Times New Roman" w:hAnsi="Times New Roman" w:cs="Times New Roman"/>
          <w:sz w:val="24"/>
          <w:szCs w:val="24"/>
        </w:rPr>
        <w:t>eaksi pilihan. Namun, Ada sejarah panjang peneliti yang tertarik dalam penelitian ini hubungan antara waktu reaksi sederhana dengan kecerdasan, dan waktu reaksi yang lebih cepat (yaitu, kecepatan pemrosesan lebih pendek) dalam tugas sederhana ini dikaitkan</w:t>
      </w:r>
      <w:r>
        <w:rPr>
          <w:rFonts w:ascii="Times New Roman" w:eastAsia="Times New Roman" w:hAnsi="Times New Roman" w:cs="Times New Roman"/>
          <w:sz w:val="24"/>
          <w:szCs w:val="24"/>
        </w:rPr>
        <w:t xml:space="preserve"> dengan penalaran kompleks (Schneider &amp; McGrew, 2012). Pilihan tugas waktu reaksi melibatkan tugas dengan muatan lebih banyak, di mana beberapa pengolahan minimal dari isi informasi yang dibutuhkan. Sebagai contoh, di waktu reaksi task empat pilihan, panah</w:t>
      </w:r>
      <w:r>
        <w:rPr>
          <w:rFonts w:ascii="Times New Roman" w:eastAsia="Times New Roman" w:hAnsi="Times New Roman" w:cs="Times New Roman"/>
          <w:sz w:val="24"/>
          <w:szCs w:val="24"/>
        </w:rPr>
        <w:t xml:space="preserve"> mungkin tampak menghadap ke atas, ke bawah, kiri atau kanan, dan panah keyboard yang sesuai harus dipilih (Johnson &amp; Diary, 2011). Setelah waktu reaksi pilihan terdapat tingkatan yang ketiga, yaitu waktu reaksi </w:t>
      </w:r>
      <w:r>
        <w:rPr>
          <w:rFonts w:ascii="Times New Roman" w:eastAsia="Times New Roman" w:hAnsi="Times New Roman" w:cs="Times New Roman"/>
          <w:i/>
          <w:sz w:val="24"/>
          <w:szCs w:val="24"/>
        </w:rPr>
        <w:t>flanker</w:t>
      </w:r>
      <w:r>
        <w:rPr>
          <w:rFonts w:ascii="Times New Roman" w:eastAsia="Times New Roman" w:hAnsi="Times New Roman" w:cs="Times New Roman"/>
          <w:sz w:val="24"/>
          <w:szCs w:val="24"/>
        </w:rPr>
        <w:t>. Kecepatan pemrosesan adalah area ku</w:t>
      </w:r>
      <w:r>
        <w:rPr>
          <w:rFonts w:ascii="Times New Roman" w:eastAsia="Times New Roman" w:hAnsi="Times New Roman" w:cs="Times New Roman"/>
          <w:sz w:val="24"/>
          <w:szCs w:val="24"/>
        </w:rPr>
        <w:t>nci kecerdasan, dan pengolahannya kecepatan memberikan indikasi tingkat di mana tugas yang ditentukan jenis dan kesulitan yang dilakukan (McGrew, 2009, Schneider &amp; McGrew, 2012) yang dapat dievaluasi melalui waktu reaksi (Carroll, 1993). Nissan dkk. (2013)</w:t>
      </w:r>
      <w:r>
        <w:rPr>
          <w:rFonts w:ascii="Times New Roman" w:eastAsia="Times New Roman" w:hAnsi="Times New Roman" w:cs="Times New Roman"/>
          <w:sz w:val="24"/>
          <w:szCs w:val="24"/>
        </w:rPr>
        <w:t xml:space="preserve"> menunjukkan bahwa orang-orang yang mendapat nilai tinggi tes kecerdasan juga cenderung memiliki waktu reaksi yang lebih cepat dan variannya kurang pada waktu reaksi kinerja. </w:t>
      </w:r>
    </w:p>
    <w:p w:rsidR="00C93C61" w:rsidRDefault="00EF0C6E">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Waktu reaksi tersebar luas, penting dan informatif serta alat dalam studi kecerdasan (Der &amp; Diary, 2003; Lee &amp; Chabris, 2013; Nissan, Liewald, &amp; Diary, 2013). Hubungan antara waktu reaksi dan ukuran kecerdasan telah dipelajari sejak paruh kedua tahun abad </w:t>
      </w:r>
      <w:r>
        <w:rPr>
          <w:rFonts w:ascii="Times New Roman" w:eastAsia="Times New Roman" w:hAnsi="Times New Roman" w:cs="Times New Roman"/>
          <w:sz w:val="24"/>
          <w:szCs w:val="24"/>
        </w:rPr>
        <w:t>ke-20 (Jensen, 2006). Ulasan dari penelitian ini telah menunjukkan bahwa ada korelasi terbalik yang signifikan antara ukuran waktu reaksi, waktu pemeriksaan dan ukuran pengolahan informasi lainnya waktu di satu sisi, dan kecerdasan umum di sisi lain (Verno</w:t>
      </w:r>
      <w:r>
        <w:rPr>
          <w:rFonts w:ascii="Times New Roman" w:eastAsia="Times New Roman" w:hAnsi="Times New Roman" w:cs="Times New Roman"/>
          <w:sz w:val="24"/>
          <w:szCs w:val="24"/>
        </w:rPr>
        <w:t>n, 1983; Nettelbeck, Edwards, dan Vreugdenhil, 1986; Diary, Dera, &amp; Ford, 2001; Sheppard &amp; Vernon, 2008; McGrew, 2009a, b). Cepat lambatnya reaksi yang diberikan menentukan keberhasilan dalam suatu pertandingan, sehingga waktu reaksi merupakan komponen yan</w:t>
      </w:r>
      <w:r>
        <w:rPr>
          <w:rFonts w:ascii="Times New Roman" w:eastAsia="Times New Roman" w:hAnsi="Times New Roman" w:cs="Times New Roman"/>
          <w:sz w:val="24"/>
          <w:szCs w:val="24"/>
        </w:rPr>
        <w:t>g penting dalam olahraga. (Syafitri, Supatmo, &amp; Indraswari, 2017).</w:t>
      </w:r>
    </w:p>
    <w:p w:rsidR="00C93C61" w:rsidRDefault="00EF0C6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permasalahan diatas mendorong peneliti untuk tertarik meneliti lebih lanjut tentang hubungan antara waktu reaksi kognitif dengan prestasi atlet pencak silat PELATDA Jawa Barat T</w:t>
      </w:r>
      <w:r>
        <w:rPr>
          <w:rFonts w:ascii="Times New Roman" w:eastAsia="Times New Roman" w:hAnsi="Times New Roman" w:cs="Times New Roman"/>
          <w:sz w:val="24"/>
          <w:szCs w:val="24"/>
        </w:rPr>
        <w:t xml:space="preserve">ahun 2019. </w:t>
      </w:r>
    </w:p>
    <w:p w:rsidR="00C93C61" w:rsidRDefault="00EF0C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penelitian yang relevan dengan penelitian yang dilakukan ini antara lain, sebuat artikel penelitian yang dilakukan Debbie Van Biesena, Katina McCulloch, Lucu Janssens, b, 2017 yang berjudul “Hubungan antara kecerdasan intelektual dan w</w:t>
      </w:r>
      <w:r>
        <w:rPr>
          <w:rFonts w:ascii="Times New Roman" w:eastAsia="Times New Roman" w:hAnsi="Times New Roman" w:cs="Times New Roman"/>
          <w:sz w:val="24"/>
          <w:szCs w:val="24"/>
        </w:rPr>
        <w:t xml:space="preserve">aktu reaksi kognitif di antara atlet dengan gangguan intelektual”. Hasil dari penelitian ini menunjukan ukuran kecerdasan intelektual secara signifikan terkait dengan semua ukuran waktu reaksi. Penelitian tesis Erna Nurlatipah 2016 yang berjudul “Hubungan </w:t>
      </w:r>
      <w:r>
        <w:rPr>
          <w:rFonts w:ascii="Times New Roman" w:eastAsia="Times New Roman" w:hAnsi="Times New Roman" w:cs="Times New Roman"/>
          <w:sz w:val="24"/>
          <w:szCs w:val="24"/>
        </w:rPr>
        <w:t>antara kecerdasan intelektual, kecerdasan emosional, dan keterampilan teknik dengan prestasi pencak silat atlet PPLP Jawa Barat”. Hasil dari penelitian ini terdapat hubungan yang signifikan antara kecerdasan intelektual, kecerdasan emosional, dan keterampi</w:t>
      </w:r>
      <w:r>
        <w:rPr>
          <w:rFonts w:ascii="Times New Roman" w:eastAsia="Times New Roman" w:hAnsi="Times New Roman" w:cs="Times New Roman"/>
          <w:sz w:val="24"/>
          <w:szCs w:val="24"/>
        </w:rPr>
        <w:t>lan teknik secara bersama-sama dengan prestasi pencak silat atlet PPLP Jawa Barat. Penelitian oleh Nina Astriyanti pada tahun 2015 yang meneliti tentang hubungan tingkat kecerdasan intelektual dengan prestasi catur atlet UKM Percama UPI. Dari hasil penelit</w:t>
      </w:r>
      <w:r>
        <w:rPr>
          <w:rFonts w:ascii="Times New Roman" w:eastAsia="Times New Roman" w:hAnsi="Times New Roman" w:cs="Times New Roman"/>
          <w:sz w:val="24"/>
          <w:szCs w:val="24"/>
        </w:rPr>
        <w:t>ian tersebut menunjukan bahwa terdapat hubungan yang signifikan antara tingkat kecerdasan intelektual dengan prestasi catur atlet UKM.</w:t>
      </w:r>
    </w:p>
    <w:p w:rsidR="00C93C61" w:rsidRDefault="00EF0C6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METODE PENELITIAN</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 dalam penelitian ini adalah pendekatan kuantitatif, metode survei dengan teknik ko</w:t>
      </w:r>
      <w:r>
        <w:rPr>
          <w:rFonts w:ascii="Times New Roman" w:eastAsia="Times New Roman" w:hAnsi="Times New Roman" w:cs="Times New Roman"/>
          <w:sz w:val="24"/>
          <w:szCs w:val="24"/>
        </w:rPr>
        <w:t>relasional. Dalam riset perilaku dan sosial, kajian deskriptif tentang hubungan korelasional .(Ali, 2011, hal. 201), Penggunaan studi korelasional dimaksudkan untuk menjawab masalah yang terkait dengan hubungan antara dua variabel atau lebih.).  Untuk peng</w:t>
      </w:r>
      <w:r>
        <w:rPr>
          <w:rFonts w:ascii="Times New Roman" w:eastAsia="Times New Roman" w:hAnsi="Times New Roman" w:cs="Times New Roman"/>
          <w:sz w:val="24"/>
          <w:szCs w:val="24"/>
        </w:rPr>
        <w:t xml:space="preserve">umpulan data tes serta pengisian data torehan prestasi atlet dalam tiga tahun terakhir, sedangkan teknik analisis menggunakan pendekatan analisis korelasi </w:t>
      </w:r>
      <w:r>
        <w:rPr>
          <w:rFonts w:ascii="Times New Roman" w:eastAsia="Times New Roman" w:hAnsi="Times New Roman" w:cs="Times New Roman"/>
          <w:i/>
          <w:sz w:val="24"/>
          <w:szCs w:val="24"/>
        </w:rPr>
        <w:t>multipel</w:t>
      </w:r>
      <w:r>
        <w:rPr>
          <w:rFonts w:ascii="Times New Roman" w:eastAsia="Times New Roman" w:hAnsi="Times New Roman" w:cs="Times New Roman"/>
          <w:sz w:val="24"/>
          <w:szCs w:val="24"/>
        </w:rPr>
        <w:t xml:space="preserve">. Terdiri dari dua variabel </w:t>
      </w:r>
      <w:r>
        <w:rPr>
          <w:rFonts w:ascii="Times New Roman" w:eastAsia="Times New Roman" w:hAnsi="Times New Roman" w:cs="Times New Roman"/>
          <w:i/>
          <w:sz w:val="24"/>
          <w:szCs w:val="24"/>
        </w:rPr>
        <w:t>eksogen</w:t>
      </w:r>
      <w:r>
        <w:rPr>
          <w:rFonts w:ascii="Times New Roman" w:eastAsia="Times New Roman" w:hAnsi="Times New Roman" w:cs="Times New Roman"/>
          <w:sz w:val="24"/>
          <w:szCs w:val="24"/>
        </w:rPr>
        <w:t xml:space="preserve"> dan satu variabel </w:t>
      </w:r>
      <w:r>
        <w:rPr>
          <w:rFonts w:ascii="Times New Roman" w:eastAsia="Times New Roman" w:hAnsi="Times New Roman" w:cs="Times New Roman"/>
          <w:i/>
          <w:sz w:val="24"/>
          <w:szCs w:val="24"/>
        </w:rPr>
        <w:t>endogen</w:t>
      </w:r>
      <w:r>
        <w:rPr>
          <w:rFonts w:ascii="Times New Roman" w:eastAsia="Times New Roman" w:hAnsi="Times New Roman" w:cs="Times New Roman"/>
          <w:sz w:val="24"/>
          <w:szCs w:val="24"/>
        </w:rPr>
        <w:t xml:space="preserve">. Variabel </w:t>
      </w:r>
      <w:r>
        <w:rPr>
          <w:rFonts w:ascii="Times New Roman" w:eastAsia="Times New Roman" w:hAnsi="Times New Roman" w:cs="Times New Roman"/>
          <w:i/>
          <w:sz w:val="24"/>
          <w:szCs w:val="24"/>
        </w:rPr>
        <w:t>eksogen</w:t>
      </w:r>
      <w:r>
        <w:rPr>
          <w:rFonts w:ascii="Times New Roman" w:eastAsia="Times New Roman" w:hAnsi="Times New Roman" w:cs="Times New Roman"/>
          <w:sz w:val="24"/>
          <w:szCs w:val="24"/>
        </w:rPr>
        <w:t xml:space="preserve"> terdiri dari </w:t>
      </w:r>
      <w:r>
        <w:rPr>
          <w:rFonts w:ascii="Times New Roman" w:eastAsia="Times New Roman" w:hAnsi="Times New Roman" w:cs="Times New Roman"/>
          <w:sz w:val="24"/>
          <w:szCs w:val="24"/>
        </w:rPr>
        <w:t>kecerdasan intelektual, waktu reaksi kognitif. Variabel endogen adalah prestasi atlet silat PELATDA Jawa Barat 2019.</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suatu penelitian memerlukan data yang diperoleh dari subjek penelitian atau populasi yang akan diteliti, populasi bisa merupakan kump</w:t>
      </w:r>
      <w:r>
        <w:rPr>
          <w:rFonts w:ascii="Times New Roman" w:eastAsia="Times New Roman" w:hAnsi="Times New Roman" w:cs="Times New Roman"/>
          <w:sz w:val="24"/>
          <w:szCs w:val="24"/>
        </w:rPr>
        <w:t>ulan individu atau objek dengan sifat-sifat umumnya. Populasi adalah keseluruhan subjek penelitian, (Arikunto 2002, hal. 108). Peneliti menggunakan populasi homogen, populasi homogen sendiri adalah sumber data yang unsurnya memiliki sifat yang sama sehingg</w:t>
      </w:r>
      <w:r>
        <w:rPr>
          <w:rFonts w:ascii="Times New Roman" w:eastAsia="Times New Roman" w:hAnsi="Times New Roman" w:cs="Times New Roman"/>
          <w:sz w:val="24"/>
          <w:szCs w:val="24"/>
        </w:rPr>
        <w:t xml:space="preserve">a tidak perlu mempersoalkan jumlahnya secara kuantitatif. sehingga dalam penelitian ini yang digunakan sebagai populasi sasaran </w:t>
      </w:r>
      <w:r>
        <w:rPr>
          <w:rFonts w:ascii="Times New Roman" w:eastAsia="Times New Roman" w:hAnsi="Times New Roman" w:cs="Times New Roman"/>
          <w:i/>
          <w:sz w:val="24"/>
          <w:szCs w:val="24"/>
        </w:rPr>
        <w:t xml:space="preserve">(target population), </w:t>
      </w:r>
      <w:r>
        <w:rPr>
          <w:rFonts w:ascii="Times New Roman" w:eastAsia="Times New Roman" w:hAnsi="Times New Roman" w:cs="Times New Roman"/>
          <w:sz w:val="24"/>
          <w:szCs w:val="24"/>
        </w:rPr>
        <w:t>yang diteliti adalah seluruh atlet pencak silat PELATDA Jawa Barat 2019, berjumlah 21 atlet.</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samplin</w:t>
      </w:r>
      <w:r>
        <w:rPr>
          <w:rFonts w:ascii="Times New Roman" w:eastAsia="Times New Roman" w:hAnsi="Times New Roman" w:cs="Times New Roman"/>
          <w:sz w:val="24"/>
          <w:szCs w:val="24"/>
        </w:rPr>
        <w:t xml:space="preserve">g yang digunakan adalah </w:t>
      </w:r>
      <w:r>
        <w:rPr>
          <w:rFonts w:ascii="Times New Roman" w:eastAsia="Times New Roman" w:hAnsi="Times New Roman" w:cs="Times New Roman"/>
          <w:i/>
          <w:sz w:val="24"/>
          <w:szCs w:val="24"/>
        </w:rPr>
        <w:t>Total Sampling</w:t>
      </w:r>
      <w:r>
        <w:rPr>
          <w:rFonts w:ascii="Times New Roman" w:eastAsia="Times New Roman" w:hAnsi="Times New Roman" w:cs="Times New Roman"/>
          <w:sz w:val="24"/>
          <w:szCs w:val="24"/>
        </w:rPr>
        <w:t xml:space="preserve"> (sampel total atau jenuh) yaitu populasi dijadikan sampel. Sampling jenuh adalah teknik penentuan sampel bila semua anggota populasi digunakan sebagai sampel, hal ini sering dilakukan bila jumlah populasi relatif keci</w:t>
      </w:r>
      <w:r>
        <w:rPr>
          <w:rFonts w:ascii="Times New Roman" w:eastAsia="Times New Roman" w:hAnsi="Times New Roman" w:cs="Times New Roman"/>
          <w:sz w:val="24"/>
          <w:szCs w:val="24"/>
        </w:rPr>
        <w:t>l, kurang dari tiga puluh orang, atau penelitian yang ingin membuat generalisasi dengan kesalahan yang kecil (Sugiyono, 2010, hal. 85). Pengambilan sampel dilakukan dengan menggunakan teknik sampel total. Sampel penelitian adalah atlet pencak silat PELATDA</w:t>
      </w:r>
      <w:r>
        <w:rPr>
          <w:rFonts w:ascii="Times New Roman" w:eastAsia="Times New Roman" w:hAnsi="Times New Roman" w:cs="Times New Roman"/>
          <w:sz w:val="24"/>
          <w:szCs w:val="24"/>
        </w:rPr>
        <w:t xml:space="preserve"> Jawa Barat 2019.</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Nurhasan dan Setiawan (2017, hlm. 2) menjelaskan bahwa: Instrumen berfungsi sebagai alat untuk mengukur dan mengumpulkan data atau informasi dari seseorang yang akan kita teliti. Dimana dalam pelaksanaannya berupa sebuah pertanyaa</w:t>
      </w:r>
      <w:r>
        <w:rPr>
          <w:rFonts w:ascii="Times New Roman" w:eastAsia="Times New Roman" w:hAnsi="Times New Roman" w:cs="Times New Roman"/>
          <w:sz w:val="24"/>
          <w:szCs w:val="24"/>
        </w:rPr>
        <w:t>n atau tugas gerak yang digunakan untuk mengukur keterampilan pengetahuan, intelegensi, kemampuan atau bakat yang dimiliki seorang peserta didik atau atlet. Instrumen penelitian adalah suatu alat yang digunakan untuk mengukur fenomena atlet maupun sosial y</w:t>
      </w:r>
      <w:r>
        <w:rPr>
          <w:rFonts w:ascii="Times New Roman" w:eastAsia="Times New Roman" w:hAnsi="Times New Roman" w:cs="Times New Roman"/>
          <w:sz w:val="24"/>
          <w:szCs w:val="24"/>
        </w:rPr>
        <w:t>ang diamati (Sugiyono, 2010, hal. 102). Sehubungan dengan pengertian teknik pengumpulan data dan wujud data yang akan dikumpulkan, maka teknik pengumpulan data adalah langkah penting dalam penelitian sehingga dalam penelitian ini digunakan teknik tes dan p</w:t>
      </w:r>
      <w:r>
        <w:rPr>
          <w:rFonts w:ascii="Times New Roman" w:eastAsia="Times New Roman" w:hAnsi="Times New Roman" w:cs="Times New Roman"/>
          <w:sz w:val="24"/>
          <w:szCs w:val="24"/>
        </w:rPr>
        <w:t xml:space="preserve">engukuran. Dimana, untuk mengumpulkan data peneliti menggunakan teknik tes dan pengukuran, tes merupakan instrumen atau alat yang digunakan untuk </w:t>
      </w:r>
      <w:r>
        <w:rPr>
          <w:rFonts w:ascii="Times New Roman" w:eastAsia="Times New Roman" w:hAnsi="Times New Roman" w:cs="Times New Roman"/>
          <w:sz w:val="24"/>
          <w:szCs w:val="24"/>
        </w:rPr>
        <w:lastRenderedPageBreak/>
        <w:t xml:space="preserve">memperoleh informasi tentang individu atau objek. Pengukuran merupakan proses pengumpulan data atau informasi </w:t>
      </w:r>
      <w:r>
        <w:rPr>
          <w:rFonts w:ascii="Times New Roman" w:eastAsia="Times New Roman" w:hAnsi="Times New Roman" w:cs="Times New Roman"/>
          <w:sz w:val="24"/>
          <w:szCs w:val="24"/>
        </w:rPr>
        <w:t>yang dilakukan secara objektif.</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pendapat diatas dapat disimpulkan bahwa teknik tes dan pengukuran adalah satu cara untuk mengumpulkan data. Data-data yang diperoleh dalam penelitian ini adalah hasil tes dan pengukuran waktu reaksi kognitif serta prest</w:t>
      </w:r>
      <w:r>
        <w:rPr>
          <w:rFonts w:ascii="Times New Roman" w:eastAsia="Times New Roman" w:hAnsi="Times New Roman" w:cs="Times New Roman"/>
          <w:sz w:val="24"/>
          <w:szCs w:val="24"/>
        </w:rPr>
        <w:t>asi pencak silat atlet PELATDA Jawa Barat 2019.</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Prestasi pencak silat atlet PELATDA Jawa Barat 2019, terdiri dari berbagai tingkatan dari tingkat Kota atau Kabupaten, Provinsi, Daerah, Nasional dan Internasional, maka dari itu untuk mencatat torehan presta</w:t>
      </w:r>
      <w:r>
        <w:rPr>
          <w:rFonts w:ascii="Times New Roman" w:eastAsia="Times New Roman" w:hAnsi="Times New Roman" w:cs="Times New Roman"/>
          <w:sz w:val="24"/>
          <w:szCs w:val="24"/>
        </w:rPr>
        <w:t>si atlet disusun bagan untuk mencatat hasil torehan prestasi tersebut. Atlet mendapatkan angket kategori kejuaraan, didalamnya terdapat tingkatan turnamen, dan medali yang diraih atau sebagai partisipan.</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Penelusuran prestasi atlet pencak silat atlet PELATD</w:t>
      </w:r>
      <w:r>
        <w:rPr>
          <w:rFonts w:ascii="Times New Roman" w:eastAsia="Times New Roman" w:hAnsi="Times New Roman" w:cs="Times New Roman"/>
          <w:sz w:val="24"/>
          <w:szCs w:val="24"/>
        </w:rPr>
        <w:t xml:space="preserve">A Jawa Barat 2019, dilakukan dengan rekap hasil prestasi yang diraih selama pertandingan tiga tahun terakhir. Karena data variabel dalam penelitian ini satuan ukurnya tidak sama maka data untuk prestasi dilakukan dengan penskoran pada tabel 1.1. </w:t>
      </w:r>
    </w:p>
    <w:p w:rsidR="00C93C61" w:rsidRDefault="00EF0C6E">
      <w:pP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 1.1</w:t>
      </w:r>
      <w:r>
        <w:rPr>
          <w:rFonts w:ascii="Times New Roman" w:eastAsia="Times New Roman" w:hAnsi="Times New Roman" w:cs="Times New Roman"/>
          <w:b/>
          <w:sz w:val="24"/>
          <w:szCs w:val="24"/>
        </w:rPr>
        <w:t>. Penskoran Nilai Pertandingan</w:t>
      </w:r>
    </w:p>
    <w:tbl>
      <w:tblPr>
        <w:tblStyle w:val="a0"/>
        <w:tblW w:w="8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183"/>
        <w:gridCol w:w="1359"/>
        <w:gridCol w:w="1359"/>
        <w:gridCol w:w="1359"/>
        <w:gridCol w:w="1359"/>
      </w:tblGrid>
      <w:tr w:rsidR="00C93C61">
        <w:tc>
          <w:tcPr>
            <w:tcW w:w="534" w:type="dxa"/>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183" w:type="dxa"/>
            <w:vMerge w:val="restart"/>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Kategori</w:t>
            </w:r>
          </w:p>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Kejuaraan</w:t>
            </w:r>
          </w:p>
        </w:tc>
        <w:tc>
          <w:tcPr>
            <w:tcW w:w="5436" w:type="dxa"/>
            <w:gridSpan w:val="4"/>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Prestasi (Skor)</w:t>
            </w:r>
          </w:p>
        </w:tc>
      </w:tr>
      <w:tr w:rsidR="00C93C61">
        <w:tc>
          <w:tcPr>
            <w:tcW w:w="534" w:type="dxa"/>
          </w:tcPr>
          <w:p w:rsidR="00C93C61" w:rsidRDefault="00C93C61">
            <w:pPr>
              <w:ind w:right="-120"/>
              <w:jc w:val="center"/>
              <w:rPr>
                <w:rFonts w:ascii="Times New Roman" w:eastAsia="Times New Roman" w:hAnsi="Times New Roman" w:cs="Times New Roman"/>
                <w:sz w:val="24"/>
                <w:szCs w:val="24"/>
              </w:rPr>
            </w:pPr>
          </w:p>
        </w:tc>
        <w:tc>
          <w:tcPr>
            <w:tcW w:w="2183" w:type="dxa"/>
            <w:vMerge/>
            <w:vAlign w:val="center"/>
          </w:tcPr>
          <w:p w:rsidR="00C93C61" w:rsidRDefault="00C93C6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59" w:type="dxa"/>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Emas</w:t>
            </w:r>
          </w:p>
        </w:tc>
        <w:tc>
          <w:tcPr>
            <w:tcW w:w="1359" w:type="dxa"/>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Perak</w:t>
            </w:r>
          </w:p>
        </w:tc>
        <w:tc>
          <w:tcPr>
            <w:tcW w:w="1359" w:type="dxa"/>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Perunggu</w:t>
            </w:r>
          </w:p>
        </w:tc>
        <w:tc>
          <w:tcPr>
            <w:tcW w:w="1359" w:type="dxa"/>
            <w:vAlign w:val="center"/>
          </w:tcPr>
          <w:p w:rsidR="00C93C61" w:rsidRDefault="00EF0C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Partisipan</w:t>
            </w:r>
          </w:p>
        </w:tc>
      </w:tr>
      <w:tr w:rsidR="00C93C61">
        <w:tc>
          <w:tcPr>
            <w:tcW w:w="534" w:type="dxa"/>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83"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Internasional</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C93C61">
        <w:tc>
          <w:tcPr>
            <w:tcW w:w="534" w:type="dxa"/>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3"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Nasional</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C93C61">
        <w:tc>
          <w:tcPr>
            <w:tcW w:w="534" w:type="dxa"/>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3"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Wilayah</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C93C61">
        <w:tc>
          <w:tcPr>
            <w:tcW w:w="534" w:type="dxa"/>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83"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Provinsi</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93C61">
        <w:tc>
          <w:tcPr>
            <w:tcW w:w="534" w:type="dxa"/>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83"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Kota/Kab</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9" w:type="dxa"/>
            <w:vAlign w:val="center"/>
          </w:tcPr>
          <w:p w:rsidR="00C93C61" w:rsidRDefault="00EF0C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C93C61" w:rsidRDefault="00C93C61">
      <w:pPr>
        <w:spacing w:after="0"/>
        <w:jc w:val="both"/>
        <w:rPr>
          <w:rFonts w:ascii="Times New Roman" w:eastAsia="Times New Roman" w:hAnsi="Times New Roman" w:cs="Times New Roman"/>
          <w:sz w:val="24"/>
          <w:szCs w:val="24"/>
        </w:rPr>
      </w:pPr>
    </w:p>
    <w:p w:rsidR="00C93C61" w:rsidRDefault="00EF0C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Sumber. Buku Panduan Perguruan Tinggi SNMPTN-SBMPTN</w:t>
      </w:r>
    </w:p>
    <w:p w:rsidR="00C93C61" w:rsidRDefault="00EF0C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Nasional 2014</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Kisi-kisi instrumen yang harus atlet isi seperti tabel diatas dan masing-masing tingkatan atau kategori kejuaraan mempunyai makna dan nilai atau skor yang berbeda, diantaranya kategori Inter</w:t>
      </w:r>
      <w:r>
        <w:rPr>
          <w:rFonts w:ascii="Times New Roman" w:eastAsia="Times New Roman" w:hAnsi="Times New Roman" w:cs="Times New Roman"/>
          <w:sz w:val="24"/>
          <w:szCs w:val="24"/>
        </w:rPr>
        <w:t xml:space="preserve">nasional adalah kejuaraan yang bersifat Internasional, yang melibatkan berbagai Negara, kejuaraan Nasional yang melibatkan berbagai Provinsi dan Wilayah, kejuaraan Wilayah yang melibatkan </w:t>
      </w:r>
      <w:r>
        <w:rPr>
          <w:rFonts w:ascii="Times New Roman" w:eastAsia="Times New Roman" w:hAnsi="Times New Roman" w:cs="Times New Roman"/>
          <w:sz w:val="24"/>
          <w:szCs w:val="24"/>
        </w:rPr>
        <w:lastRenderedPageBreak/>
        <w:t>berbagai Provinsi namun dalam satu wilayah seperti Pulau Jawa, Pulau</w:t>
      </w:r>
      <w:r>
        <w:rPr>
          <w:rFonts w:ascii="Times New Roman" w:eastAsia="Times New Roman" w:hAnsi="Times New Roman" w:cs="Times New Roman"/>
          <w:sz w:val="24"/>
          <w:szCs w:val="24"/>
        </w:rPr>
        <w:t xml:space="preserve"> Sulawesi, Pulau Kalimantan dan sebagainya, kejuaraan Provinsi yang melibatkan antar Kota atau Kabupaten dalam satu Provinsi, dan kejuaran tingkat Kota atau Kabupaten melibatkan antar kecamatan dalam satu Kota atau Kabupaten.</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tes waktu reaksi kogniti</w:t>
      </w:r>
      <w:r>
        <w:rPr>
          <w:rFonts w:ascii="Times New Roman" w:eastAsia="Times New Roman" w:hAnsi="Times New Roman" w:cs="Times New Roman"/>
          <w:sz w:val="24"/>
          <w:szCs w:val="24"/>
        </w:rPr>
        <w:t>f terdapat tiga tahapan, biasanya tingkatan pertama dan kedua digunakan untuk atlet yang berkebutuhan khusus. Tes yang pertama waktu reaksi kognitif sederhana, memasukan suatu stimulus yaitu panah menuju ke arah kanan yang muncul di tengah layar, dengan in</w:t>
      </w:r>
      <w:r>
        <w:rPr>
          <w:rFonts w:ascii="Times New Roman" w:eastAsia="Times New Roman" w:hAnsi="Times New Roman" w:cs="Times New Roman"/>
          <w:sz w:val="24"/>
          <w:szCs w:val="24"/>
        </w:rPr>
        <w:t>terval waktu antara 0 ms dan 2000 ms dihasilkan secara acak di labview uji coba diikuti semua atlet yang antri per atlet, peserta meletakan jari telunjuk yang dominan pada panah arah kanan keyboard dengan merespon instruksi secepat mungkin, setiap saat sim</w:t>
      </w:r>
      <w:r>
        <w:rPr>
          <w:rFonts w:ascii="Times New Roman" w:eastAsia="Times New Roman" w:hAnsi="Times New Roman" w:cs="Times New Roman"/>
          <w:sz w:val="24"/>
          <w:szCs w:val="24"/>
        </w:rPr>
        <w:t>ulus muncul di layar monitor. Data yang tercatat pada pada sistem otomatis hasil dari rata-rata dari dua belas kali percobaan.</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waktu reaksi pilihan mencakup salah-satu warna, (merah, kuning dan biru), muncul secara acak posisi di seluruh layar.</w:t>
      </w:r>
      <w:r>
        <w:rPr>
          <w:rFonts w:ascii="Times New Roman" w:eastAsia="Times New Roman" w:hAnsi="Times New Roman" w:cs="Times New Roman"/>
          <w:sz w:val="24"/>
          <w:szCs w:val="24"/>
        </w:rPr>
        <w:t xml:space="preserve"> Tidak ada interval waktu antara masing-masing percobaan. Sebaliknya, warna baru segera muncul setelah para peserta tanggapan. Stimulus berlanjut selama 30 detik. Peserta beristirahat, tangan dominan yang dekat dengan tombol dengan instruksi untuk merespon</w:t>
      </w:r>
      <w:r>
        <w:rPr>
          <w:rFonts w:ascii="Times New Roman" w:eastAsia="Times New Roman" w:hAnsi="Times New Roman" w:cs="Times New Roman"/>
          <w:sz w:val="24"/>
          <w:szCs w:val="24"/>
        </w:rPr>
        <w:t xml:space="preserve"> dengan menekan yang sesuai tombol warna (merah, kuning dan biru) secepat mungkin, segera setelah rangsangan muncul di layar jumlah total tanggapan dalam 30 detik, dan jumlah tekanan yang benar dan salah secara otomatis terdaftar. Namun kali ini waktu reak</w:t>
      </w:r>
      <w:r>
        <w:rPr>
          <w:rFonts w:ascii="Times New Roman" w:eastAsia="Times New Roman" w:hAnsi="Times New Roman" w:cs="Times New Roman"/>
          <w:sz w:val="24"/>
          <w:szCs w:val="24"/>
        </w:rPr>
        <w:t>si yang diambil atau dilaksanakan buat atlet hanya waktu reaksi flanker atau waktu reaksi kognitif yang ketiga.</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 yang digunakan adalah, tester diskriminasi reaksi, tes ini mengukur waktu reaksi dari subyek yang diberikan baik rangsangan warna atau</w:t>
      </w:r>
      <w:r>
        <w:rPr>
          <w:rFonts w:ascii="Times New Roman" w:eastAsia="Times New Roman" w:hAnsi="Times New Roman" w:cs="Times New Roman"/>
          <w:sz w:val="24"/>
          <w:szCs w:val="24"/>
        </w:rPr>
        <w:t xml:space="preserve"> rangsangan suara bel, atau kombinasi dari warna dan suara bel. Waktu yang dibutuhkan oleh reaksi setelah menerima rangsangan optik diukur dan tercatat secara otomatis dalam sistem dan langkah yang digunakan sama. Spesifik alat yang digunakan adalah:</w:t>
      </w:r>
    </w:p>
    <w:p w:rsidR="00C93C61" w:rsidRDefault="00EF0C6E">
      <w:pPr>
        <w:spacing w:line="360" w:lineRule="auto"/>
        <w:ind w:left="28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Gamba</w:t>
      </w:r>
      <w:r>
        <w:rPr>
          <w:rFonts w:ascii="Times New Roman" w:eastAsia="Times New Roman" w:hAnsi="Times New Roman" w:cs="Times New Roman"/>
          <w:sz w:val="24"/>
          <w:szCs w:val="24"/>
        </w:rPr>
        <w:t>r: 1.2 tes waktu reaksi</w:t>
      </w:r>
    </w:p>
    <w:p w:rsidR="00C93C61" w:rsidRDefault="00EF0C6E">
      <w:pPr>
        <w:spacing w:after="0"/>
        <w:ind w:left="720" w:firstLine="273"/>
        <w:jc w:val="both"/>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1066800</wp:posOffset>
            </wp:positionH>
            <wp:positionV relativeFrom="paragraph">
              <wp:posOffset>9525</wp:posOffset>
            </wp:positionV>
            <wp:extent cx="3419475" cy="1838325"/>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19475" cy="1838325"/>
                    </a:xfrm>
                    <a:prstGeom prst="rect">
                      <a:avLst/>
                    </a:prstGeom>
                    <a:ln/>
                  </pic:spPr>
                </pic:pic>
              </a:graphicData>
            </a:graphic>
          </wp:anchor>
        </w:drawing>
      </w:r>
    </w:p>
    <w:p w:rsidR="00C93C61" w:rsidRDefault="00EF0C6E">
      <w:pPr>
        <w:spacing w:after="0"/>
        <w:ind w:left="720" w:firstLine="2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Takei Scientific Instruments CO., LTD (2017) Psychological &amp; Physiological Apparatus </w:t>
      </w:r>
    </w:p>
    <w:p w:rsidR="00C93C61" w:rsidRDefault="00C93C61">
      <w:pPr>
        <w:spacing w:after="0"/>
        <w:ind w:left="720" w:firstLine="273"/>
        <w:jc w:val="center"/>
        <w:rPr>
          <w:rFonts w:ascii="Times New Roman" w:eastAsia="Times New Roman" w:hAnsi="Times New Roman" w:cs="Times New Roman"/>
          <w:sz w:val="24"/>
          <w:szCs w:val="24"/>
        </w:rPr>
      </w:pPr>
    </w:p>
    <w:p w:rsidR="00C93C61" w:rsidRDefault="00EF0C6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Tampilan waktu reaksi:</w:t>
      </w:r>
      <w:r>
        <w:rPr>
          <w:rFonts w:ascii="Times New Roman" w:eastAsia="Times New Roman" w:hAnsi="Times New Roman" w:cs="Times New Roman"/>
          <w:sz w:val="24"/>
          <w:szCs w:val="24"/>
        </w:rPr>
        <w:tab/>
        <w:t>0,01-9,99s, 3 digit LEDJe</w:t>
      </w:r>
    </w:p>
    <w:p w:rsidR="00C93C61" w:rsidRDefault="00EF0C6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 rangsangan: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Merah, kuning, biru dan suara buzzer</w:t>
      </w:r>
    </w:p>
    <w:p w:rsidR="00C93C61" w:rsidRDefault="00EF0C6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daya: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AC100V 50/60HZ</w:t>
      </w:r>
    </w:p>
    <w:p w:rsidR="00C93C61" w:rsidRDefault="00EF0C6E">
      <w:pPr>
        <w:spacing w:after="0" w:line="360" w:lineRule="auto"/>
        <w:ind w:left="81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msi daya: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Approx. 18 W</w:t>
      </w:r>
    </w:p>
    <w:p w:rsidR="00C93C61" w:rsidRDefault="00EF0C6E">
      <w:pPr>
        <w:spacing w:after="0" w:line="360" w:lineRule="auto"/>
        <w:ind w:left="28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Dimensi atau berat: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Layar stimulus – 10 kg approx. 840 (W) x 410 (D) x 820 (H) mm regulator – 5 kg</w:t>
      </w:r>
    </w:p>
    <w:p w:rsidR="00C93C61" w:rsidRDefault="00EF0C6E">
      <w:pPr>
        <w:spacing w:after="0" w:line="360" w:lineRule="auto"/>
        <w:ind w:left="28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Aksesoris: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Approx. 420 (W) x 370 (D) x 150 (H) mm lampu cadangan x 3</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Tugas waktu reaksi </w:t>
      </w:r>
      <w:r>
        <w:rPr>
          <w:rFonts w:ascii="Times New Roman" w:eastAsia="Times New Roman" w:hAnsi="Times New Roman" w:cs="Times New Roman"/>
          <w:i/>
          <w:sz w:val="24"/>
          <w:szCs w:val="24"/>
        </w:rPr>
        <w:t>flanker</w:t>
      </w:r>
      <w:r>
        <w:rPr>
          <w:rFonts w:ascii="Times New Roman" w:eastAsia="Times New Roman" w:hAnsi="Times New Roman" w:cs="Times New Roman"/>
          <w:sz w:val="24"/>
          <w:szCs w:val="24"/>
        </w:rPr>
        <w:t xml:space="preserve"> yang disesu</w:t>
      </w:r>
      <w:r>
        <w:rPr>
          <w:rFonts w:ascii="Times New Roman" w:eastAsia="Times New Roman" w:hAnsi="Times New Roman" w:cs="Times New Roman"/>
          <w:sz w:val="24"/>
          <w:szCs w:val="24"/>
        </w:rPr>
        <w:t>aikan mencakup satu target stimulus (yaitu, warna mengarah ke kiri, kanan, atas atau bawah) dan tiga tempat (tangan pemukul di sekitar target), tanpa jarak waktu antara keduanya setiap percobaan peserta meletakkan tangan yang dominan dekat dengan tombol pa</w:t>
      </w:r>
      <w:r>
        <w:rPr>
          <w:rFonts w:ascii="Times New Roman" w:eastAsia="Times New Roman" w:hAnsi="Times New Roman" w:cs="Times New Roman"/>
          <w:sz w:val="24"/>
          <w:szCs w:val="24"/>
        </w:rPr>
        <w:t xml:space="preserve">nah, dengan instruksi untuk diabaikan tombol pemukul, dan fokus hanya pada warna pusat, merespons secepat mungkin dengan menekan tombol panah yang sesuai (atas, bawah, kiri, kanan), begitu rangsangan muncul di layar. </w:t>
      </w:r>
      <w:r>
        <w:rPr>
          <w:rFonts w:ascii="Times New Roman" w:eastAsia="Times New Roman" w:hAnsi="Times New Roman" w:cs="Times New Roman"/>
          <w:i/>
          <w:sz w:val="24"/>
          <w:szCs w:val="24"/>
        </w:rPr>
        <w:t xml:space="preserve">Flanker konfigurasi </w:t>
      </w:r>
      <w:r>
        <w:rPr>
          <w:rFonts w:ascii="Times New Roman" w:eastAsia="Times New Roman" w:hAnsi="Times New Roman" w:cs="Times New Roman"/>
          <w:sz w:val="24"/>
          <w:szCs w:val="24"/>
        </w:rPr>
        <w:t xml:space="preserve">muncul secara acak </w:t>
      </w:r>
      <w:r>
        <w:rPr>
          <w:rFonts w:ascii="Times New Roman" w:eastAsia="Times New Roman" w:hAnsi="Times New Roman" w:cs="Times New Roman"/>
          <w:sz w:val="24"/>
          <w:szCs w:val="24"/>
        </w:rPr>
        <w:t>di sembilan lokasi yang memungkinkan di sekitar layar untuk meningkatkan beban kognitif (menambah kapasitas pencarian visual) dan hindari agar peserta menekan tombol acak secepat mungkin terus menerus tanpa pengolahan informasi. Jumlah total tanggapan di 3</w:t>
      </w:r>
      <w:r>
        <w:rPr>
          <w:rFonts w:ascii="Times New Roman" w:eastAsia="Times New Roman" w:hAnsi="Times New Roman" w:cs="Times New Roman"/>
          <w:sz w:val="24"/>
          <w:szCs w:val="24"/>
        </w:rPr>
        <w:t xml:space="preserve">0 detik, dan jumlah keran yang </w:t>
      </w:r>
      <w:r>
        <w:rPr>
          <w:rFonts w:ascii="Times New Roman" w:eastAsia="Times New Roman" w:hAnsi="Times New Roman" w:cs="Times New Roman"/>
          <w:sz w:val="24"/>
          <w:szCs w:val="24"/>
        </w:rPr>
        <w:lastRenderedPageBreak/>
        <w:t xml:space="preserve">benar dan salah secara otomatis tersimpan pada sistem, (Debbie Van Biesena, Katina McCulloch, Lucu Janssen, b, 2017). Kali ini hanya tes yang terakhir yang dilakukan, yakni tes waktu </w:t>
      </w:r>
      <w:r>
        <w:rPr>
          <w:rFonts w:ascii="Times New Roman" w:eastAsia="Times New Roman" w:hAnsi="Times New Roman" w:cs="Times New Roman"/>
          <w:i/>
          <w:sz w:val="24"/>
          <w:szCs w:val="24"/>
        </w:rPr>
        <w:t>reaksi</w:t>
      </w:r>
      <w:r>
        <w:rPr>
          <w:rFonts w:ascii="Times New Roman" w:eastAsia="Times New Roman" w:hAnsi="Times New Roman" w:cs="Times New Roman"/>
          <w:sz w:val="24"/>
          <w:szCs w:val="24"/>
        </w:rPr>
        <w:t xml:space="preserve"> flanker dikarenakan sudah mewakili </w:t>
      </w:r>
      <w:r>
        <w:rPr>
          <w:rFonts w:ascii="Times New Roman" w:eastAsia="Times New Roman" w:hAnsi="Times New Roman" w:cs="Times New Roman"/>
          <w:sz w:val="24"/>
          <w:szCs w:val="24"/>
        </w:rPr>
        <w:t>waktu reaksi kognitif.</w:t>
      </w:r>
    </w:p>
    <w:p w:rsidR="00C93C61" w:rsidRDefault="00EF0C6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Bentuk data dalam penelitian ini berbentuk angka meliputi data dari kecerdasan intelektual, waktu reaksi kognitif dan prestasi pencak silat atlet PELATDA Jawa Barat 2019. Sesuai perumusan metodologi penelitian dan model teoritik yan</w:t>
      </w:r>
      <w:r>
        <w:rPr>
          <w:rFonts w:ascii="Times New Roman" w:eastAsia="Times New Roman" w:hAnsi="Times New Roman" w:cs="Times New Roman"/>
          <w:sz w:val="24"/>
          <w:szCs w:val="24"/>
        </w:rPr>
        <w:t>g telah diuraikan, maka teknik analisis yang digunakan dalam pengujian hipotesis penelitian ini adalah korelasional.</w:t>
      </w:r>
    </w:p>
    <w:p w:rsidR="00C93C61" w:rsidRDefault="00EF0C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data digunakan untuk menampilkan berbagai ukuran statistika dalam satu tabel seperti, jumlah sampel, mean, nilai minimum, nilai m</w:t>
      </w:r>
      <w:r>
        <w:rPr>
          <w:rFonts w:ascii="Times New Roman" w:eastAsia="Times New Roman" w:hAnsi="Times New Roman" w:cs="Times New Roman"/>
          <w:sz w:val="24"/>
          <w:szCs w:val="24"/>
        </w:rPr>
        <w:t xml:space="preserve">aksimum, dan standar deviasi. Analisis uji normalitas untuk melihat apakah data yang digunakan dalam penelitian ini berdistribusi normal atau tidak, dengan pengambilan keputusan apabila nilai signifikansi atau nilai probabilitas &lt; 0,05, maka data tersebut </w:t>
      </w:r>
      <w:r>
        <w:rPr>
          <w:rFonts w:ascii="Times New Roman" w:eastAsia="Times New Roman" w:hAnsi="Times New Roman" w:cs="Times New Roman"/>
          <w:sz w:val="24"/>
          <w:szCs w:val="24"/>
        </w:rPr>
        <w:t xml:space="preserve">berdistribusi tidak normal, dan sebaliknya apabila nilai signifikansi atau nilai probabilitas &gt; 0,05, maka data tersebut berdistribusi normal. Uji ini digunakan untuk menguji sampel kecil (n&lt;30), uji normalitas yang digunakan adalah </w:t>
      </w:r>
      <w:r>
        <w:rPr>
          <w:rFonts w:ascii="Times New Roman" w:eastAsia="Times New Roman" w:hAnsi="Times New Roman" w:cs="Times New Roman"/>
          <w:i/>
          <w:sz w:val="24"/>
          <w:szCs w:val="24"/>
        </w:rPr>
        <w:t>kolmogorov-Smirnov</w:t>
      </w:r>
      <w:r>
        <w:rPr>
          <w:rFonts w:ascii="Times New Roman" w:eastAsia="Times New Roman" w:hAnsi="Times New Roman" w:cs="Times New Roman"/>
          <w:sz w:val="24"/>
          <w:szCs w:val="24"/>
        </w:rPr>
        <w:t xml:space="preserve"> deng</w:t>
      </w:r>
      <w:r>
        <w:rPr>
          <w:rFonts w:ascii="Times New Roman" w:eastAsia="Times New Roman" w:hAnsi="Times New Roman" w:cs="Times New Roman"/>
          <w:sz w:val="24"/>
          <w:szCs w:val="24"/>
        </w:rPr>
        <w:t xml:space="preserve">an batuan program </w:t>
      </w:r>
      <w:r>
        <w:rPr>
          <w:rFonts w:ascii="Times New Roman" w:eastAsia="Times New Roman" w:hAnsi="Times New Roman" w:cs="Times New Roman"/>
          <w:i/>
          <w:sz w:val="24"/>
          <w:szCs w:val="24"/>
        </w:rPr>
        <w:t>SPSS</w:t>
      </w:r>
      <w:r>
        <w:rPr>
          <w:rFonts w:ascii="Times New Roman" w:eastAsia="Times New Roman" w:hAnsi="Times New Roman" w:cs="Times New Roman"/>
          <w:sz w:val="24"/>
          <w:szCs w:val="24"/>
        </w:rPr>
        <w:t>. Hal ini karena</w:t>
      </w:r>
      <w:r>
        <w:rPr>
          <w:rFonts w:ascii="Times New Roman" w:eastAsia="Times New Roman" w:hAnsi="Times New Roman" w:cs="Times New Roman"/>
          <w:i/>
          <w:sz w:val="24"/>
          <w:szCs w:val="24"/>
        </w:rPr>
        <w:t xml:space="preserve"> kolmogorov-Smirnov</w:t>
      </w:r>
      <w:r>
        <w:rPr>
          <w:rFonts w:ascii="Times New Roman" w:eastAsia="Times New Roman" w:hAnsi="Times New Roman" w:cs="Times New Roman"/>
          <w:sz w:val="24"/>
          <w:szCs w:val="24"/>
        </w:rPr>
        <w:t xml:space="preserve"> sangat cocok untuk data berskala interval (Priyatno, 2010, hal. 151).</w:t>
      </w:r>
    </w:p>
    <w:p w:rsidR="00C93C61" w:rsidRDefault="00EF0C6E">
      <w:pPr>
        <w:spacing w:after="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Berdasarkan hasil penghitungan uji normalitas, apabila data yang diperoleh dengan nilai signifikansinya &gt; 0,05, maka dapat diart</w:t>
      </w:r>
      <w:r>
        <w:rPr>
          <w:rFonts w:ascii="Times New Roman" w:eastAsia="Times New Roman" w:hAnsi="Times New Roman" w:cs="Times New Roman"/>
          <w:sz w:val="24"/>
          <w:szCs w:val="24"/>
        </w:rPr>
        <w:t xml:space="preserve">ikan bahwa data berdistribusi normal dan dilakukan analisis uji parametrik dengan menggunakan rumus koefisien korelasi </w:t>
      </w:r>
      <w:r>
        <w:rPr>
          <w:rFonts w:ascii="Times New Roman" w:eastAsia="Times New Roman" w:hAnsi="Times New Roman" w:cs="Times New Roman"/>
          <w:i/>
          <w:sz w:val="24"/>
          <w:szCs w:val="24"/>
        </w:rPr>
        <w:t>product moment</w:t>
      </w:r>
      <w:r>
        <w:rPr>
          <w:rFonts w:ascii="Times New Roman" w:eastAsia="Times New Roman" w:hAnsi="Times New Roman" w:cs="Times New Roman"/>
          <w:sz w:val="24"/>
          <w:szCs w:val="24"/>
        </w:rPr>
        <w:t xml:space="preserve">, dan apabila data yang diperoleh dengan nilai signifikansinya &lt; 0,05, maka dapat diartikan bahwa data tidak berdistribusi </w:t>
      </w:r>
      <w:r>
        <w:rPr>
          <w:rFonts w:ascii="Times New Roman" w:eastAsia="Times New Roman" w:hAnsi="Times New Roman" w:cs="Times New Roman"/>
          <w:sz w:val="24"/>
          <w:szCs w:val="24"/>
        </w:rPr>
        <w:t xml:space="preserve">normal dan dilakukan analisis uji non-parametrik dengan menggunakan metode korelasi </w:t>
      </w:r>
      <w:r>
        <w:rPr>
          <w:rFonts w:ascii="Times New Roman" w:eastAsia="Times New Roman" w:hAnsi="Times New Roman" w:cs="Times New Roman"/>
          <w:i/>
          <w:sz w:val="24"/>
          <w:szCs w:val="24"/>
        </w:rPr>
        <w:t>Spearman Rank.</w:t>
      </w:r>
    </w:p>
    <w:p w:rsidR="00C93C61" w:rsidRDefault="00EF0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korelasi </w:t>
      </w:r>
      <w:r>
        <w:rPr>
          <w:rFonts w:ascii="Times New Roman" w:eastAsia="Times New Roman" w:hAnsi="Times New Roman" w:cs="Times New Roman"/>
          <w:i/>
          <w:sz w:val="24"/>
          <w:szCs w:val="24"/>
        </w:rPr>
        <w:t xml:space="preserve">pearson product moment </w:t>
      </w:r>
      <w:r>
        <w:rPr>
          <w:rFonts w:ascii="Times New Roman" w:eastAsia="Times New Roman" w:hAnsi="Times New Roman" w:cs="Times New Roman"/>
          <w:sz w:val="24"/>
          <w:szCs w:val="24"/>
        </w:rPr>
        <w:t xml:space="preserve">digunakan untuk mengetahui hubungan yang signifikan antara kecerdasan intelektual dengan prestasi pencak </w:t>
      </w:r>
      <w:r>
        <w:rPr>
          <w:rFonts w:ascii="Times New Roman" w:eastAsia="Times New Roman" w:hAnsi="Times New Roman" w:cs="Times New Roman"/>
          <w:sz w:val="24"/>
          <w:szCs w:val="24"/>
        </w:rPr>
        <w:lastRenderedPageBreak/>
        <w:t>silat, untuk men</w:t>
      </w:r>
      <w:r>
        <w:rPr>
          <w:rFonts w:ascii="Times New Roman" w:eastAsia="Times New Roman" w:hAnsi="Times New Roman" w:cs="Times New Roman"/>
          <w:sz w:val="24"/>
          <w:szCs w:val="24"/>
        </w:rPr>
        <w:t>getahui  yang signifikan antara waktu reaksi kognitif dengan prestasi pencak silat.</w:t>
      </w:r>
    </w:p>
    <w:p w:rsidR="00C93C61" w:rsidRDefault="00EF0C6E">
      <w:pPr>
        <w:ind w:left="1134" w:hanging="1134"/>
        <w:rPr>
          <w:rFonts w:ascii="Times New Roman" w:eastAsia="Times New Roman" w:hAnsi="Times New Roman" w:cs="Times New Roman"/>
          <w:sz w:val="24"/>
          <w:szCs w:val="24"/>
        </w:rPr>
      </w:pPr>
      <w:r>
        <w:rPr>
          <w:rFonts w:ascii="Times New Roman" w:eastAsia="Times New Roman" w:hAnsi="Times New Roman" w:cs="Times New Roman"/>
          <w:sz w:val="24"/>
          <w:szCs w:val="24"/>
        </w:rPr>
        <w:t>III HASIL DAN PEMBAHASAN</w:t>
      </w:r>
    </w:p>
    <w:p w:rsidR="00C93C61" w:rsidRDefault="00EF0C6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Hasil</w:t>
      </w:r>
    </w:p>
    <w:p w:rsidR="00C93C61" w:rsidRDefault="00C93C61">
      <w:pPr>
        <w:ind w:left="720" w:hanging="720"/>
        <w:rPr>
          <w:rFonts w:ascii="Times New Roman" w:eastAsia="Times New Roman" w:hAnsi="Times New Roman" w:cs="Times New Roman"/>
          <w:sz w:val="24"/>
          <w:szCs w:val="24"/>
        </w:rPr>
      </w:pPr>
    </w:p>
    <w:p w:rsidR="00C93C61" w:rsidRDefault="00EF0C6E">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1. Waktu Reaksi Kognitif</w:t>
      </w:r>
    </w:p>
    <w:tbl>
      <w:tblPr>
        <w:tblStyle w:val="a1"/>
        <w:tblW w:w="3840" w:type="dxa"/>
        <w:tblInd w:w="2167" w:type="dxa"/>
        <w:tblLayout w:type="fixed"/>
        <w:tblLook w:val="0400" w:firstRow="0" w:lastRow="0" w:firstColumn="0" w:lastColumn="0" w:noHBand="0" w:noVBand="1"/>
      </w:tblPr>
      <w:tblGrid>
        <w:gridCol w:w="960"/>
        <w:gridCol w:w="960"/>
        <w:gridCol w:w="960"/>
        <w:gridCol w:w="960"/>
      </w:tblGrid>
      <w:tr w:rsidR="00C93C61">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t>Rendah</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Sedang</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Tinggi</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Jumlah</w:t>
            </w:r>
          </w:p>
        </w:tc>
      </w:tr>
      <w:tr w:rsidR="00C93C61">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t>1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9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7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17 Atlet</w:t>
            </w:r>
          </w:p>
        </w:tc>
      </w:tr>
      <w:tr w:rsidR="00C93C61">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t>6%</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53%</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41%</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100%</w:t>
            </w:r>
          </w:p>
        </w:tc>
      </w:tr>
    </w:tbl>
    <w:p w:rsidR="00C93C61" w:rsidRDefault="00C93C61">
      <w:pPr>
        <w:ind w:firstLine="720"/>
        <w:rPr>
          <w:rFonts w:ascii="Times New Roman" w:eastAsia="Times New Roman" w:hAnsi="Times New Roman" w:cs="Times New Roman"/>
          <w:sz w:val="24"/>
          <w:szCs w:val="24"/>
        </w:rPr>
      </w:pPr>
    </w:p>
    <w:p w:rsidR="00C93C61" w:rsidRDefault="00EF0C6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6% dari 17 atlet yaitu satu orang atlet mendapatkan hasil waktu reaksi kognitif kategori rendah, 37% dari 17 atlet yaitu sembilan atlet mendapatkan kategori nilai sedang dan 41% dari 17 atlet yaitu tujuh orang atlet mendapatkan kategori nilai ting</w:t>
      </w:r>
      <w:r>
        <w:rPr>
          <w:rFonts w:ascii="Times New Roman" w:eastAsia="Times New Roman" w:hAnsi="Times New Roman" w:cs="Times New Roman"/>
          <w:sz w:val="24"/>
          <w:szCs w:val="24"/>
        </w:rPr>
        <w:t>gi.</w:t>
      </w:r>
    </w:p>
    <w:p w:rsidR="00C93C61" w:rsidRDefault="00C93C61">
      <w:pPr>
        <w:ind w:left="720" w:hanging="720"/>
        <w:rPr>
          <w:rFonts w:ascii="Times New Roman" w:eastAsia="Times New Roman" w:hAnsi="Times New Roman" w:cs="Times New Roman"/>
          <w:sz w:val="24"/>
          <w:szCs w:val="24"/>
        </w:rPr>
      </w:pPr>
    </w:p>
    <w:p w:rsidR="00C93C61" w:rsidRDefault="00EF0C6E">
      <w:pPr>
        <w:ind w:left="720" w:hanging="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39995" cy="29400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3C61" w:rsidRDefault="00EF0C6E">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Grafik 1. Waktu Reakai</w:t>
      </w:r>
    </w:p>
    <w:p w:rsidR="00C93C61" w:rsidRDefault="00C93C61">
      <w:pPr>
        <w:ind w:left="720" w:hanging="720"/>
        <w:jc w:val="center"/>
        <w:rPr>
          <w:rFonts w:ascii="Times New Roman" w:eastAsia="Times New Roman" w:hAnsi="Times New Roman" w:cs="Times New Roman"/>
          <w:sz w:val="24"/>
          <w:szCs w:val="24"/>
        </w:rPr>
      </w:pPr>
    </w:p>
    <w:p w:rsidR="00C93C61" w:rsidRDefault="00C93C61">
      <w:pPr>
        <w:ind w:left="720" w:hanging="720"/>
        <w:jc w:val="center"/>
        <w:rPr>
          <w:rFonts w:ascii="Times New Roman" w:eastAsia="Times New Roman" w:hAnsi="Times New Roman" w:cs="Times New Roman"/>
          <w:sz w:val="24"/>
          <w:szCs w:val="24"/>
        </w:rPr>
      </w:pPr>
    </w:p>
    <w:p w:rsidR="00C93C61" w:rsidRDefault="00EF0C6E">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2. Prestasi Pencak Silat Atlat PELATDA Jawa Barat 2019</w:t>
      </w:r>
    </w:p>
    <w:tbl>
      <w:tblPr>
        <w:tblStyle w:val="a2"/>
        <w:tblW w:w="3840" w:type="dxa"/>
        <w:tblLayout w:type="fixed"/>
        <w:tblLook w:val="0400" w:firstRow="0" w:lastRow="0" w:firstColumn="0" w:lastColumn="0" w:noHBand="0" w:noVBand="1"/>
      </w:tblPr>
      <w:tblGrid>
        <w:gridCol w:w="960"/>
        <w:gridCol w:w="960"/>
        <w:gridCol w:w="960"/>
        <w:gridCol w:w="960"/>
      </w:tblGrid>
      <w:tr w:rsidR="00C93C61">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lastRenderedPageBreak/>
              <w:t>Tinggi</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Sedang</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Rendah</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Jumlah</w:t>
            </w:r>
          </w:p>
        </w:tc>
      </w:tr>
      <w:tr w:rsidR="00C93C61">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t>5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2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10 Atlet</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17 Atlet</w:t>
            </w:r>
          </w:p>
        </w:tc>
      </w:tr>
      <w:tr w:rsidR="00C93C61">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C93C61" w:rsidRDefault="00EF0C6E">
            <w:pPr>
              <w:spacing w:after="0" w:line="240" w:lineRule="auto"/>
              <w:jc w:val="center"/>
            </w:pPr>
            <w:r>
              <w:t>29%</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12%</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59%</w:t>
            </w:r>
          </w:p>
        </w:tc>
        <w:tc>
          <w:tcPr>
            <w:tcW w:w="960" w:type="dxa"/>
            <w:tcBorders>
              <w:top w:val="nil"/>
              <w:left w:val="nil"/>
              <w:bottom w:val="single" w:sz="4" w:space="0" w:color="000000"/>
              <w:right w:val="single" w:sz="4" w:space="0" w:color="000000"/>
            </w:tcBorders>
            <w:shd w:val="clear" w:color="auto" w:fill="auto"/>
            <w:vAlign w:val="bottom"/>
          </w:tcPr>
          <w:p w:rsidR="00C93C61" w:rsidRDefault="00EF0C6E">
            <w:pPr>
              <w:spacing w:after="0" w:line="240" w:lineRule="auto"/>
              <w:jc w:val="center"/>
            </w:pPr>
            <w:r>
              <w:t>100%</w:t>
            </w:r>
          </w:p>
        </w:tc>
      </w:tr>
    </w:tbl>
    <w:p w:rsidR="00C93C61" w:rsidRDefault="00C93C61">
      <w:pPr>
        <w:ind w:left="720" w:hanging="720"/>
        <w:jc w:val="center"/>
        <w:rPr>
          <w:rFonts w:ascii="Times New Roman" w:eastAsia="Times New Roman" w:hAnsi="Times New Roman" w:cs="Times New Roman"/>
          <w:sz w:val="24"/>
          <w:szCs w:val="24"/>
        </w:rPr>
      </w:pPr>
    </w:p>
    <w:p w:rsidR="00C93C61" w:rsidRDefault="00C93C61">
      <w:pPr>
        <w:ind w:left="720" w:hanging="720"/>
        <w:jc w:val="cente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EF0C6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29% dari 17 atlet mendapatkan nilai tinggi dari hasil prestasi, 12% dari 17 atlet mendapatkan nilai sedang, dan 59% dari 17 atlet mendapatkan nilai rendah.</w:t>
      </w:r>
    </w:p>
    <w:p w:rsidR="00C93C61" w:rsidRDefault="00C93C61">
      <w:pPr>
        <w:ind w:left="720" w:hanging="720"/>
        <w:jc w:val="center"/>
        <w:rPr>
          <w:rFonts w:ascii="Times New Roman" w:eastAsia="Times New Roman" w:hAnsi="Times New Roman" w:cs="Times New Roman"/>
          <w:sz w:val="24"/>
          <w:szCs w:val="24"/>
        </w:rPr>
      </w:pPr>
    </w:p>
    <w:p w:rsidR="00C93C61" w:rsidRDefault="00EF0C6E">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39995" cy="2940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3C61" w:rsidRDefault="00EF0C6E">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Grafik 2. Prestasi Atlet PELATDA Jawa Barat 2019</w:t>
      </w:r>
    </w:p>
    <w:p w:rsidR="00C93C61" w:rsidRDefault="00C93C61">
      <w:pPr>
        <w:ind w:left="720" w:hanging="720"/>
        <w:jc w:val="center"/>
        <w:rPr>
          <w:rFonts w:ascii="Times New Roman" w:eastAsia="Times New Roman" w:hAnsi="Times New Roman" w:cs="Times New Roman"/>
          <w:sz w:val="24"/>
          <w:szCs w:val="24"/>
        </w:rPr>
      </w:pPr>
    </w:p>
    <w:p w:rsidR="00C93C61" w:rsidRDefault="00EF0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 normalitas</w:t>
      </w:r>
    </w:p>
    <w:tbl>
      <w:tblPr>
        <w:tblStyle w:val="a3"/>
        <w:tblW w:w="7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6"/>
        <w:gridCol w:w="1030"/>
        <w:gridCol w:w="1030"/>
        <w:gridCol w:w="1030"/>
        <w:gridCol w:w="1030"/>
        <w:gridCol w:w="1030"/>
        <w:gridCol w:w="1030"/>
      </w:tblGrid>
      <w:tr w:rsidR="00C93C61">
        <w:tc>
          <w:tcPr>
            <w:tcW w:w="7486" w:type="dxa"/>
            <w:gridSpan w:val="7"/>
            <w:tcBorders>
              <w:top w:val="nil"/>
              <w:left w:val="nil"/>
              <w:bottom w:val="nil"/>
              <w:right w:val="nil"/>
            </w:tcBorders>
            <w:shd w:val="clear" w:color="auto" w:fill="FFFFFF"/>
            <w:vAlign w:val="center"/>
          </w:tcPr>
          <w:p w:rsidR="00C93C61" w:rsidRDefault="00EF0C6E">
            <w:pPr>
              <w:spacing w:after="0"/>
              <w:ind w:left="60" w:right="60"/>
              <w:jc w:val="center"/>
              <w:rPr>
                <w:rFonts w:ascii="Arial" w:eastAsia="Arial" w:hAnsi="Arial" w:cs="Arial"/>
                <w:sz w:val="18"/>
                <w:szCs w:val="18"/>
              </w:rPr>
            </w:pPr>
            <w:r>
              <w:rPr>
                <w:rFonts w:ascii="Arial" w:eastAsia="Arial" w:hAnsi="Arial" w:cs="Arial"/>
                <w:b/>
                <w:sz w:val="18"/>
                <w:szCs w:val="18"/>
              </w:rPr>
              <w:t>Tests of Normality</w:t>
            </w:r>
          </w:p>
        </w:tc>
      </w:tr>
      <w:tr w:rsidR="00C93C61">
        <w:tc>
          <w:tcPr>
            <w:tcW w:w="1306" w:type="dxa"/>
            <w:vMerge w:val="restart"/>
            <w:tcBorders>
              <w:top w:val="single" w:sz="16" w:space="0" w:color="000000"/>
              <w:left w:val="single" w:sz="16" w:space="0" w:color="000000"/>
              <w:bottom w:val="nil"/>
              <w:right w:val="single" w:sz="16" w:space="0" w:color="000000"/>
            </w:tcBorders>
            <w:shd w:val="clear" w:color="auto" w:fill="FFFFFF"/>
            <w:vAlign w:val="bottom"/>
          </w:tcPr>
          <w:p w:rsidR="00C93C61" w:rsidRDefault="00C93C61">
            <w:pPr>
              <w:spacing w:after="0" w:line="240" w:lineRule="auto"/>
              <w:rPr>
                <w:rFonts w:ascii="Times New Roman" w:eastAsia="Times New Roman" w:hAnsi="Times New Roman" w:cs="Times New Roman"/>
                <w:sz w:val="24"/>
                <w:szCs w:val="24"/>
              </w:rPr>
            </w:pPr>
          </w:p>
        </w:tc>
        <w:tc>
          <w:tcPr>
            <w:tcW w:w="3090" w:type="dxa"/>
            <w:gridSpan w:val="3"/>
            <w:tcBorders>
              <w:top w:val="single" w:sz="16" w:space="0" w:color="000000"/>
              <w:left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Kolmogorov-Smirnov</w:t>
            </w:r>
            <w:r>
              <w:rPr>
                <w:rFonts w:ascii="Arial" w:eastAsia="Arial" w:hAnsi="Arial" w:cs="Arial"/>
                <w:sz w:val="18"/>
                <w:szCs w:val="18"/>
                <w:vertAlign w:val="superscript"/>
              </w:rPr>
              <w:t>a</w:t>
            </w:r>
          </w:p>
        </w:tc>
        <w:tc>
          <w:tcPr>
            <w:tcW w:w="3090" w:type="dxa"/>
            <w:gridSpan w:val="3"/>
            <w:tcBorders>
              <w:top w:val="single" w:sz="16" w:space="0" w:color="000000"/>
              <w:right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Shapiro-Wilk</w:t>
            </w:r>
          </w:p>
        </w:tc>
      </w:tr>
      <w:tr w:rsidR="00C93C61">
        <w:tc>
          <w:tcPr>
            <w:tcW w:w="1306" w:type="dxa"/>
            <w:vMerge/>
            <w:tcBorders>
              <w:top w:val="single" w:sz="16" w:space="0" w:color="000000"/>
              <w:left w:val="single" w:sz="16" w:space="0" w:color="000000"/>
              <w:bottom w:val="nil"/>
              <w:right w:val="single" w:sz="16" w:space="0" w:color="000000"/>
            </w:tcBorders>
            <w:shd w:val="clear" w:color="auto" w:fill="FFFFFF"/>
            <w:vAlign w:val="bottom"/>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1030" w:type="dxa"/>
            <w:tcBorders>
              <w:left w:val="single" w:sz="16" w:space="0" w:color="000000"/>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Statistic</w:t>
            </w:r>
          </w:p>
        </w:tc>
        <w:tc>
          <w:tcPr>
            <w:tcW w:w="1030" w:type="dxa"/>
            <w:tcBorders>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df</w:t>
            </w:r>
          </w:p>
        </w:tc>
        <w:tc>
          <w:tcPr>
            <w:tcW w:w="1030" w:type="dxa"/>
            <w:tcBorders>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Sig.</w:t>
            </w:r>
          </w:p>
        </w:tc>
        <w:tc>
          <w:tcPr>
            <w:tcW w:w="1030" w:type="dxa"/>
            <w:tcBorders>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Statistic</w:t>
            </w:r>
          </w:p>
        </w:tc>
        <w:tc>
          <w:tcPr>
            <w:tcW w:w="1030" w:type="dxa"/>
            <w:tcBorders>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df</w:t>
            </w:r>
          </w:p>
        </w:tc>
        <w:tc>
          <w:tcPr>
            <w:tcW w:w="1030" w:type="dxa"/>
            <w:tcBorders>
              <w:bottom w:val="single" w:sz="16" w:space="0" w:color="000000"/>
              <w:right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Sig.</w:t>
            </w:r>
          </w:p>
        </w:tc>
      </w:tr>
      <w:tr w:rsidR="00C93C61">
        <w:tc>
          <w:tcPr>
            <w:tcW w:w="1306" w:type="dxa"/>
            <w:tcBorders>
              <w:top w:val="single" w:sz="16" w:space="0" w:color="000000"/>
              <w:left w:val="single" w:sz="16" w:space="0" w:color="000000"/>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waktureaksi</w:t>
            </w:r>
          </w:p>
        </w:tc>
        <w:tc>
          <w:tcPr>
            <w:tcW w:w="1030" w:type="dxa"/>
            <w:tcBorders>
              <w:top w:val="single" w:sz="16" w:space="0" w:color="000000"/>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,163</w:t>
            </w:r>
          </w:p>
        </w:tc>
        <w:tc>
          <w:tcPr>
            <w:tcW w:w="1030" w:type="dxa"/>
            <w:tcBorders>
              <w:top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030" w:type="dxa"/>
            <w:tcBorders>
              <w:top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b/>
                <w:sz w:val="18"/>
                <w:szCs w:val="18"/>
              </w:rPr>
            </w:pPr>
            <w:r>
              <w:rPr>
                <w:rFonts w:ascii="Arial" w:eastAsia="Arial" w:hAnsi="Arial" w:cs="Arial"/>
                <w:b/>
                <w:sz w:val="18"/>
                <w:szCs w:val="18"/>
              </w:rPr>
              <w:t>,200</w:t>
            </w:r>
            <w:r>
              <w:rPr>
                <w:rFonts w:ascii="Arial" w:eastAsia="Arial" w:hAnsi="Arial" w:cs="Arial"/>
                <w:b/>
                <w:sz w:val="18"/>
                <w:szCs w:val="18"/>
                <w:vertAlign w:val="superscript"/>
              </w:rPr>
              <w:t>*</w:t>
            </w:r>
          </w:p>
        </w:tc>
        <w:tc>
          <w:tcPr>
            <w:tcW w:w="1030" w:type="dxa"/>
            <w:tcBorders>
              <w:top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,960</w:t>
            </w:r>
          </w:p>
        </w:tc>
        <w:tc>
          <w:tcPr>
            <w:tcW w:w="1030" w:type="dxa"/>
            <w:tcBorders>
              <w:top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030" w:type="dxa"/>
            <w:tcBorders>
              <w:top w:val="single" w:sz="16" w:space="0" w:color="000000"/>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,630</w:t>
            </w:r>
          </w:p>
        </w:tc>
      </w:tr>
      <w:tr w:rsidR="00C93C61">
        <w:tc>
          <w:tcPr>
            <w:tcW w:w="1306" w:type="dxa"/>
            <w:tcBorders>
              <w:top w:val="nil"/>
              <w:left w:val="single" w:sz="16" w:space="0" w:color="000000"/>
              <w:bottom w:val="single" w:sz="16" w:space="0" w:color="000000"/>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prestasi</w:t>
            </w:r>
          </w:p>
        </w:tc>
        <w:tc>
          <w:tcPr>
            <w:tcW w:w="1030" w:type="dxa"/>
            <w:tcBorders>
              <w:top w:val="nil"/>
              <w:left w:val="single" w:sz="16" w:space="0" w:color="000000"/>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,254</w:t>
            </w:r>
          </w:p>
        </w:tc>
        <w:tc>
          <w:tcPr>
            <w:tcW w:w="1030" w:type="dxa"/>
            <w:tcBorders>
              <w:top w:val="nil"/>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030" w:type="dxa"/>
            <w:tcBorders>
              <w:top w:val="nil"/>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b/>
                <w:sz w:val="18"/>
                <w:szCs w:val="18"/>
              </w:rPr>
            </w:pPr>
            <w:r>
              <w:rPr>
                <w:rFonts w:ascii="Arial" w:eastAsia="Arial" w:hAnsi="Arial" w:cs="Arial"/>
                <w:b/>
                <w:sz w:val="18"/>
                <w:szCs w:val="18"/>
              </w:rPr>
              <w:t>,005</w:t>
            </w:r>
          </w:p>
        </w:tc>
        <w:tc>
          <w:tcPr>
            <w:tcW w:w="1030" w:type="dxa"/>
            <w:tcBorders>
              <w:top w:val="nil"/>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,836</w:t>
            </w:r>
          </w:p>
        </w:tc>
        <w:tc>
          <w:tcPr>
            <w:tcW w:w="1030" w:type="dxa"/>
            <w:tcBorders>
              <w:top w:val="nil"/>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030" w:type="dxa"/>
            <w:tcBorders>
              <w:top w:val="nil"/>
              <w:bottom w:val="single" w:sz="16" w:space="0" w:color="000000"/>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,007</w:t>
            </w:r>
          </w:p>
        </w:tc>
      </w:tr>
      <w:tr w:rsidR="00C93C61">
        <w:tc>
          <w:tcPr>
            <w:tcW w:w="7486" w:type="dxa"/>
            <w:gridSpan w:val="7"/>
            <w:tcBorders>
              <w:top w:val="nil"/>
              <w:left w:val="nil"/>
              <w:bottom w:val="nil"/>
              <w:right w:val="nil"/>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 This is a lower bound of the true significance.</w:t>
            </w:r>
          </w:p>
        </w:tc>
      </w:tr>
      <w:tr w:rsidR="00C93C61">
        <w:tc>
          <w:tcPr>
            <w:tcW w:w="7486" w:type="dxa"/>
            <w:gridSpan w:val="7"/>
            <w:tcBorders>
              <w:top w:val="nil"/>
              <w:left w:val="nil"/>
              <w:bottom w:val="nil"/>
              <w:right w:val="nil"/>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a. Lilliefors Significance Correction</w:t>
            </w:r>
          </w:p>
        </w:tc>
      </w:tr>
    </w:tbl>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EF0C6E">
      <w:r>
        <w:t>Analisis data korelasi</w:t>
      </w:r>
    </w:p>
    <w:tbl>
      <w:tblPr>
        <w:tblStyle w:val="a4"/>
        <w:tblW w:w="6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6"/>
        <w:gridCol w:w="2460"/>
        <w:gridCol w:w="1306"/>
        <w:gridCol w:w="1414"/>
      </w:tblGrid>
      <w:tr w:rsidR="00C93C61">
        <w:tc>
          <w:tcPr>
            <w:tcW w:w="6487" w:type="dxa"/>
            <w:gridSpan w:val="4"/>
            <w:tcBorders>
              <w:top w:val="nil"/>
              <w:left w:val="nil"/>
              <w:bottom w:val="nil"/>
              <w:right w:val="nil"/>
            </w:tcBorders>
            <w:shd w:val="clear" w:color="auto" w:fill="FFFFFF"/>
            <w:vAlign w:val="center"/>
          </w:tcPr>
          <w:p w:rsidR="00C93C61" w:rsidRDefault="00EF0C6E">
            <w:pPr>
              <w:spacing w:after="0"/>
              <w:ind w:left="60" w:right="60"/>
              <w:jc w:val="center"/>
              <w:rPr>
                <w:rFonts w:ascii="Arial" w:eastAsia="Arial" w:hAnsi="Arial" w:cs="Arial"/>
                <w:sz w:val="18"/>
                <w:szCs w:val="18"/>
              </w:rPr>
            </w:pPr>
            <w:r>
              <w:rPr>
                <w:rFonts w:ascii="Arial" w:eastAsia="Arial" w:hAnsi="Arial" w:cs="Arial"/>
                <w:b/>
                <w:sz w:val="18"/>
                <w:szCs w:val="18"/>
              </w:rPr>
              <w:t>Correlations</w:t>
            </w:r>
          </w:p>
        </w:tc>
      </w:tr>
      <w:tr w:rsidR="00C93C61">
        <w:tc>
          <w:tcPr>
            <w:tcW w:w="3767" w:type="dxa"/>
            <w:gridSpan w:val="2"/>
            <w:tcBorders>
              <w:top w:val="single" w:sz="16" w:space="0" w:color="000000"/>
              <w:left w:val="single" w:sz="16" w:space="0" w:color="000000"/>
              <w:bottom w:val="single" w:sz="16" w:space="0" w:color="000000"/>
              <w:right w:val="nil"/>
            </w:tcBorders>
            <w:shd w:val="clear" w:color="auto" w:fill="FFFFFF"/>
            <w:vAlign w:val="bottom"/>
          </w:tcPr>
          <w:p w:rsidR="00C93C61" w:rsidRDefault="00C93C61">
            <w:pPr>
              <w:spacing w:after="0" w:line="240" w:lineRule="auto"/>
              <w:rPr>
                <w:rFonts w:ascii="Times New Roman" w:eastAsia="Times New Roman" w:hAnsi="Times New Roman" w:cs="Times New Roman"/>
                <w:sz w:val="24"/>
                <w:szCs w:val="24"/>
              </w:rPr>
            </w:pPr>
          </w:p>
        </w:tc>
        <w:tc>
          <w:tcPr>
            <w:tcW w:w="1306" w:type="dxa"/>
            <w:tcBorders>
              <w:top w:val="single" w:sz="16" w:space="0" w:color="000000"/>
              <w:left w:val="single" w:sz="16" w:space="0" w:color="000000"/>
              <w:bottom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waktureaksi</w:t>
            </w:r>
          </w:p>
        </w:tc>
        <w:tc>
          <w:tcPr>
            <w:tcW w:w="1414" w:type="dxa"/>
            <w:tcBorders>
              <w:top w:val="single" w:sz="16" w:space="0" w:color="000000"/>
              <w:bottom w:val="single" w:sz="16" w:space="0" w:color="000000"/>
              <w:right w:val="single" w:sz="16" w:space="0" w:color="000000"/>
            </w:tcBorders>
            <w:shd w:val="clear" w:color="auto" w:fill="FFFFFF"/>
            <w:vAlign w:val="bottom"/>
          </w:tcPr>
          <w:p w:rsidR="00C93C61" w:rsidRDefault="00EF0C6E">
            <w:pPr>
              <w:spacing w:after="0"/>
              <w:ind w:left="60" w:right="60"/>
              <w:jc w:val="center"/>
              <w:rPr>
                <w:rFonts w:ascii="Arial" w:eastAsia="Arial" w:hAnsi="Arial" w:cs="Arial"/>
                <w:sz w:val="18"/>
                <w:szCs w:val="18"/>
              </w:rPr>
            </w:pPr>
            <w:r>
              <w:rPr>
                <w:rFonts w:ascii="Arial" w:eastAsia="Arial" w:hAnsi="Arial" w:cs="Arial"/>
                <w:sz w:val="18"/>
                <w:szCs w:val="18"/>
              </w:rPr>
              <w:t>prestasi</w:t>
            </w:r>
          </w:p>
        </w:tc>
      </w:tr>
      <w:tr w:rsidR="00C93C61">
        <w:tc>
          <w:tcPr>
            <w:tcW w:w="1307" w:type="dxa"/>
            <w:vMerge w:val="restart"/>
            <w:tcBorders>
              <w:top w:val="single" w:sz="16" w:space="0" w:color="000000"/>
              <w:left w:val="single" w:sz="16" w:space="0" w:color="000000"/>
              <w:right w:val="nil"/>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waktureaksi</w:t>
            </w:r>
          </w:p>
        </w:tc>
        <w:tc>
          <w:tcPr>
            <w:tcW w:w="2460" w:type="dxa"/>
            <w:tcBorders>
              <w:top w:val="single" w:sz="16" w:space="0" w:color="000000"/>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Pearson Correlation</w:t>
            </w:r>
          </w:p>
        </w:tc>
        <w:tc>
          <w:tcPr>
            <w:tcW w:w="1306" w:type="dxa"/>
            <w:tcBorders>
              <w:top w:val="single" w:sz="16" w:space="0" w:color="000000"/>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w:t>
            </w:r>
          </w:p>
        </w:tc>
        <w:tc>
          <w:tcPr>
            <w:tcW w:w="1414" w:type="dxa"/>
            <w:tcBorders>
              <w:top w:val="single" w:sz="16" w:space="0" w:color="000000"/>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,183</w:t>
            </w:r>
          </w:p>
        </w:tc>
      </w:tr>
      <w:tr w:rsidR="00C93C61">
        <w:tc>
          <w:tcPr>
            <w:tcW w:w="1307" w:type="dxa"/>
            <w:vMerge/>
            <w:tcBorders>
              <w:top w:val="single" w:sz="16" w:space="0" w:color="000000"/>
              <w:left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Sig. (2-tailed)</w:t>
            </w:r>
          </w:p>
        </w:tc>
        <w:tc>
          <w:tcPr>
            <w:tcW w:w="1306" w:type="dxa"/>
            <w:tcBorders>
              <w:top w:val="nil"/>
              <w:left w:val="single" w:sz="16" w:space="0" w:color="000000"/>
              <w:bottom w:val="nil"/>
            </w:tcBorders>
            <w:shd w:val="clear" w:color="auto" w:fill="FFFFFF"/>
            <w:vAlign w:val="center"/>
          </w:tcPr>
          <w:p w:rsidR="00C93C61" w:rsidRDefault="00C93C61">
            <w:pPr>
              <w:spacing w:after="0" w:line="240" w:lineRule="auto"/>
              <w:rPr>
                <w:rFonts w:ascii="Times New Roman" w:eastAsia="Times New Roman" w:hAnsi="Times New Roman" w:cs="Times New Roman"/>
                <w:sz w:val="24"/>
                <w:szCs w:val="24"/>
              </w:rPr>
            </w:pP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b/>
                <w:sz w:val="18"/>
                <w:szCs w:val="18"/>
              </w:rPr>
            </w:pPr>
            <w:r>
              <w:rPr>
                <w:rFonts w:ascii="Arial" w:eastAsia="Arial" w:hAnsi="Arial" w:cs="Arial"/>
                <w:b/>
                <w:sz w:val="18"/>
                <w:szCs w:val="18"/>
              </w:rPr>
              <w:t>,482</w:t>
            </w:r>
          </w:p>
        </w:tc>
      </w:tr>
      <w:tr w:rsidR="00C93C61">
        <w:tc>
          <w:tcPr>
            <w:tcW w:w="1307" w:type="dxa"/>
            <w:vMerge/>
            <w:tcBorders>
              <w:top w:val="single" w:sz="16" w:space="0" w:color="000000"/>
              <w:left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b/>
                <w:sz w:val="18"/>
                <w:szCs w:val="18"/>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Sum of Squares and Cross-products</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,075</w:t>
            </w: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54,469</w:t>
            </w:r>
          </w:p>
        </w:tc>
      </w:tr>
      <w:tr w:rsidR="00C93C61">
        <w:tc>
          <w:tcPr>
            <w:tcW w:w="1307" w:type="dxa"/>
            <w:vMerge/>
            <w:tcBorders>
              <w:top w:val="single" w:sz="16" w:space="0" w:color="000000"/>
              <w:left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Covariance</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,005</w:t>
            </w: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3,404</w:t>
            </w:r>
          </w:p>
        </w:tc>
      </w:tr>
      <w:tr w:rsidR="00C93C61">
        <w:tc>
          <w:tcPr>
            <w:tcW w:w="1307" w:type="dxa"/>
            <w:vMerge/>
            <w:tcBorders>
              <w:top w:val="single" w:sz="16" w:space="0" w:color="000000"/>
              <w:left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N</w:t>
            </w:r>
          </w:p>
        </w:tc>
        <w:tc>
          <w:tcPr>
            <w:tcW w:w="1306" w:type="dxa"/>
            <w:tcBorders>
              <w:top w:val="nil"/>
              <w:lef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414" w:type="dxa"/>
            <w:tcBorders>
              <w:top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r>
      <w:tr w:rsidR="00C93C61">
        <w:tc>
          <w:tcPr>
            <w:tcW w:w="1307" w:type="dxa"/>
            <w:vMerge w:val="restart"/>
            <w:tcBorders>
              <w:top w:val="nil"/>
              <w:left w:val="single" w:sz="16" w:space="0" w:color="000000"/>
              <w:bottom w:val="single" w:sz="16" w:space="0" w:color="000000"/>
              <w:right w:val="nil"/>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prestasi</w:t>
            </w: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Pearson Correlation</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,183</w:t>
            </w: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w:t>
            </w:r>
          </w:p>
        </w:tc>
      </w:tr>
      <w:tr w:rsidR="00C93C61">
        <w:tc>
          <w:tcPr>
            <w:tcW w:w="1307" w:type="dxa"/>
            <w:vMerge/>
            <w:tcBorders>
              <w:top w:val="nil"/>
              <w:left w:val="single" w:sz="16" w:space="0" w:color="000000"/>
              <w:bottom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Sig. (2-tailed)</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,482</w:t>
            </w:r>
          </w:p>
        </w:tc>
        <w:tc>
          <w:tcPr>
            <w:tcW w:w="1414" w:type="dxa"/>
            <w:tcBorders>
              <w:top w:val="nil"/>
              <w:bottom w:val="nil"/>
              <w:right w:val="single" w:sz="16" w:space="0" w:color="000000"/>
            </w:tcBorders>
            <w:shd w:val="clear" w:color="auto" w:fill="FFFFFF"/>
            <w:vAlign w:val="center"/>
          </w:tcPr>
          <w:p w:rsidR="00C93C61" w:rsidRDefault="00C93C61">
            <w:pPr>
              <w:spacing w:after="0" w:line="240" w:lineRule="auto"/>
              <w:rPr>
                <w:rFonts w:ascii="Times New Roman" w:eastAsia="Times New Roman" w:hAnsi="Times New Roman" w:cs="Times New Roman"/>
                <w:sz w:val="24"/>
                <w:szCs w:val="24"/>
              </w:rPr>
            </w:pPr>
          </w:p>
        </w:tc>
      </w:tr>
      <w:tr w:rsidR="00C93C61">
        <w:tc>
          <w:tcPr>
            <w:tcW w:w="1307" w:type="dxa"/>
            <w:vMerge/>
            <w:tcBorders>
              <w:top w:val="nil"/>
              <w:left w:val="single" w:sz="16" w:space="0" w:color="000000"/>
              <w:bottom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Sum of Squares and Cross-products</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54,469</w:t>
            </w: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1189155,882</w:t>
            </w:r>
          </w:p>
        </w:tc>
      </w:tr>
      <w:tr w:rsidR="00C93C61">
        <w:tc>
          <w:tcPr>
            <w:tcW w:w="1307" w:type="dxa"/>
            <w:vMerge/>
            <w:tcBorders>
              <w:top w:val="nil"/>
              <w:left w:val="single" w:sz="16" w:space="0" w:color="000000"/>
              <w:bottom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bottom w:val="nil"/>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Covariance</w:t>
            </w:r>
          </w:p>
        </w:tc>
        <w:tc>
          <w:tcPr>
            <w:tcW w:w="1306" w:type="dxa"/>
            <w:tcBorders>
              <w:top w:val="nil"/>
              <w:left w:val="single" w:sz="16" w:space="0" w:color="000000"/>
              <w:bottom w:val="nil"/>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3,404</w:t>
            </w:r>
          </w:p>
        </w:tc>
        <w:tc>
          <w:tcPr>
            <w:tcW w:w="1414" w:type="dxa"/>
            <w:tcBorders>
              <w:top w:val="nil"/>
              <w:bottom w:val="nil"/>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74322,243</w:t>
            </w:r>
          </w:p>
        </w:tc>
      </w:tr>
      <w:tr w:rsidR="00C93C61">
        <w:tc>
          <w:tcPr>
            <w:tcW w:w="1307" w:type="dxa"/>
            <w:vMerge/>
            <w:tcBorders>
              <w:top w:val="nil"/>
              <w:left w:val="single" w:sz="16" w:space="0" w:color="000000"/>
              <w:bottom w:val="single" w:sz="16" w:space="0" w:color="000000"/>
              <w:right w:val="nil"/>
            </w:tcBorders>
            <w:shd w:val="clear" w:color="auto" w:fill="FFFFFF"/>
          </w:tcPr>
          <w:p w:rsidR="00C93C61" w:rsidRDefault="00C93C61">
            <w:pPr>
              <w:widowControl w:val="0"/>
              <w:pBdr>
                <w:top w:val="nil"/>
                <w:left w:val="nil"/>
                <w:bottom w:val="nil"/>
                <w:right w:val="nil"/>
                <w:between w:val="nil"/>
              </w:pBdr>
              <w:spacing w:after="0" w:line="276" w:lineRule="auto"/>
              <w:rPr>
                <w:rFonts w:ascii="Arial" w:eastAsia="Arial" w:hAnsi="Arial" w:cs="Arial"/>
                <w:sz w:val="18"/>
                <w:szCs w:val="18"/>
              </w:rPr>
            </w:pPr>
          </w:p>
        </w:tc>
        <w:tc>
          <w:tcPr>
            <w:tcW w:w="2460" w:type="dxa"/>
            <w:tcBorders>
              <w:top w:val="nil"/>
              <w:left w:val="nil"/>
              <w:bottom w:val="single" w:sz="16" w:space="0" w:color="000000"/>
              <w:right w:val="single" w:sz="16" w:space="0" w:color="000000"/>
            </w:tcBorders>
            <w:shd w:val="clear" w:color="auto" w:fill="FFFFFF"/>
          </w:tcPr>
          <w:p w:rsidR="00C93C61" w:rsidRDefault="00EF0C6E">
            <w:pPr>
              <w:spacing w:after="0"/>
              <w:ind w:left="60" w:right="60"/>
              <w:rPr>
                <w:rFonts w:ascii="Arial" w:eastAsia="Arial" w:hAnsi="Arial" w:cs="Arial"/>
                <w:sz w:val="18"/>
                <w:szCs w:val="18"/>
              </w:rPr>
            </w:pPr>
            <w:r>
              <w:rPr>
                <w:rFonts w:ascii="Arial" w:eastAsia="Arial" w:hAnsi="Arial" w:cs="Arial"/>
                <w:sz w:val="18"/>
                <w:szCs w:val="18"/>
              </w:rPr>
              <w:t>N</w:t>
            </w:r>
          </w:p>
        </w:tc>
        <w:tc>
          <w:tcPr>
            <w:tcW w:w="1306" w:type="dxa"/>
            <w:tcBorders>
              <w:top w:val="nil"/>
              <w:left w:val="single" w:sz="16" w:space="0" w:color="000000"/>
              <w:bottom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c>
          <w:tcPr>
            <w:tcW w:w="1414" w:type="dxa"/>
            <w:tcBorders>
              <w:top w:val="nil"/>
              <w:bottom w:val="single" w:sz="16" w:space="0" w:color="000000"/>
              <w:right w:val="single" w:sz="16" w:space="0" w:color="000000"/>
            </w:tcBorders>
            <w:shd w:val="clear" w:color="auto" w:fill="FFFFFF"/>
            <w:vAlign w:val="center"/>
          </w:tcPr>
          <w:p w:rsidR="00C93C61" w:rsidRDefault="00EF0C6E">
            <w:pPr>
              <w:spacing w:after="0"/>
              <w:ind w:left="60" w:right="60"/>
              <w:jc w:val="right"/>
              <w:rPr>
                <w:rFonts w:ascii="Arial" w:eastAsia="Arial" w:hAnsi="Arial" w:cs="Arial"/>
                <w:sz w:val="18"/>
                <w:szCs w:val="18"/>
              </w:rPr>
            </w:pPr>
            <w:r>
              <w:rPr>
                <w:rFonts w:ascii="Arial" w:eastAsia="Arial" w:hAnsi="Arial" w:cs="Arial"/>
                <w:sz w:val="18"/>
                <w:szCs w:val="18"/>
              </w:rPr>
              <w:t>17</w:t>
            </w:r>
          </w:p>
        </w:tc>
      </w:tr>
    </w:tbl>
    <w:p w:rsidR="00C93C61" w:rsidRDefault="00C93C61">
      <w:pPr>
        <w:spacing w:after="0"/>
        <w:rPr>
          <w:rFonts w:ascii="Times New Roman" w:eastAsia="Times New Roman" w:hAnsi="Times New Roman" w:cs="Times New Roman"/>
          <w:sz w:val="24"/>
          <w:szCs w:val="24"/>
        </w:rPr>
      </w:pPr>
    </w:p>
    <w:p w:rsidR="00C93C61" w:rsidRDefault="00EF0C6E">
      <w:r>
        <w:rPr>
          <w:rFonts w:ascii="Arial" w:eastAsia="Arial" w:hAnsi="Arial" w:cs="Arial"/>
          <w:b/>
          <w:sz w:val="18"/>
          <w:szCs w:val="18"/>
        </w:rPr>
        <w:t xml:space="preserve">R hitung 0,482 &gt; r tabel </w:t>
      </w:r>
      <w:r>
        <w:t>0.468</w:t>
      </w:r>
    </w:p>
    <w:p w:rsidR="00C93C61" w:rsidRDefault="00EF0C6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Pembahasan</w:t>
      </w:r>
    </w:p>
    <w:p w:rsidR="00C93C61" w:rsidRDefault="00EF0C6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hubungan yang signifikan antara waktu reaksi kognitif dengan prestasi atlet PELATDA Jawa Barat.</w:t>
      </w:r>
    </w:p>
    <w:p w:rsidR="00C93C61" w:rsidRDefault="00EF0C6E">
      <w:pPr>
        <w:ind w:left="1134" w:hanging="1134"/>
        <w:rPr>
          <w:rFonts w:ascii="Times New Roman" w:eastAsia="Times New Roman" w:hAnsi="Times New Roman" w:cs="Times New Roman"/>
          <w:sz w:val="24"/>
          <w:szCs w:val="24"/>
        </w:rPr>
      </w:pPr>
      <w:r>
        <w:rPr>
          <w:rFonts w:ascii="Times New Roman" w:eastAsia="Times New Roman" w:hAnsi="Times New Roman" w:cs="Times New Roman"/>
          <w:sz w:val="24"/>
          <w:szCs w:val="24"/>
        </w:rPr>
        <w:t>IV KESIMPULAN</w:t>
      </w:r>
    </w:p>
    <w:p w:rsidR="00C93C61" w:rsidRDefault="00EF0C6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Olahraga seni beladiri pencak silat ini adalah warisan budaya Bangsa yang harus dipertahank</w:t>
      </w:r>
      <w:r>
        <w:rPr>
          <w:rFonts w:ascii="Times New Roman" w:eastAsia="Times New Roman" w:hAnsi="Times New Roman" w:cs="Times New Roman"/>
          <w:sz w:val="24"/>
          <w:szCs w:val="24"/>
        </w:rPr>
        <w:t>an serta terus ditingkatkan demi harkat dan martabat Negara Kesatuan Republik Indonesia ini, dengan bergabungnya berbagi unsur untuk mencapai tujuan yang sama yakni mengharumkan nama Bangsa khususnya melalui olahraga prestasi, perlu kerja sama yang lebih t</w:t>
      </w:r>
      <w:r>
        <w:rPr>
          <w:rFonts w:ascii="Times New Roman" w:eastAsia="Times New Roman" w:hAnsi="Times New Roman" w:cs="Times New Roman"/>
          <w:sz w:val="24"/>
          <w:szCs w:val="24"/>
        </w:rPr>
        <w:t>erutama bagi atlet dan pelatih mengenai waktu reaksi yang dimiliki yang terus ditingkatkan karena waktu reaksi juga berpengaruh terhadap penampilan atlet secara langsung dan berpengaruh kepada prestasi secara tidak langsung, dengan dibuktikannya dalam pene</w:t>
      </w:r>
      <w:r>
        <w:rPr>
          <w:rFonts w:ascii="Times New Roman" w:eastAsia="Times New Roman" w:hAnsi="Times New Roman" w:cs="Times New Roman"/>
          <w:sz w:val="24"/>
          <w:szCs w:val="24"/>
        </w:rPr>
        <w:t>litian ini. Semoga bermanfaat bagi semua unsur khususnya para pelatih dan atlet serta perlu adanya penelitian yang lebih mendalam mengenai variable-variabel lainnya yang berhubungan serta pedlaman mengenai waktu reaksi kognitif dan prestasi.</w:t>
      </w:r>
    </w:p>
    <w:p w:rsidR="00C93C61" w:rsidRDefault="00C93C61">
      <w:pPr>
        <w:ind w:firstLine="720"/>
        <w:jc w:val="both"/>
        <w:rPr>
          <w:rFonts w:ascii="Times New Roman" w:eastAsia="Times New Roman" w:hAnsi="Times New Roman" w:cs="Times New Roman"/>
          <w:sz w:val="24"/>
          <w:szCs w:val="24"/>
        </w:rPr>
      </w:pPr>
    </w:p>
    <w:p w:rsidR="00C93C61" w:rsidRDefault="00C93C61">
      <w:pPr>
        <w:ind w:firstLine="720"/>
        <w:jc w:val="both"/>
        <w:rPr>
          <w:rFonts w:ascii="Times New Roman" w:eastAsia="Times New Roman" w:hAnsi="Times New Roman" w:cs="Times New Roman"/>
          <w:sz w:val="24"/>
          <w:szCs w:val="24"/>
        </w:rPr>
      </w:pPr>
    </w:p>
    <w:p w:rsidR="00C93C61" w:rsidRDefault="00C93C61">
      <w:pPr>
        <w:rPr>
          <w:rFonts w:ascii="Times New Roman" w:eastAsia="Times New Roman" w:hAnsi="Times New Roman" w:cs="Times New Roman"/>
          <w:sz w:val="24"/>
          <w:szCs w:val="24"/>
        </w:rPr>
      </w:pPr>
    </w:p>
    <w:p w:rsidR="00C93C61" w:rsidRDefault="00EF0C6E">
      <w:pPr>
        <w:widowControl w:val="0"/>
        <w:spacing w:line="240" w:lineRule="auto"/>
        <w:ind w:left="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rsidR="00C93C61" w:rsidRDefault="00EF0C6E">
      <w:pPr>
        <w:spacing w:after="0" w:line="240" w:lineRule="auto"/>
        <w:ind w:left="99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AAIDD (2010). Intellectual disability, definition, classification and systems of support (11thed.). Washington, DC: AAIDD.</w:t>
      </w:r>
    </w:p>
    <w:p w:rsidR="00C93C61" w:rsidRDefault="00EF0C6E">
      <w:pPr>
        <w:spacing w:after="0" w:line="276" w:lineRule="auto"/>
        <w:ind w:left="860" w:hanging="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Abourezk, T., &amp; Toole, T. (1995). Effect of task complexity on the</w:t>
      </w:r>
    </w:p>
    <w:p w:rsidR="00C93C61" w:rsidRDefault="00EF0C6E">
      <w:pPr>
        <w:spacing w:after="0" w:line="276"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Between physical fitness and reaction </w:t>
      </w:r>
      <w:r>
        <w:rPr>
          <w:rFonts w:ascii="Times New Roman" w:eastAsia="Times New Roman" w:hAnsi="Times New Roman" w:cs="Times New Roman"/>
          <w:sz w:val="24"/>
          <w:szCs w:val="24"/>
        </w:rPr>
        <w:t>time in older women. Journal of Aging and Physical Activity, 3, 251–260.</w:t>
      </w:r>
    </w:p>
    <w:p w:rsidR="00C93C61" w:rsidRDefault="00EF0C6E">
      <w:pPr>
        <w:spacing w:after="0" w:line="276" w:lineRule="auto"/>
        <w:ind w:left="99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Amithya Ekacitta Anindita, Tanjung Ayu Sumekar, Y. S. (2017). analisis Komonen Waktu Reaksi Atlet Bulutangkis (Studi Pada Atlet Bulutangkis di Semarang). </w:t>
      </w:r>
      <w:r>
        <w:rPr>
          <w:rFonts w:ascii="Times New Roman" w:eastAsia="Times New Roman" w:hAnsi="Times New Roman" w:cs="Times New Roman"/>
          <w:i/>
          <w:sz w:val="24"/>
          <w:szCs w:val="24"/>
        </w:rPr>
        <w:t>Jurnal Kedokteran Diponegoro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(2), 261–267.</w:t>
      </w:r>
    </w:p>
    <w:p w:rsidR="00C93C61" w:rsidRDefault="00EF0C6E">
      <w:pPr>
        <w:spacing w:after="0" w:line="276" w:lineRule="auto"/>
        <w:ind w:left="99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Anggela, T. S., &amp; Damayanti, I. (2018). Perbandingan Penggunaan Kalori Atlet Seni Regu Baku Tingkat Remaja Putri RD. </w:t>
      </w:r>
      <w:r>
        <w:rPr>
          <w:rFonts w:ascii="Times New Roman" w:eastAsia="Times New Roman" w:hAnsi="Times New Roman" w:cs="Times New Roman"/>
          <w:i/>
          <w:sz w:val="24"/>
          <w:szCs w:val="24"/>
        </w:rPr>
        <w:t>Jurnal Terapan Ilmu Keolahragaan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01</w:t>
      </w:r>
      <w:r>
        <w:rPr>
          <w:rFonts w:ascii="Times New Roman" w:eastAsia="Times New Roman" w:hAnsi="Times New Roman" w:cs="Times New Roman"/>
          <w:sz w:val="24"/>
          <w:szCs w:val="24"/>
        </w:rPr>
        <w:t>(02), 44–52.</w:t>
      </w:r>
    </w:p>
    <w:p w:rsidR="00C93C61" w:rsidRDefault="00EF0C6E">
      <w:pPr>
        <w:spacing w:after="0" w:line="360" w:lineRule="auto"/>
        <w:ind w:left="960" w:hanging="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Anggi Setia Lengkana, Tangkudung, J., &amp; Moch. Asmawi. (2018). The Effect o</w:t>
      </w:r>
      <w:r>
        <w:rPr>
          <w:rFonts w:ascii="Times New Roman" w:eastAsia="Times New Roman" w:hAnsi="Times New Roman" w:cs="Times New Roman"/>
          <w:sz w:val="24"/>
          <w:szCs w:val="24"/>
        </w:rPr>
        <w:t xml:space="preserve">f  Power Lombs, Speed Reaction, Flexibility and Self Confidence On The Achievement Of Elite Athletes Athletic West Java In 1, 2, 3, 4. (2), 20-25. Retrieved from </w:t>
      </w:r>
      <w:hyperlink r:id="rId9">
        <w:r>
          <w:rPr>
            <w:rFonts w:ascii="Times New Roman" w:eastAsia="Times New Roman" w:hAnsi="Times New Roman" w:cs="Times New Roman"/>
            <w:sz w:val="24"/>
            <w:szCs w:val="24"/>
          </w:rPr>
          <w:t>http://pps.unj.ac.id/journal/Jipes</w:t>
        </w:r>
      </w:hyperlink>
    </w:p>
    <w:p w:rsidR="00C93C61" w:rsidRDefault="00EF0C6E">
      <w:pPr>
        <w:spacing w:after="0" w:line="276" w:lineRule="auto"/>
        <w:ind w:left="99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Assal</w:t>
      </w:r>
      <w:r>
        <w:rPr>
          <w:rFonts w:ascii="Times New Roman" w:eastAsia="Times New Roman" w:hAnsi="Times New Roman" w:cs="Times New Roman"/>
          <w:sz w:val="24"/>
          <w:szCs w:val="24"/>
        </w:rPr>
        <w:t xml:space="preserve">am, D., &amp; Sulaiman, T. H. (2015). Evaluasi Program Pembinaan Prestasi Cabang Olahraga Pencak Silat Pusat Pendidikan dan Latihan Olahraga Pelajar (PPLP) Provinsi Kalimantan Timur. </w:t>
      </w:r>
      <w:r>
        <w:rPr>
          <w:rFonts w:ascii="Times New Roman" w:eastAsia="Times New Roman" w:hAnsi="Times New Roman" w:cs="Times New Roman"/>
          <w:i/>
          <w:sz w:val="24"/>
          <w:szCs w:val="24"/>
        </w:rPr>
        <w:t>Journal of Physical Education and Sports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87–92.</w:t>
      </w:r>
    </w:p>
    <w:p w:rsidR="00C93C61" w:rsidRDefault="00EF0C6E">
      <w:pPr>
        <w:spacing w:after="0" w:line="276" w:lineRule="auto"/>
        <w:ind w:left="99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Atan, T., &amp; Akyol, P. </w:t>
      </w:r>
      <w:r>
        <w:rPr>
          <w:rFonts w:ascii="Times New Roman" w:eastAsia="Times New Roman" w:hAnsi="Times New Roman" w:cs="Times New Roman"/>
          <w:sz w:val="24"/>
          <w:szCs w:val="24"/>
        </w:rPr>
        <w:t xml:space="preserve">(2014). Reaction Times of Different Branch Athletes and Correlation between Reaction Time Parameters.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116</w:t>
      </w:r>
      <w:r>
        <w:rPr>
          <w:rFonts w:ascii="Times New Roman" w:eastAsia="Times New Roman" w:hAnsi="Times New Roman" w:cs="Times New Roman"/>
          <w:sz w:val="24"/>
          <w:szCs w:val="24"/>
        </w:rPr>
        <w:t>, 2886–2889.</w:t>
      </w:r>
      <w:hyperlink r:id="rId10">
        <w:r>
          <w:rPr>
            <w:rFonts w:ascii="Times New Roman" w:eastAsia="Times New Roman" w:hAnsi="Times New Roman" w:cs="Times New Roman"/>
            <w:sz w:val="24"/>
            <w:szCs w:val="24"/>
          </w:rPr>
          <w:t xml:space="preserve"> https://doi.org/10.1016/j.sbspr</w:t>
        </w:r>
        <w:r>
          <w:rPr>
            <w:rFonts w:ascii="Times New Roman" w:eastAsia="Times New Roman" w:hAnsi="Times New Roman" w:cs="Times New Roman"/>
            <w:sz w:val="24"/>
            <w:szCs w:val="24"/>
          </w:rPr>
          <w:t>o.2014.01.674</w:t>
        </w:r>
      </w:hyperlink>
    </w:p>
    <w:p w:rsidR="00C93C61" w:rsidRDefault="00EF0C6E">
      <w:pPr>
        <w:spacing w:after="0" w:line="276" w:lineRule="auto"/>
        <w:ind w:left="1420" w:right="260" w:hanging="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Bompa, T. dan Haff, G. 2009. Theory and Methodology of Training. United States: Human Kinetics.</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Bacanli, H., Dombayci, M. A., Demir, M., &amp; Tar-han, S. (2011). Quadruple thinking: Creative thinking.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536–544. https:// doi.org/10.1016/j.sbspro.2011.02.065</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Carroll, J. B. (1993). Human Cognitive Abilities, a </w:t>
      </w:r>
      <w:r>
        <w:rPr>
          <w:rFonts w:ascii="Times New Roman" w:eastAsia="Times New Roman" w:hAnsi="Times New Roman" w:cs="Times New Roman"/>
          <w:sz w:val="24"/>
          <w:szCs w:val="24"/>
        </w:rPr>
        <w:t>Survey of Factor-Analytic Studies. Cambridge: Cambridge University Press (819pp.).</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Cinaz, B., Vogt, C., Arnrich, B., &amp; Tröster, G. (2012). Implementation and</w:t>
      </w:r>
    </w:p>
    <w:p w:rsidR="00C93C61" w:rsidRDefault="00EF0C6E">
      <w:pPr>
        <w:spacing w:after="0" w:line="276" w:lineRule="auto"/>
        <w:ind w:left="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Wearable Reaction Time Tests. Elsevier Pervasive and Mobile Computing, 8, 813–821.</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 xml:space="preserve">iucurel, M. M. (2012). The Relation Between Anxiety, Reaction Time and Performance Before and After Sport Competitions.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885–889.</w:t>
      </w:r>
      <w:hyperlink r:id="rId11">
        <w:r>
          <w:rPr>
            <w:rFonts w:ascii="Times New Roman" w:eastAsia="Times New Roman" w:hAnsi="Times New Roman" w:cs="Times New Roman"/>
            <w:sz w:val="24"/>
            <w:szCs w:val="24"/>
          </w:rPr>
          <w:t xml:space="preserve"> https://doi.org/</w:t>
        </w:r>
        <w:r>
          <w:rPr>
            <w:rFonts w:ascii="Times New Roman" w:eastAsia="Times New Roman" w:hAnsi="Times New Roman" w:cs="Times New Roman"/>
            <w:sz w:val="24"/>
            <w:szCs w:val="24"/>
          </w:rPr>
          <w:t>10.1016/j.sbspro.2012.01.249</w:t>
        </w:r>
      </w:hyperlink>
    </w:p>
    <w:p w:rsidR="00C93C61" w:rsidRDefault="00EF0C6E">
      <w:pPr>
        <w:spacing w:after="0" w:line="360"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Didik Assalam, Sulaiman, &amp; Hidayah, T. (2015). Evaluasi Program Pembinaan Prestasi Cabang Olahraga Pencak Silat Pusat Pendidikan Dan Latihan Olahraga Pelajar (Pplp) Provinsi Kalimantan Timur. </w:t>
      </w:r>
      <w:r>
        <w:rPr>
          <w:rFonts w:ascii="Times New Roman" w:eastAsia="Times New Roman" w:hAnsi="Times New Roman" w:cs="Times New Roman"/>
          <w:i/>
          <w:sz w:val="24"/>
          <w:szCs w:val="24"/>
        </w:rPr>
        <w:t>Journal of Physical Education and S</w:t>
      </w:r>
      <w:r>
        <w:rPr>
          <w:rFonts w:ascii="Times New Roman" w:eastAsia="Times New Roman" w:hAnsi="Times New Roman" w:cs="Times New Roman"/>
          <w:i/>
          <w:sz w:val="24"/>
          <w:szCs w:val="24"/>
        </w:rPr>
        <w:t>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87–92. https://doi.org/ISSN 2252-648X</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Debbie Van Biesena,⁎, Katina McCullocha, Luc Janssensa, b, Y. C. V. (2017). The relation between intelligence and reaction time in tasks with increasing cognitive load among athletes with intellectual impa</w:t>
      </w:r>
      <w:r>
        <w:rPr>
          <w:rFonts w:ascii="Times New Roman" w:eastAsia="Times New Roman" w:hAnsi="Times New Roman" w:cs="Times New Roman"/>
          <w:sz w:val="24"/>
          <w:szCs w:val="24"/>
        </w:rPr>
        <w:t xml:space="preserve">irment. </w:t>
      </w:r>
      <w:r>
        <w:rPr>
          <w:rFonts w:ascii="Times New Roman" w:eastAsia="Times New Roman" w:hAnsi="Times New Roman" w:cs="Times New Roman"/>
          <w:i/>
          <w:sz w:val="24"/>
          <w:szCs w:val="24"/>
        </w:rPr>
        <w:t>Intelligence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64 </w:t>
      </w:r>
      <w:r>
        <w:rPr>
          <w:rFonts w:ascii="Times New Roman" w:eastAsia="Times New Roman" w:hAnsi="Times New Roman" w:cs="Times New Roman"/>
          <w:sz w:val="24"/>
          <w:szCs w:val="24"/>
        </w:rPr>
        <w:t>(intelligence and reaction time),45–51.</w:t>
      </w:r>
      <w:r>
        <w:fldChar w:fldCharType="begin"/>
      </w:r>
      <w:r>
        <w:instrText xml:space="preserve"> HYPERLINK "https://doi.org/http:/dx.doi.org/10.1016/j.intell.2017.06.005" </w:instrText>
      </w:r>
      <w:r>
        <w:fldChar w:fldCharType="separate"/>
      </w:r>
      <w:r>
        <w:rPr>
          <w:rFonts w:ascii="Times New Roman" w:eastAsia="Times New Roman" w:hAnsi="Times New Roman" w:cs="Times New Roman"/>
          <w:sz w:val="24"/>
          <w:szCs w:val="24"/>
        </w:rPr>
        <w:t xml:space="preserve"> https://doi.org/http://dx.doi.org/10.1016/j.intell.2017.06.005</w:t>
      </w:r>
    </w:p>
    <w:p w:rsidR="00C93C61" w:rsidRDefault="00EF0C6E">
      <w:pPr>
        <w:spacing w:after="0" w:line="276" w:lineRule="auto"/>
        <w:ind w:left="990" w:hanging="450"/>
        <w:jc w:val="both"/>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Deputi Bidang Peningkatan Prestasi dan Iptek Olahr</w:t>
      </w:r>
      <w:r>
        <w:rPr>
          <w:rFonts w:ascii="Times New Roman" w:eastAsia="Times New Roman" w:hAnsi="Times New Roman" w:cs="Times New Roman"/>
          <w:sz w:val="24"/>
          <w:szCs w:val="24"/>
        </w:rPr>
        <w:t>aga. 2008. Buku Pedoman Antropometri dan Kapasitas Fisik Olahragawan. Jakarta: Kemenegpora RI.</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Giandika, R. M. D., Kusmedi, N., &amp; Rusdiana, A. (2016). Hubungan Kemampuan Waktu Reaksi dan Fleksibilitas Atlet UKM Taekwondo UPI Dengan Hasil Tendangan Dollyo-C</w:t>
      </w:r>
      <w:r>
        <w:rPr>
          <w:rFonts w:ascii="Times New Roman" w:eastAsia="Times New Roman" w:hAnsi="Times New Roman" w:cs="Times New Roman"/>
          <w:sz w:val="24"/>
          <w:szCs w:val="24"/>
        </w:rPr>
        <w:t xml:space="preserve">hagi. </w:t>
      </w:r>
      <w:r>
        <w:rPr>
          <w:rFonts w:ascii="Times New Roman" w:eastAsia="Times New Roman" w:hAnsi="Times New Roman" w:cs="Times New Roman"/>
          <w:i/>
          <w:sz w:val="24"/>
          <w:szCs w:val="24"/>
        </w:rPr>
        <w:t>Jurnal Terapan Ilmu Keolahragaan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01</w:t>
      </w:r>
      <w:r>
        <w:rPr>
          <w:rFonts w:ascii="Times New Roman" w:eastAsia="Times New Roman" w:hAnsi="Times New Roman" w:cs="Times New Roman"/>
          <w:sz w:val="24"/>
          <w:szCs w:val="24"/>
        </w:rPr>
        <w:t>(01), 12–16.</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Hadi, A. F. F. K., &amp; Program. (2019). Gambaran Faktor-Faktor Penyebab Masalah Berat Badan (Overweight) Atlet Pencak Silat Pada Masa Kompetisi KOMPETISI. </w:t>
      </w:r>
      <w:r>
        <w:rPr>
          <w:rFonts w:ascii="Times New Roman" w:eastAsia="Times New Roman" w:hAnsi="Times New Roman" w:cs="Times New Roman"/>
          <w:i/>
          <w:sz w:val="24"/>
          <w:szCs w:val="24"/>
        </w:rPr>
        <w:t>Ilmiah Sport Coaching And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65–78.</w:t>
      </w:r>
    </w:p>
    <w:p w:rsidR="00C93C61" w:rsidRDefault="00EF0C6E">
      <w:pPr>
        <w:spacing w:after="0" w:line="276" w:lineRule="auto"/>
        <w:ind w:left="960" w:hanging="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arsono,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2015 Periodisasi Program Pelatihan Bandung: PT REMAJA</w:t>
      </w:r>
    </w:p>
    <w:p w:rsidR="00C93C61" w:rsidRDefault="00EF0C6E">
      <w:pPr>
        <w:spacing w:after="0" w:line="276" w:lineRule="auto"/>
        <w:ind w:left="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ROSDAKARYA</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Ismaryati. (2008). </w:t>
      </w:r>
      <w:r>
        <w:rPr>
          <w:rFonts w:ascii="Times New Roman" w:eastAsia="Times New Roman" w:hAnsi="Times New Roman" w:cs="Times New Roman"/>
          <w:i/>
          <w:sz w:val="24"/>
          <w:szCs w:val="24"/>
        </w:rPr>
        <w:t>Tes dan Pengukuran Olahraga</w:t>
      </w:r>
      <w:r>
        <w:rPr>
          <w:rFonts w:ascii="Times New Roman" w:eastAsia="Times New Roman" w:hAnsi="Times New Roman" w:cs="Times New Roman"/>
          <w:sz w:val="24"/>
          <w:szCs w:val="24"/>
        </w:rPr>
        <w:t>. Surakarta. LPP UNS dan UNS Pres</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Ketut, N., Permatasari, N., Rusdiana, A., Ruhayati, Y., Pendidikan, D., Pendidikan, F., … Bandung, N. (</w:t>
      </w:r>
      <w:r>
        <w:rPr>
          <w:rFonts w:ascii="Times New Roman" w:eastAsia="Times New Roman" w:hAnsi="Times New Roman" w:cs="Times New Roman"/>
          <w:sz w:val="24"/>
          <w:szCs w:val="24"/>
        </w:rPr>
        <w:t xml:space="preserve">2016). Pengembangan Alat Ukur Waktu Reaksi Berbasis Microcontroller. </w:t>
      </w:r>
      <w:r>
        <w:rPr>
          <w:rFonts w:ascii="Times New Roman" w:eastAsia="Times New Roman" w:hAnsi="Times New Roman" w:cs="Times New Roman"/>
          <w:i/>
          <w:sz w:val="24"/>
          <w:szCs w:val="24"/>
        </w:rPr>
        <w:t>Jurnal Terapan Ilmu Keolahragaan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01</w:t>
      </w:r>
      <w:r>
        <w:rPr>
          <w:rFonts w:ascii="Times New Roman" w:eastAsia="Times New Roman" w:hAnsi="Times New Roman" w:cs="Times New Roman"/>
          <w:sz w:val="24"/>
          <w:szCs w:val="24"/>
        </w:rPr>
        <w:t>(02), 13–17.</w:t>
      </w:r>
    </w:p>
    <w:p w:rsidR="00C93C61" w:rsidRDefault="00EF0C6E">
      <w:pPr>
        <w:spacing w:after="0" w:line="360" w:lineRule="auto"/>
        <w:ind w:left="99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Kurniawan, R., &amp; Elfarabi, A. (2018). The Effect of Learning Model and Intelligence Quotient on Critical Thinking and Handball Games </w:t>
      </w:r>
      <w:r>
        <w:rPr>
          <w:rFonts w:ascii="Times New Roman" w:eastAsia="Times New Roman" w:hAnsi="Times New Roman" w:cs="Times New Roman"/>
          <w:sz w:val="24"/>
          <w:szCs w:val="24"/>
        </w:rPr>
        <w:lastRenderedPageBreak/>
        <w:t>Perfo</w:t>
      </w:r>
      <w:r>
        <w:rPr>
          <w:rFonts w:ascii="Times New Roman" w:eastAsia="Times New Roman" w:hAnsi="Times New Roman" w:cs="Times New Roman"/>
          <w:sz w:val="24"/>
          <w:szCs w:val="24"/>
        </w:rPr>
        <w:t xml:space="preserve">rmance. </w:t>
      </w:r>
      <w:r>
        <w:rPr>
          <w:rFonts w:ascii="Times New Roman" w:eastAsia="Times New Roman" w:hAnsi="Times New Roman" w:cs="Times New Roman"/>
          <w:i/>
          <w:sz w:val="24"/>
          <w:szCs w:val="24"/>
        </w:rPr>
        <w:t>Pendidikan Jasmani Dan Olahraga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(1), 37–42. </w:t>
      </w:r>
      <w:hyperlink r:id="rId12">
        <w:r>
          <w:rPr>
            <w:rFonts w:ascii="Times New Roman" w:eastAsia="Times New Roman" w:hAnsi="Times New Roman" w:cs="Times New Roman"/>
            <w:sz w:val="24"/>
            <w:szCs w:val="24"/>
          </w:rPr>
          <w:t>https://doi.org/10.17509/jpjo.v3i1.10461</w:t>
        </w:r>
      </w:hyperlink>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Mardotillah, M., &amp; Zein, D. M. (2017). Silat Identitas Budaya, Pendidikan, Seni Beladiri, dan Pemeliharaan Kesehatan,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(2), 121–133.</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Mirza Awali. (2018). Pengaruh Kemampuan Kognitif Terhadap Hasil Pembelajaran Bola Basket. </w:t>
      </w:r>
      <w:r>
        <w:rPr>
          <w:rFonts w:ascii="Times New Roman" w:eastAsia="Times New Roman" w:hAnsi="Times New Roman" w:cs="Times New Roman"/>
          <w:i/>
          <w:sz w:val="24"/>
          <w:szCs w:val="24"/>
        </w:rPr>
        <w:t>Jurnal Gelanggang Olahraga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52–63.</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 Nur Kholis. (2016). Aplikasi Nilai-Nilai Luhur Pencak Silat Sarana Membentuk Moralitas Bangsa. </w:t>
      </w:r>
      <w:r>
        <w:rPr>
          <w:rFonts w:ascii="Times New Roman" w:eastAsia="Times New Roman" w:hAnsi="Times New Roman" w:cs="Times New Roman"/>
          <w:i/>
          <w:sz w:val="24"/>
          <w:szCs w:val="24"/>
        </w:rPr>
        <w:t>Sportif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76-. https://doi.org/ISSN: 2477 - 3379</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Mulyana, 2013 Pendidikan Pencak Silat Membangun Jati</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Diri Dan Bangsa Bandung: PT REMAJA ROSDA</w:t>
      </w:r>
      <w:r>
        <w:rPr>
          <w:rFonts w:ascii="Times New Roman" w:eastAsia="Times New Roman" w:hAnsi="Times New Roman" w:cs="Times New Roman"/>
          <w:sz w:val="24"/>
          <w:szCs w:val="24"/>
        </w:rPr>
        <w:t>KARYA</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 Moh Kusuma Atmaja, T. (2015). Pengaruh Metode Latihan Drill dan Waktu Reaksi Terhadap Ketepatan Drive Dalam Permainan Tenis Meja. </w:t>
      </w:r>
      <w:r>
        <w:rPr>
          <w:rFonts w:ascii="Times New Roman" w:eastAsia="Times New Roman" w:hAnsi="Times New Roman" w:cs="Times New Roman"/>
          <w:i/>
          <w:sz w:val="24"/>
          <w:szCs w:val="24"/>
        </w:rPr>
        <w:t>Jurnal Keolahragaan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(April), 56–65. Retrieved from waktu reaksi</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Nurkholis, M., &amp; Weda. (2015). Implementasi Nilai-</w:t>
      </w:r>
      <w:r>
        <w:rPr>
          <w:rFonts w:ascii="Times New Roman" w:eastAsia="Times New Roman" w:hAnsi="Times New Roman" w:cs="Times New Roman"/>
          <w:sz w:val="24"/>
          <w:szCs w:val="24"/>
        </w:rPr>
        <w:t xml:space="preserve">Nilai Pembentukan Sikap Dalam Pencak Silat Terhadap Perilaku Mahasiswa Prodi Penjaskes UNP Kediri. </w:t>
      </w:r>
      <w:r>
        <w:rPr>
          <w:rFonts w:ascii="Times New Roman" w:eastAsia="Times New Roman" w:hAnsi="Times New Roman" w:cs="Times New Roman"/>
          <w:i/>
          <w:sz w:val="24"/>
          <w:szCs w:val="24"/>
        </w:rPr>
        <w:t>Jurnal Sportif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100–113.</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Nurul Ihsan, S. (2018). Sumbangan Konsentrasi terhadap Kecepatan Tendangan Pencak Silat. </w:t>
      </w:r>
      <w:r>
        <w:rPr>
          <w:rFonts w:ascii="Times New Roman" w:eastAsia="Times New Roman" w:hAnsi="Times New Roman" w:cs="Times New Roman"/>
          <w:i/>
          <w:sz w:val="24"/>
          <w:szCs w:val="24"/>
        </w:rPr>
        <w:t>Media Ilmu Keolahragaan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Konsentrasi dan Kecepatan), 1–6.</w:t>
      </w:r>
    </w:p>
    <w:p w:rsidR="00C93C61" w:rsidRDefault="00EF0C6E">
      <w:pPr>
        <w:spacing w:after="0" w:line="276" w:lineRule="auto"/>
        <w:ind w:left="99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PRATAMA, R. Y. (2018). Perkembangan Ikatan Pencak Silat Indonesia ( IPSI ) Tahun 1948-1973,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(3).</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Rahman Diputra. (2015). Pengaruh Latihan Three Cone Drill, Four Cone Drill, dan Five Coned Rahman Diputra, (2015).Pengaruh La</w:t>
      </w:r>
      <w:r>
        <w:rPr>
          <w:rFonts w:ascii="Times New Roman" w:eastAsia="Times New Roman" w:hAnsi="Times New Roman" w:cs="Times New Roman"/>
          <w:sz w:val="24"/>
          <w:szCs w:val="24"/>
        </w:rPr>
        <w:t>tihan Three Cone Drill, Four Cone Drill, dan Five Cine Drill Terhadap Kelincahan (Agility) dan Kecerdasan (Speed), 1 (1) 41–59. Drill Terhadap Kelincahan Agi.1 (1),  41–59.</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Seduri-mojokerto, K. N. (2013). Upaya Peningkatan Kecerdasan Reaksi Anak Tunagrahit</w:t>
      </w:r>
      <w:r>
        <w:rPr>
          <w:rFonts w:ascii="Times New Roman" w:eastAsia="Times New Roman" w:hAnsi="Times New Roman" w:cs="Times New Roman"/>
          <w:sz w:val="24"/>
          <w:szCs w:val="24"/>
        </w:rPr>
        <w:t xml:space="preserve">a Kategori Sedang Melalui Pendekatan Permainan Lempar Tangkap Bola di Pendidikan Khusus Negeri Seduri-Mojokerto  Krisdana Rahmatullah. </w:t>
      </w:r>
      <w:r>
        <w:rPr>
          <w:rFonts w:ascii="Times New Roman" w:eastAsia="Times New Roman" w:hAnsi="Times New Roman" w:cs="Times New Roman"/>
          <w:i/>
          <w:sz w:val="24"/>
          <w:szCs w:val="24"/>
        </w:rPr>
        <w:t>Jurnal Pendidikan Olahraga Dan Kesehatan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01</w:t>
      </w:r>
      <w:r>
        <w:rPr>
          <w:rFonts w:ascii="Times New Roman" w:eastAsia="Times New Roman" w:hAnsi="Times New Roman" w:cs="Times New Roman"/>
          <w:sz w:val="24"/>
          <w:szCs w:val="24"/>
        </w:rPr>
        <w:t>, 368–371.</w:t>
      </w:r>
    </w:p>
    <w:p w:rsidR="00C93C61" w:rsidRDefault="00EF0C6E">
      <w:pPr>
        <w:spacing w:after="0" w:line="276" w:lineRule="auto"/>
        <w:ind w:left="99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Sintia Catur Sutantri (Universitas Padjadjaran. (2018). IPSI. </w:t>
      </w:r>
      <w:r>
        <w:rPr>
          <w:rFonts w:ascii="Times New Roman" w:eastAsia="Times New Roman" w:hAnsi="Times New Roman" w:cs="Times New Roman"/>
          <w:i/>
          <w:sz w:val="24"/>
          <w:szCs w:val="24"/>
        </w:rPr>
        <w:t>Jurn</w:t>
      </w:r>
      <w:r>
        <w:rPr>
          <w:rFonts w:ascii="Times New Roman" w:eastAsia="Times New Roman" w:hAnsi="Times New Roman" w:cs="Times New Roman"/>
          <w:i/>
          <w:sz w:val="24"/>
          <w:szCs w:val="24"/>
        </w:rPr>
        <w:t>al Ilmu Politik Dan Komunikasi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VIII</w:t>
      </w:r>
      <w:r>
        <w:rPr>
          <w:rFonts w:ascii="Times New Roman" w:eastAsia="Times New Roman" w:hAnsi="Times New Roman" w:cs="Times New Roman"/>
          <w:sz w:val="24"/>
          <w:szCs w:val="24"/>
        </w:rPr>
        <w:t>(1).</w:t>
      </w:r>
    </w:p>
    <w:p w:rsidR="00C93C61" w:rsidRDefault="00EF0C6E">
      <w:pPr>
        <w:spacing w:after="0" w:line="276" w:lineRule="auto"/>
        <w:ind w:left="99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Sugiyono. (2013). Memahami Penelitian Kualitatif</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Bandung: Alfabeta.</w:t>
      </w:r>
    </w:p>
    <w:p w:rsidR="00C93C61" w:rsidRDefault="00EF0C6E">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Sosiawan, A. 2012. Seribu Aliran Satu Tujuan. Surabaya: IPSI Surabaya.</w:t>
      </w:r>
    </w:p>
    <w:p w:rsidR="00C93C61" w:rsidRDefault="00EF0C6E">
      <w:pPr>
        <w:spacing w:after="0" w:line="360" w:lineRule="auto"/>
        <w:ind w:left="96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Suwiwa, I. G., Santyasa, I. W., Kirna, I. M., Kurikulum, U., Jasmani, P., P</w:t>
      </w:r>
      <w:r>
        <w:rPr>
          <w:rFonts w:ascii="Times New Roman" w:eastAsia="Times New Roman" w:hAnsi="Times New Roman" w:cs="Times New Roman"/>
          <w:sz w:val="24"/>
          <w:szCs w:val="24"/>
        </w:rPr>
        <w:t xml:space="preserve">enjaskesrek, R., &amp; Olahraga, F. (2014). Pengembangan Multimedia Interaktif Pembelajaran Pada Mata Kuliah Teori dan Praktik Pencak Silat. </w:t>
      </w:r>
      <w:r>
        <w:rPr>
          <w:rFonts w:ascii="Times New Roman" w:eastAsia="Times New Roman" w:hAnsi="Times New Roman" w:cs="Times New Roman"/>
          <w:i/>
          <w:sz w:val="24"/>
          <w:szCs w:val="24"/>
        </w:rPr>
        <w:t>E-Journal Program Pascasarjana Universitas Pendidikan Ganesha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Syafitri, A. W., Supatmo, Y., &amp; Indraswari, D. A. (20</w:t>
      </w:r>
      <w:r>
        <w:rPr>
          <w:rFonts w:ascii="Times New Roman" w:eastAsia="Times New Roman" w:hAnsi="Times New Roman" w:cs="Times New Roman"/>
          <w:sz w:val="24"/>
          <w:szCs w:val="24"/>
        </w:rPr>
        <w:t xml:space="preserve">17). Perbedaan Waktu Reaksi Tangan Antara Cabang Olahraga Permainan dan Beladiri. </w:t>
      </w:r>
      <w:r>
        <w:rPr>
          <w:rFonts w:ascii="Times New Roman" w:eastAsia="Times New Roman" w:hAnsi="Times New Roman" w:cs="Times New Roman"/>
          <w:i/>
          <w:sz w:val="24"/>
          <w:szCs w:val="24"/>
        </w:rPr>
        <w:t>Jurnal Kedokteran Diponegoro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(Reaksi), 177–187.</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Utomo, G. M. (2017). Latihan Hop Scotch Terhadap Peningkatan Kecepatan Reaksi Pada Atlet Berprestasi Pencak Silat PSHT Cabang Surabaya. </w:t>
      </w:r>
      <w:r>
        <w:rPr>
          <w:rFonts w:ascii="Times New Roman" w:eastAsia="Times New Roman" w:hAnsi="Times New Roman" w:cs="Times New Roman"/>
          <w:i/>
          <w:sz w:val="24"/>
          <w:szCs w:val="24"/>
        </w:rPr>
        <w:t xml:space="preserve">3 </w:t>
      </w:r>
      <w:r>
        <w:rPr>
          <w:rFonts w:ascii="Times New Roman" w:eastAsia="Times New Roman" w:hAnsi="Times New Roman" w:cs="Times New Roman"/>
          <w:sz w:val="24"/>
          <w:szCs w:val="24"/>
        </w:rPr>
        <w:t>(November), 21–27.</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Biesen, D., McCulloch, K., Janssens, L., &amp; Vanlandewijck, Y. C. (2017). The Relation Between In</w:t>
      </w:r>
      <w:r>
        <w:rPr>
          <w:rFonts w:ascii="Times New Roman" w:eastAsia="Times New Roman" w:hAnsi="Times New Roman" w:cs="Times New Roman"/>
          <w:sz w:val="24"/>
          <w:szCs w:val="24"/>
        </w:rPr>
        <w:t xml:space="preserve">telligence and Reaction Time In Tasks With Increasing Cognitive Load Among Athletes With Intellectual Impairment. </w:t>
      </w:r>
      <w:r>
        <w:rPr>
          <w:rFonts w:ascii="Times New Roman" w:eastAsia="Times New Roman" w:hAnsi="Times New Roman" w:cs="Times New Roman"/>
          <w:i/>
          <w:sz w:val="24"/>
          <w:szCs w:val="24"/>
        </w:rPr>
        <w:t>Intelligence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64</w:t>
      </w:r>
      <w:r>
        <w:rPr>
          <w:rFonts w:ascii="Times New Roman" w:eastAsia="Times New Roman" w:hAnsi="Times New Roman" w:cs="Times New Roman"/>
          <w:sz w:val="24"/>
          <w:szCs w:val="24"/>
        </w:rPr>
        <w:t>(June), 45–51. https://doi.org/10.1016/j.intell.2017.06.005</w:t>
      </w:r>
    </w:p>
    <w:p w:rsidR="00C93C61" w:rsidRDefault="00EF0C6E">
      <w:pPr>
        <w:spacing w:after="0" w:line="360" w:lineRule="auto"/>
        <w:ind w:left="96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 T., &amp; Oktober, N. (2008). Peran Ekstrakurikuler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Pencak Silat </w:t>
      </w:r>
      <w:r>
        <w:rPr>
          <w:rFonts w:ascii="Times New Roman" w:eastAsia="Times New Roman" w:hAnsi="Times New Roman" w:cs="Times New Roman"/>
          <w:sz w:val="24"/>
          <w:szCs w:val="24"/>
        </w:rPr>
        <w:t xml:space="preserve">Dalam Meminimalisir Kenakalan Remaja di Sekolah. </w:t>
      </w:r>
      <w:r>
        <w:rPr>
          <w:rFonts w:ascii="Times New Roman" w:eastAsia="Times New Roman" w:hAnsi="Times New Roman" w:cs="Times New Roman"/>
          <w:i/>
          <w:sz w:val="24"/>
          <w:szCs w:val="24"/>
        </w:rPr>
        <w:t>Jurnal Buana Pendidikan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28–50.</w:t>
      </w:r>
    </w:p>
    <w:p w:rsidR="00C93C61" w:rsidRDefault="00C93C61">
      <w:pPr>
        <w:spacing w:after="0" w:line="240" w:lineRule="auto"/>
        <w:jc w:val="both"/>
        <w:rPr>
          <w:rFonts w:ascii="Times New Roman" w:eastAsia="Times New Roman" w:hAnsi="Times New Roman" w:cs="Times New Roman"/>
          <w:sz w:val="24"/>
          <w:szCs w:val="24"/>
        </w:rPr>
      </w:pPr>
    </w:p>
    <w:p w:rsidR="00C93C61" w:rsidRDefault="00C93C61">
      <w:pPr>
        <w:spacing w:after="0" w:line="240" w:lineRule="auto"/>
        <w:jc w:val="both"/>
        <w:rPr>
          <w:rFonts w:ascii="Times New Roman" w:eastAsia="Times New Roman" w:hAnsi="Times New Roman" w:cs="Times New Roman"/>
          <w:sz w:val="24"/>
          <w:szCs w:val="24"/>
        </w:rPr>
      </w:pPr>
    </w:p>
    <w:p w:rsidR="00C93C61" w:rsidRDefault="00C93C61">
      <w:pPr>
        <w:ind w:left="1134" w:hanging="1134"/>
        <w:jc w:val="both"/>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pPr>
        <w:ind w:left="1134" w:hanging="1134"/>
        <w:jc w:val="center"/>
        <w:rPr>
          <w:rFonts w:ascii="Times New Roman" w:eastAsia="Times New Roman" w:hAnsi="Times New Roman" w:cs="Times New Roman"/>
          <w:sz w:val="24"/>
          <w:szCs w:val="24"/>
        </w:rPr>
      </w:pPr>
    </w:p>
    <w:p w:rsidR="00C93C61" w:rsidRDefault="00C93C61" w:rsidP="00EF0C6E">
      <w:pPr>
        <w:rPr>
          <w:rFonts w:ascii="Times New Roman" w:eastAsia="Times New Roman" w:hAnsi="Times New Roman" w:cs="Times New Roman"/>
          <w:b/>
          <w:sz w:val="24"/>
          <w:szCs w:val="24"/>
        </w:rPr>
      </w:pPr>
      <w:bookmarkStart w:id="2" w:name="_GoBack"/>
      <w:bookmarkEnd w:id="2"/>
    </w:p>
    <w:sectPr w:rsidR="00C93C61">
      <w:pgSz w:w="11906" w:h="16838"/>
      <w:pgMar w:top="2268" w:right="1701" w:bottom="1701" w:left="2268"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61"/>
    <w:rsid w:val="00C93C61"/>
    <w:rsid w:val="00EF0C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EE6C"/>
  <w15:docId w15:val="{49E1F05D-9C1E-4100-BD09-ADC37E78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7509/jpjo.v3i1.104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sbspro.2012.01.249" TargetMode="External"/><Relationship Id="rId5" Type="http://schemas.openxmlformats.org/officeDocument/2006/relationships/hyperlink" Target="mailto:irawan@upi.edu" TargetMode="External"/><Relationship Id="rId10" Type="http://schemas.openxmlformats.org/officeDocument/2006/relationships/hyperlink" Target="https://doi.org/10.1016/j.sbspro.2014.01.674" TargetMode="External"/><Relationship Id="rId4" Type="http://schemas.openxmlformats.org/officeDocument/2006/relationships/webSettings" Target="webSettings.xml"/><Relationship Id="rId9" Type="http://schemas.openxmlformats.org/officeDocument/2006/relationships/hyperlink" Target="http://pps.unj.ac.id/journal/Jipe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Waktu Reaksi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prstMaterial="plastic">
              <a:bevelT/>
              <a:bevelB prst="angle"/>
            </a:sp3d>
          </c:spPr>
          <c:invertIfNegative val="0"/>
          <c:cat>
            <c:strRef>
              <c:f>Sheet1!$A$2:$A$5</c:f>
              <c:strCache>
                <c:ptCount val="3"/>
                <c:pt idx="0">
                  <c:v>Rendah</c:v>
                </c:pt>
                <c:pt idx="1">
                  <c:v>Sedang</c:v>
                </c:pt>
                <c:pt idx="2">
                  <c:v>Tinggi</c:v>
                </c:pt>
              </c:strCache>
            </c:strRef>
          </c:cat>
          <c:val>
            <c:numRef>
              <c:f>Sheet1!$B$2:$B$5</c:f>
              <c:numCache>
                <c:formatCode>General</c:formatCode>
                <c:ptCount val="4"/>
                <c:pt idx="0">
                  <c:v>6</c:v>
                </c:pt>
                <c:pt idx="1">
                  <c:v>53</c:v>
                </c:pt>
                <c:pt idx="2">
                  <c:v>41</c:v>
                </c:pt>
              </c:numCache>
            </c:numRef>
          </c:val>
          <c:extLst>
            <c:ext xmlns:c16="http://schemas.microsoft.com/office/drawing/2014/chart" uri="{C3380CC4-5D6E-409C-BE32-E72D297353CC}">
              <c16:uniqueId val="{00000000-9366-4FE9-A423-252BE040BDAB}"/>
            </c:ext>
          </c:extLst>
        </c:ser>
        <c:ser>
          <c:idx val="2"/>
          <c:order val="1"/>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Rendah</c:v>
                </c:pt>
                <c:pt idx="1">
                  <c:v>Sedang</c:v>
                </c:pt>
                <c:pt idx="2">
                  <c:v>Tinggi</c:v>
                </c:pt>
              </c:strCache>
            </c:strRef>
          </c:cat>
          <c:val>
            <c:numRef>
              <c:f>Sheet1!$D$2:$D$5</c:f>
              <c:numCache>
                <c:formatCode>General</c:formatCode>
                <c:ptCount val="4"/>
                <c:pt idx="0">
                  <c:v>1</c:v>
                </c:pt>
              </c:numCache>
            </c:numRef>
          </c:val>
          <c:extLst>
            <c:ext xmlns:c16="http://schemas.microsoft.com/office/drawing/2014/chart" uri="{C3380CC4-5D6E-409C-BE32-E72D297353CC}">
              <c16:uniqueId val="{00000002-9366-4FE9-A423-252BE040BDAB}"/>
            </c:ext>
          </c:extLst>
        </c:ser>
        <c:dLbls>
          <c:showLegendKey val="0"/>
          <c:showVal val="0"/>
          <c:showCatName val="0"/>
          <c:showSerName val="0"/>
          <c:showPercent val="0"/>
          <c:showBubbleSize val="0"/>
        </c:dLbls>
        <c:gapWidth val="100"/>
        <c:overlap val="-24"/>
        <c:axId val="554303160"/>
        <c:axId val="554304800"/>
      </c:barChart>
      <c:catAx>
        <c:axId val="5543031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54304800"/>
        <c:crosses val="autoZero"/>
        <c:auto val="1"/>
        <c:lblAlgn val="ctr"/>
        <c:lblOffset val="100"/>
        <c:noMultiLvlLbl val="0"/>
      </c:catAx>
      <c:valAx>
        <c:axId val="554304800"/>
        <c:scaling>
          <c:orientation val="minMax"/>
          <c:max val="70"/>
          <c:min val="1"/>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54303160"/>
        <c:crosses val="autoZero"/>
        <c:crossBetween val="between"/>
        <c:dispUnits>
          <c:builtInUnit val="hundre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Waktu Reaksi</c:v>
                </c:pt>
              </c:strCache>
            </c:strRef>
          </c:tx>
          <c:spPr>
            <a:solidFill>
              <a:srgbClr val="FFC000"/>
            </a:solidFill>
            <a:ln>
              <a:noFill/>
            </a:ln>
            <a:effectLst>
              <a:outerShdw blurRad="57150" dist="19050" dir="5400000" algn="ctr" rotWithShape="0">
                <a:srgbClr val="000000">
                  <a:alpha val="63000"/>
                </a:srgbClr>
              </a:outerShdw>
            </a:effectLst>
            <a:scene3d>
              <a:camera prst="orthographicFront"/>
              <a:lightRig rig="threePt" dir="t"/>
            </a:scene3d>
            <a:sp3d prstMaterial="plastic">
              <a:bevelT/>
              <a:bevelB prst="angle"/>
            </a:sp3d>
          </c:spPr>
          <c:invertIfNegative val="0"/>
          <c:cat>
            <c:strRef>
              <c:f>Sheet1!$A$2:$A$5</c:f>
              <c:strCache>
                <c:ptCount val="3"/>
                <c:pt idx="0">
                  <c:v>Rendah</c:v>
                </c:pt>
                <c:pt idx="1">
                  <c:v>Sedang</c:v>
                </c:pt>
                <c:pt idx="2">
                  <c:v>Tinggi</c:v>
                </c:pt>
              </c:strCache>
            </c:strRef>
          </c:cat>
          <c:val>
            <c:numRef>
              <c:f>Sheet1!$B$2:$B$5</c:f>
              <c:numCache>
                <c:formatCode>General</c:formatCode>
                <c:ptCount val="4"/>
                <c:pt idx="0">
                  <c:v>59</c:v>
                </c:pt>
                <c:pt idx="1">
                  <c:v>12</c:v>
                </c:pt>
                <c:pt idx="2">
                  <c:v>29</c:v>
                </c:pt>
              </c:numCache>
            </c:numRef>
          </c:val>
          <c:extLst>
            <c:ext xmlns:c16="http://schemas.microsoft.com/office/drawing/2014/chart" uri="{C3380CC4-5D6E-409C-BE32-E72D297353CC}">
              <c16:uniqueId val="{00000000-9852-4464-A910-6D4FA4598183}"/>
            </c:ext>
          </c:extLst>
        </c:ser>
        <c:ser>
          <c:idx val="2"/>
          <c:order val="1"/>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Rendah</c:v>
                </c:pt>
                <c:pt idx="1">
                  <c:v>Sedang</c:v>
                </c:pt>
                <c:pt idx="2">
                  <c:v>Tinggi</c:v>
                </c:pt>
              </c:strCache>
            </c:strRef>
          </c:cat>
          <c:val>
            <c:numRef>
              <c:f>Sheet1!$D$2:$D$5</c:f>
              <c:numCache>
                <c:formatCode>General</c:formatCode>
                <c:ptCount val="4"/>
                <c:pt idx="0">
                  <c:v>1</c:v>
                </c:pt>
              </c:numCache>
            </c:numRef>
          </c:val>
          <c:extLst>
            <c:ext xmlns:c16="http://schemas.microsoft.com/office/drawing/2014/chart" uri="{C3380CC4-5D6E-409C-BE32-E72D297353CC}">
              <c16:uniqueId val="{00000001-9852-4464-A910-6D4FA4598183}"/>
            </c:ext>
          </c:extLst>
        </c:ser>
        <c:dLbls>
          <c:showLegendKey val="0"/>
          <c:showVal val="0"/>
          <c:showCatName val="0"/>
          <c:showSerName val="0"/>
          <c:showPercent val="0"/>
          <c:showBubbleSize val="0"/>
        </c:dLbls>
        <c:gapWidth val="100"/>
        <c:overlap val="-24"/>
        <c:axId val="554303160"/>
        <c:axId val="554304800"/>
      </c:barChart>
      <c:catAx>
        <c:axId val="5543031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54304800"/>
        <c:crosses val="autoZero"/>
        <c:auto val="1"/>
        <c:lblAlgn val="ctr"/>
        <c:lblOffset val="100"/>
        <c:noMultiLvlLbl val="0"/>
      </c:catAx>
      <c:valAx>
        <c:axId val="554304800"/>
        <c:scaling>
          <c:orientation val="minMax"/>
          <c:max val="70"/>
          <c:min val="1"/>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54303160"/>
        <c:crosses val="autoZero"/>
        <c:crossBetween val="between"/>
        <c:dispUnits>
          <c:builtInUnit val="hundre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xR7LlVn3yYt0v4An6qxgBcw90Q==">AMUW2mXCbE8ax9NpvTZ7LAR77o/mDO9karIhR2EKNM1asyf4FjbJE56h3e75YOg5dEdjq6Omw/41q7EXcNYqJrzPBOYEp3rVC12BxM35Is154Upt3o2zOUUTq7s954LqJDHcdn8kfK4D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5164</Words>
  <Characters>29440</Characters>
  <Application>Microsoft Office Word</Application>
  <DocSecurity>0</DocSecurity>
  <Lines>245</Lines>
  <Paragraphs>69</Paragraphs>
  <ScaleCrop>false</ScaleCrop>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daengirawan007@gmail.com</cp:lastModifiedBy>
  <cp:revision>2</cp:revision>
  <dcterms:created xsi:type="dcterms:W3CDTF">2019-04-10T10:36:00Z</dcterms:created>
  <dcterms:modified xsi:type="dcterms:W3CDTF">2019-08-07T00:11:00Z</dcterms:modified>
</cp:coreProperties>
</file>