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CA" w:rsidRPr="00380741" w:rsidRDefault="008073CA" w:rsidP="008073CA">
      <w:pPr>
        <w:widowControl w:val="0"/>
        <w:autoSpaceDE w:val="0"/>
        <w:autoSpaceDN w:val="0"/>
        <w:adjustRightInd w:val="0"/>
        <w:spacing w:after="0" w:line="240" w:lineRule="auto"/>
        <w:ind w:left="480" w:hanging="480"/>
        <w:jc w:val="center"/>
        <w:rPr>
          <w:rFonts w:ascii="Times New Roman" w:hAnsi="Times New Roman" w:cs="Times New Roman"/>
          <w:b/>
          <w:sz w:val="24"/>
          <w:szCs w:val="24"/>
        </w:rPr>
      </w:pPr>
      <w:r w:rsidRPr="00380741">
        <w:rPr>
          <w:rFonts w:ascii="Times New Roman" w:hAnsi="Times New Roman" w:cs="Times New Roman"/>
          <w:b/>
          <w:sz w:val="24"/>
          <w:szCs w:val="24"/>
        </w:rPr>
        <w:t>LEMBAR PENILAIAN</w:t>
      </w:r>
    </w:p>
    <w:p w:rsidR="008073CA" w:rsidRPr="00380741" w:rsidRDefault="008073CA" w:rsidP="008073CA">
      <w:pPr>
        <w:pStyle w:val="FootnoteText"/>
        <w:jc w:val="center"/>
        <w:rPr>
          <w:rFonts w:ascii="Times New Roman" w:hAnsi="Times New Roman"/>
          <w:b/>
          <w:sz w:val="24"/>
          <w:szCs w:val="24"/>
        </w:rPr>
      </w:pPr>
    </w:p>
    <w:tbl>
      <w:tblPr>
        <w:tblStyle w:val="TableGrid"/>
        <w:tblW w:w="0" w:type="auto"/>
        <w:tblLook w:val="04A0"/>
      </w:tblPr>
      <w:tblGrid>
        <w:gridCol w:w="2272"/>
        <w:gridCol w:w="838"/>
        <w:gridCol w:w="907"/>
        <w:gridCol w:w="976"/>
        <w:gridCol w:w="769"/>
        <w:gridCol w:w="769"/>
        <w:gridCol w:w="715"/>
        <w:gridCol w:w="1236"/>
      </w:tblGrid>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Deskripsi </w:t>
            </w:r>
          </w:p>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Kefasihan </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w:t>
            </w: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w:t>
            </w: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3</w:t>
            </w: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5</w:t>
            </w: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6</w:t>
            </w: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p>
        </w:tc>
      </w:tr>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Tekanan </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Tata bahasa</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Kosakata</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Kelancaran</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538"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Pemahaman </w:t>
            </w:r>
          </w:p>
        </w:tc>
        <w:tc>
          <w:tcPr>
            <w:tcW w:w="99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08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7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900"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829" w:type="dxa"/>
          </w:tcPr>
          <w:p w:rsidR="008073CA" w:rsidRPr="00380741" w:rsidRDefault="008073CA" w:rsidP="00AA59CA">
            <w:pPr>
              <w:spacing w:line="360" w:lineRule="auto"/>
              <w:jc w:val="center"/>
              <w:rPr>
                <w:rFonts w:ascii="Times New Roman" w:eastAsia="Times New Roman" w:hAnsi="Times New Roman" w:cs="Times New Roman"/>
                <w:sz w:val="24"/>
                <w:szCs w:val="24"/>
              </w:rPr>
            </w:pP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8407" w:type="dxa"/>
            <w:gridSpan w:val="7"/>
          </w:tcPr>
          <w:p w:rsidR="008073CA" w:rsidRPr="00380741" w:rsidRDefault="008073CA" w:rsidP="00AA59CA">
            <w:pPr>
              <w:spacing w:line="360" w:lineRule="auto"/>
              <w:jc w:val="right"/>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Jumlah </w:t>
            </w:r>
          </w:p>
        </w:tc>
        <w:tc>
          <w:tcPr>
            <w:tcW w:w="1169"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bl>
    <w:p w:rsidR="008073CA" w:rsidRPr="00380741" w:rsidRDefault="008073CA" w:rsidP="008073CA">
      <w:pPr>
        <w:spacing w:after="0"/>
        <w:jc w:val="center"/>
        <w:rPr>
          <w:rFonts w:ascii="Times New Roman" w:hAnsi="Times New Roman" w:cs="Times New Roman"/>
          <w:b/>
          <w:sz w:val="24"/>
          <w:szCs w:val="24"/>
        </w:rPr>
      </w:pPr>
    </w:p>
    <w:p w:rsidR="008073CA" w:rsidRPr="00380741" w:rsidRDefault="008073CA" w:rsidP="008073CA">
      <w:pPr>
        <w:spacing w:after="0"/>
        <w:jc w:val="center"/>
        <w:rPr>
          <w:rFonts w:ascii="Times New Roman" w:hAnsi="Times New Roman" w:cs="Times New Roman"/>
          <w:b/>
          <w:sz w:val="24"/>
          <w:szCs w:val="24"/>
        </w:rPr>
      </w:pPr>
      <w:r w:rsidRPr="00380741">
        <w:rPr>
          <w:rFonts w:ascii="Times New Roman" w:hAnsi="Times New Roman" w:cs="Times New Roman"/>
          <w:b/>
          <w:sz w:val="24"/>
          <w:szCs w:val="24"/>
        </w:rPr>
        <w:t xml:space="preserve">   Tabel Konversi Tingkat Kefasihan</w:t>
      </w:r>
    </w:p>
    <w:tbl>
      <w:tblPr>
        <w:tblStyle w:val="TableGrid"/>
        <w:tblW w:w="0" w:type="auto"/>
        <w:jc w:val="center"/>
        <w:tblInd w:w="753" w:type="dxa"/>
        <w:tblLook w:val="04A0"/>
      </w:tblPr>
      <w:tblGrid>
        <w:gridCol w:w="3004"/>
        <w:gridCol w:w="3200"/>
      </w:tblGrid>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b/>
                <w:sz w:val="24"/>
                <w:szCs w:val="24"/>
              </w:rPr>
            </w:pPr>
            <w:r w:rsidRPr="00380741">
              <w:rPr>
                <w:rFonts w:ascii="Times New Roman" w:hAnsi="Times New Roman" w:cs="Times New Roman"/>
                <w:b/>
                <w:sz w:val="24"/>
                <w:szCs w:val="24"/>
              </w:rPr>
              <w:t>Jumlah Skor</w:t>
            </w:r>
          </w:p>
        </w:tc>
        <w:tc>
          <w:tcPr>
            <w:tcW w:w="3200" w:type="dxa"/>
          </w:tcPr>
          <w:p w:rsidR="008073CA" w:rsidRPr="00380741" w:rsidRDefault="008073CA" w:rsidP="00AA59CA">
            <w:pPr>
              <w:jc w:val="center"/>
              <w:rPr>
                <w:rFonts w:ascii="Times New Roman" w:hAnsi="Times New Roman" w:cs="Times New Roman"/>
                <w:b/>
                <w:sz w:val="24"/>
                <w:szCs w:val="24"/>
              </w:rPr>
            </w:pPr>
            <w:r w:rsidRPr="00380741">
              <w:rPr>
                <w:rFonts w:ascii="Times New Roman" w:hAnsi="Times New Roman" w:cs="Times New Roman"/>
                <w:b/>
                <w:sz w:val="24"/>
                <w:szCs w:val="24"/>
              </w:rPr>
              <w:t>Tingkat Kefasihan</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16 – 25</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0 + *)</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26 – 32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1</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33 – 42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1+</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43 – 52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2</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53 – 62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2+</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63 – 72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3</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73 – 82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3+</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83 – 92</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4</w:t>
            </w:r>
          </w:p>
        </w:tc>
      </w:tr>
      <w:tr w:rsidR="008073CA" w:rsidRPr="00380741" w:rsidTr="00AA59CA">
        <w:trPr>
          <w:jc w:val="center"/>
        </w:trPr>
        <w:tc>
          <w:tcPr>
            <w:tcW w:w="3004"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93 – 99</w:t>
            </w:r>
          </w:p>
        </w:tc>
        <w:tc>
          <w:tcPr>
            <w:tcW w:w="3200" w:type="dxa"/>
          </w:tcPr>
          <w:p w:rsidR="008073CA" w:rsidRPr="00380741" w:rsidRDefault="008073CA" w:rsidP="00AA59CA">
            <w:pPr>
              <w:jc w:val="center"/>
              <w:rPr>
                <w:rFonts w:ascii="Times New Roman" w:hAnsi="Times New Roman" w:cs="Times New Roman"/>
                <w:sz w:val="24"/>
                <w:szCs w:val="24"/>
              </w:rPr>
            </w:pPr>
            <w:r w:rsidRPr="00380741">
              <w:rPr>
                <w:rFonts w:ascii="Times New Roman" w:hAnsi="Times New Roman" w:cs="Times New Roman"/>
                <w:sz w:val="24"/>
                <w:szCs w:val="24"/>
              </w:rPr>
              <w:t>4+</w:t>
            </w:r>
          </w:p>
        </w:tc>
      </w:tr>
    </w:tbl>
    <w:p w:rsidR="008073CA" w:rsidRPr="00380741" w:rsidRDefault="008073CA" w:rsidP="008073CA">
      <w:pPr>
        <w:spacing w:after="0" w:line="480" w:lineRule="auto"/>
        <w:ind w:firstLine="720"/>
        <w:jc w:val="both"/>
        <w:rPr>
          <w:rFonts w:ascii="Times New Roman" w:hAnsi="Times New Roman" w:cs="Times New Roman"/>
          <w:sz w:val="24"/>
          <w:szCs w:val="24"/>
        </w:rPr>
      </w:pPr>
    </w:p>
    <w:p w:rsidR="008073CA" w:rsidRPr="00380741" w:rsidRDefault="008073CA" w:rsidP="008073CA">
      <w:pPr>
        <w:spacing w:after="0" w:line="480" w:lineRule="auto"/>
        <w:ind w:firstLine="720"/>
        <w:jc w:val="both"/>
        <w:rPr>
          <w:rFonts w:ascii="Times New Roman" w:hAnsi="Times New Roman" w:cs="Times New Roman"/>
          <w:sz w:val="24"/>
          <w:szCs w:val="24"/>
        </w:rPr>
      </w:pPr>
      <w:r w:rsidRPr="00380741">
        <w:rPr>
          <w:rFonts w:ascii="Times New Roman" w:hAnsi="Times New Roman" w:cs="Times New Roman"/>
          <w:sz w:val="24"/>
          <w:szCs w:val="24"/>
        </w:rPr>
        <w:t>Komponen alat penilaian dan deskripsi kefasihan untuk menentukan tingkat kemampuan berbicara disusun secara berskala: 1 sampai 6,  skor 1 berarti sangat kurang dan skor enam berarti sangat baik. Adapun deskripsii kefasihan untuk masing-masing komponen adalah sebagai berikut:</w:t>
      </w:r>
    </w:p>
    <w:p w:rsidR="008073CA" w:rsidRPr="00380741" w:rsidRDefault="008073CA" w:rsidP="008073CA">
      <w:p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Tekanan/lafal:</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t>Ucapan sering tidak dipahami</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t>Sering terjadi kesalahan besar dan aksen kuat yang menyulitkan pemahaman, menghendaki untuk selalu diulang</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lastRenderedPageBreak/>
        <w:t>Pengaruh ucapan asing (daerah) yang memaksa orang mendengarkan dengan teliti, salah ucap yang mengakibatkan kesalahpahaman</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t>Pengaruh ucapan asing (daerah) dan kesalahan ucapan tidak menyebabkan kesalahpahaman</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t>Tidak terjadi salah ucap yang mencolok, mendekati ucapan standar</w:t>
      </w:r>
    </w:p>
    <w:p w:rsidR="008073CA" w:rsidRPr="00380741" w:rsidRDefault="008073CA" w:rsidP="008073CA">
      <w:pPr>
        <w:pStyle w:val="ListParagraph"/>
        <w:numPr>
          <w:ilvl w:val="0"/>
          <w:numId w:val="1"/>
        </w:numPr>
        <w:spacing w:after="0" w:line="360" w:lineRule="auto"/>
        <w:ind w:left="810"/>
        <w:jc w:val="both"/>
        <w:rPr>
          <w:rFonts w:ascii="Times New Roman" w:hAnsi="Times New Roman" w:cs="Times New Roman"/>
          <w:sz w:val="24"/>
          <w:szCs w:val="24"/>
        </w:rPr>
      </w:pPr>
      <w:r w:rsidRPr="00380741">
        <w:rPr>
          <w:rFonts w:ascii="Times New Roman" w:hAnsi="Times New Roman" w:cs="Times New Roman"/>
          <w:sz w:val="24"/>
          <w:szCs w:val="24"/>
        </w:rPr>
        <w:t>Ucapan sudah standar</w:t>
      </w:r>
    </w:p>
    <w:p w:rsidR="008073CA" w:rsidRPr="00380741" w:rsidRDefault="008073CA" w:rsidP="008073CA">
      <w:pPr>
        <w:spacing w:after="0" w:line="360" w:lineRule="auto"/>
        <w:jc w:val="both"/>
        <w:rPr>
          <w:rFonts w:ascii="Times New Roman" w:hAnsi="Times New Roman" w:cs="Times New Roman"/>
          <w:sz w:val="24"/>
          <w:szCs w:val="24"/>
        </w:rPr>
      </w:pPr>
    </w:p>
    <w:p w:rsidR="008073CA" w:rsidRPr="00380741" w:rsidRDefault="008073CA" w:rsidP="008073CA">
      <w:p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Tata bahasa</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Pengunaan tata bahasa  hampir selalu tepat</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Adanya kesalahan dalam pengunaan pola-pola pokok secara tepat yang selalu menggangu komunikasi</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Sering terjadi kesalahan daam pola tertentu  karena kurang cermat yang dapat mengganggu komunikasi</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Kadang-kadang terjadi kesalahan dalam penggunaan pola tertentu, tetapi tidak mengganggu komunikasi</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Sedikit terjadi kesalahan, tetapi bukan pada pengguna pola</w:t>
      </w:r>
    </w:p>
    <w:p w:rsidR="008073CA" w:rsidRPr="00380741" w:rsidRDefault="008073CA" w:rsidP="008073CA">
      <w:pPr>
        <w:pStyle w:val="ListParagraph"/>
        <w:numPr>
          <w:ilvl w:val="0"/>
          <w:numId w:val="2"/>
        </w:numPr>
        <w:spacing w:after="0" w:line="360" w:lineRule="auto"/>
        <w:ind w:left="810" w:hanging="630"/>
        <w:jc w:val="both"/>
        <w:rPr>
          <w:rFonts w:ascii="Times New Roman" w:hAnsi="Times New Roman" w:cs="Times New Roman"/>
          <w:sz w:val="24"/>
          <w:szCs w:val="24"/>
        </w:rPr>
      </w:pPr>
      <w:r w:rsidRPr="00380741">
        <w:rPr>
          <w:rFonts w:ascii="Times New Roman" w:hAnsi="Times New Roman" w:cs="Times New Roman"/>
          <w:sz w:val="24"/>
          <w:szCs w:val="24"/>
        </w:rPr>
        <w:t>Tidak lebih dari dua kesalahan selama berlangsungnya kegiatan wawancara</w:t>
      </w:r>
    </w:p>
    <w:p w:rsidR="008073CA" w:rsidRPr="00380741" w:rsidRDefault="008073CA" w:rsidP="008073CA">
      <w:pPr>
        <w:pStyle w:val="ListParagraph"/>
        <w:spacing w:after="0" w:line="360" w:lineRule="auto"/>
        <w:ind w:left="810"/>
        <w:jc w:val="both"/>
        <w:rPr>
          <w:rFonts w:ascii="Times New Roman" w:hAnsi="Times New Roman" w:cs="Times New Roman"/>
          <w:sz w:val="24"/>
          <w:szCs w:val="24"/>
        </w:rPr>
      </w:pPr>
    </w:p>
    <w:p w:rsidR="008073CA" w:rsidRPr="00380741" w:rsidRDefault="008073CA" w:rsidP="008073CA">
      <w:p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Kosakata</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Pengunaan kosakata tidak tepat dalam percakapan yang paling sederhana sekalipun</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Penguasaan kosakata sangat terbatas pada keperluan dan personal (waktu, makanan, transportasi, keluarga)</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Pemilihan kosakata sering tidak tepat dan keterbatasan pengunaannya menghambat kelancaran komunikasi dalam masalah sosial dan profesional</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Pengunaan kosakata teknis tepat dalam pembicaraan tentang masalah tertentu, tetapi pengunaan kosakata umum bersifat berlebihan</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lastRenderedPageBreak/>
        <w:t>Penggunaan kosakata teknis lebih luas dan cermat, kosakata umum pun tepat sesuai dengan situasi sosial</w:t>
      </w:r>
    </w:p>
    <w:p w:rsidR="008073CA" w:rsidRPr="00380741" w:rsidRDefault="008073CA" w:rsidP="008073CA">
      <w:pPr>
        <w:pStyle w:val="ListParagraph"/>
        <w:numPr>
          <w:ilvl w:val="0"/>
          <w:numId w:val="3"/>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Penggunaan kosakata teknis dan umum luas dan tepat</w:t>
      </w:r>
    </w:p>
    <w:p w:rsidR="008073CA" w:rsidRPr="00380741" w:rsidRDefault="008073CA" w:rsidP="008073CA">
      <w:pPr>
        <w:spacing w:after="0" w:line="360" w:lineRule="auto"/>
        <w:jc w:val="both"/>
        <w:rPr>
          <w:rFonts w:ascii="Times New Roman" w:hAnsi="Times New Roman" w:cs="Times New Roman"/>
          <w:sz w:val="24"/>
          <w:szCs w:val="24"/>
        </w:rPr>
      </w:pPr>
    </w:p>
    <w:p w:rsidR="008073CA" w:rsidRPr="00380741" w:rsidRDefault="008073CA" w:rsidP="008073CA">
      <w:p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Kelancaran</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selalu terputus-putus sehingga wawancara macet</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sangat lambat dan tak ajek kecuali untuk kalimat pendek dan rutin</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sering tampak ragu, kalimat tidak lengkap</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kadang-kadang masih ragu, pengelompokkan kata kadang-kadang juga tidak tepat</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lancar dan halus, tetapi sekali-kali masih kurang ajek</w:t>
      </w:r>
    </w:p>
    <w:p w:rsidR="008073CA" w:rsidRPr="00380741" w:rsidRDefault="008073CA" w:rsidP="008073CA">
      <w:pPr>
        <w:pStyle w:val="ListParagraph"/>
        <w:numPr>
          <w:ilvl w:val="0"/>
          <w:numId w:val="4"/>
        </w:numPr>
        <w:spacing w:after="0" w:line="360" w:lineRule="auto"/>
        <w:ind w:hanging="540"/>
        <w:jc w:val="both"/>
        <w:rPr>
          <w:rFonts w:ascii="Times New Roman" w:hAnsi="Times New Roman" w:cs="Times New Roman"/>
          <w:sz w:val="24"/>
          <w:szCs w:val="24"/>
        </w:rPr>
      </w:pPr>
      <w:r w:rsidRPr="00380741">
        <w:rPr>
          <w:rFonts w:ascii="Times New Roman" w:hAnsi="Times New Roman" w:cs="Times New Roman"/>
          <w:sz w:val="24"/>
          <w:szCs w:val="24"/>
        </w:rPr>
        <w:t>Pembicaraan dalam segala hal lancar dan halus</w:t>
      </w:r>
    </w:p>
    <w:p w:rsidR="008073CA" w:rsidRPr="00380741" w:rsidRDefault="008073CA" w:rsidP="008073CA">
      <w:pPr>
        <w:spacing w:after="0" w:line="360" w:lineRule="auto"/>
        <w:jc w:val="both"/>
        <w:rPr>
          <w:rFonts w:ascii="Times New Roman" w:hAnsi="Times New Roman" w:cs="Times New Roman"/>
          <w:sz w:val="24"/>
          <w:szCs w:val="24"/>
        </w:rPr>
      </w:pPr>
    </w:p>
    <w:p w:rsidR="008073CA" w:rsidRPr="00380741" w:rsidRDefault="008073CA" w:rsidP="008073CA">
      <w:p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Pemahaman</w:t>
      </w:r>
    </w:p>
    <w:p w:rsidR="008073CA" w:rsidRPr="00380741"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Memahami sedikit isi percakapan yang paling sederhana</w:t>
      </w:r>
    </w:p>
    <w:p w:rsidR="008073CA" w:rsidRPr="00380741"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Memahamai dengan lambat percakapan sederhana, perlu penjelasan dan pengulangan</w:t>
      </w:r>
    </w:p>
    <w:p w:rsidR="008073CA" w:rsidRPr="00380741"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Memahami dengan baik percakapan sederhana dalam hal tertentu masih perlu penjelasan dan pengulangan</w:t>
      </w:r>
    </w:p>
    <w:p w:rsidR="008073CA" w:rsidRPr="00380741"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Memahami agak baik percakapan normal, kadang-kadang pengulangan dan penjelasan</w:t>
      </w:r>
    </w:p>
    <w:p w:rsidR="008073CA" w:rsidRPr="00380741"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Memahami segala sesuatu dalam percakapan normal, kecuali yang bersifat koloqial</w:t>
      </w:r>
    </w:p>
    <w:p w:rsidR="008073CA" w:rsidRDefault="008073CA" w:rsidP="008073CA">
      <w:pPr>
        <w:pStyle w:val="ListParagraph"/>
        <w:numPr>
          <w:ilvl w:val="0"/>
          <w:numId w:val="5"/>
        </w:numPr>
        <w:spacing w:after="0" w:line="360" w:lineRule="auto"/>
        <w:jc w:val="both"/>
        <w:rPr>
          <w:rFonts w:ascii="Times New Roman" w:hAnsi="Times New Roman" w:cs="Times New Roman"/>
          <w:sz w:val="24"/>
          <w:szCs w:val="24"/>
        </w:rPr>
      </w:pPr>
      <w:r w:rsidRPr="00380741">
        <w:rPr>
          <w:rFonts w:ascii="Times New Roman" w:hAnsi="Times New Roman" w:cs="Times New Roman"/>
          <w:sz w:val="24"/>
          <w:szCs w:val="24"/>
        </w:rPr>
        <w:t>Memahami segala sesuatu dalam pembicaraan formal dan koloqial</w:t>
      </w:r>
    </w:p>
    <w:p w:rsidR="008073CA" w:rsidRDefault="008073CA" w:rsidP="008073CA">
      <w:pPr>
        <w:pStyle w:val="ListParagraph"/>
        <w:spacing w:after="0" w:line="360" w:lineRule="auto"/>
        <w:jc w:val="both"/>
        <w:rPr>
          <w:rFonts w:ascii="Times New Roman" w:hAnsi="Times New Roman" w:cs="Times New Roman"/>
          <w:sz w:val="24"/>
          <w:szCs w:val="24"/>
        </w:rPr>
      </w:pPr>
    </w:p>
    <w:p w:rsidR="008073CA" w:rsidRDefault="008073CA" w:rsidP="008073CA">
      <w:pPr>
        <w:pStyle w:val="ListParagraph"/>
        <w:spacing w:after="0" w:line="360" w:lineRule="auto"/>
        <w:jc w:val="both"/>
        <w:rPr>
          <w:rFonts w:ascii="Times New Roman" w:hAnsi="Times New Roman" w:cs="Times New Roman"/>
          <w:sz w:val="24"/>
          <w:szCs w:val="24"/>
        </w:rPr>
      </w:pPr>
    </w:p>
    <w:p w:rsidR="008073CA" w:rsidRPr="00380741" w:rsidRDefault="008073CA" w:rsidP="008073CA">
      <w:pPr>
        <w:pStyle w:val="ListParagraph"/>
        <w:spacing w:after="0" w:line="360" w:lineRule="auto"/>
        <w:jc w:val="both"/>
        <w:rPr>
          <w:rFonts w:ascii="Times New Roman" w:hAnsi="Times New Roman" w:cs="Times New Roman"/>
          <w:sz w:val="24"/>
          <w:szCs w:val="24"/>
        </w:rPr>
      </w:pPr>
    </w:p>
    <w:p w:rsidR="008073CA" w:rsidRPr="00380741" w:rsidRDefault="008073CA" w:rsidP="008073CA">
      <w:pPr>
        <w:spacing w:after="0"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lastRenderedPageBreak/>
        <w:t>Contoh penghitungan dengan menggunakan tabel konversi</w:t>
      </w:r>
    </w:p>
    <w:tbl>
      <w:tblPr>
        <w:tblStyle w:val="TableGrid"/>
        <w:tblW w:w="0" w:type="auto"/>
        <w:tblInd w:w="108" w:type="dxa"/>
        <w:tblLook w:val="04A0"/>
      </w:tblPr>
      <w:tblGrid>
        <w:gridCol w:w="2154"/>
        <w:gridCol w:w="806"/>
        <w:gridCol w:w="908"/>
        <w:gridCol w:w="973"/>
        <w:gridCol w:w="780"/>
        <w:gridCol w:w="780"/>
        <w:gridCol w:w="730"/>
        <w:gridCol w:w="1243"/>
      </w:tblGrid>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Deskripsi </w:t>
            </w:r>
          </w:p>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Kefasihan </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3</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5</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6</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p>
        </w:tc>
      </w:tr>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Tekanan </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6</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15</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18</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Tata bahasa</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10</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Kosakata</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6</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20</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Kelancaran</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6</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8</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10</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2154"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Pemahaman </w:t>
            </w:r>
          </w:p>
        </w:tc>
        <w:tc>
          <w:tcPr>
            <w:tcW w:w="806"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4</w:t>
            </w:r>
          </w:p>
        </w:tc>
        <w:tc>
          <w:tcPr>
            <w:tcW w:w="908"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8</w:t>
            </w:r>
          </w:p>
        </w:tc>
        <w:tc>
          <w:tcPr>
            <w:tcW w:w="973"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12</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15</w:t>
            </w:r>
          </w:p>
        </w:tc>
        <w:tc>
          <w:tcPr>
            <w:tcW w:w="78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20</w:t>
            </w:r>
          </w:p>
        </w:tc>
        <w:tc>
          <w:tcPr>
            <w:tcW w:w="730" w:type="dxa"/>
          </w:tcPr>
          <w:p w:rsidR="008073CA" w:rsidRPr="00380741" w:rsidRDefault="008073CA" w:rsidP="00AA59CA">
            <w:pPr>
              <w:spacing w:line="360" w:lineRule="auto"/>
              <w:jc w:val="center"/>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23</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r w:rsidR="008073CA" w:rsidRPr="00380741" w:rsidTr="00AA59CA">
        <w:tc>
          <w:tcPr>
            <w:tcW w:w="7131" w:type="dxa"/>
            <w:gridSpan w:val="7"/>
          </w:tcPr>
          <w:p w:rsidR="008073CA" w:rsidRPr="00380741" w:rsidRDefault="008073CA" w:rsidP="00AA59CA">
            <w:pPr>
              <w:spacing w:line="360" w:lineRule="auto"/>
              <w:jc w:val="right"/>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Jumlah </w:t>
            </w:r>
          </w:p>
        </w:tc>
        <w:tc>
          <w:tcPr>
            <w:tcW w:w="1243" w:type="dxa"/>
          </w:tcPr>
          <w:p w:rsidR="008073CA" w:rsidRPr="00380741" w:rsidRDefault="008073CA" w:rsidP="00AA59CA">
            <w:pPr>
              <w:spacing w:line="360" w:lineRule="auto"/>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w:t>
            </w:r>
          </w:p>
        </w:tc>
      </w:tr>
    </w:tbl>
    <w:p w:rsidR="008073CA" w:rsidRPr="00380741" w:rsidRDefault="008073CA" w:rsidP="008073CA">
      <w:pPr>
        <w:spacing w:after="0" w:line="360" w:lineRule="auto"/>
        <w:rPr>
          <w:rFonts w:ascii="Times New Roman" w:eastAsia="Times New Roman" w:hAnsi="Times New Roman" w:cs="Times New Roman"/>
          <w:sz w:val="24"/>
          <w:szCs w:val="24"/>
        </w:rPr>
      </w:pPr>
    </w:p>
    <w:p w:rsidR="008073CA" w:rsidRPr="00380741" w:rsidRDefault="008073CA" w:rsidP="008073CA">
      <w:pPr>
        <w:spacing w:after="0" w:line="360" w:lineRule="auto"/>
        <w:ind w:left="900" w:hanging="900"/>
        <w:jc w:val="both"/>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 xml:space="preserve">Lina  : deskripsi kefasihan, tekanan: 5 (skor:15), tata bahasa 5 (skor: 10),  kosakata 5 (skor: 20), kelancaran 5 (skor: 10), dan pemahaman 5 (skor: 20).  Jumlah skor: 15+10+20+10+20 = </w:t>
      </w:r>
      <w:r w:rsidRPr="00380741">
        <w:rPr>
          <w:rFonts w:ascii="Times New Roman" w:eastAsia="Times New Roman" w:hAnsi="Times New Roman" w:cs="Times New Roman"/>
          <w:b/>
          <w:sz w:val="24"/>
          <w:szCs w:val="24"/>
        </w:rPr>
        <w:t>75</w:t>
      </w:r>
    </w:p>
    <w:p w:rsidR="008073CA" w:rsidRPr="00380741" w:rsidRDefault="008073CA" w:rsidP="008073CA">
      <w:pPr>
        <w:spacing w:after="0" w:line="360" w:lineRule="auto"/>
        <w:jc w:val="both"/>
        <w:rPr>
          <w:rFonts w:ascii="Times New Roman" w:eastAsia="Times New Roman" w:hAnsi="Times New Roman" w:cs="Times New Roman"/>
          <w:sz w:val="24"/>
          <w:szCs w:val="24"/>
        </w:rPr>
      </w:pPr>
    </w:p>
    <w:p w:rsidR="008073CA" w:rsidRPr="00380741" w:rsidRDefault="008073CA" w:rsidP="008073CA">
      <w:pPr>
        <w:spacing w:after="0" w:line="360" w:lineRule="auto"/>
        <w:jc w:val="both"/>
        <w:rPr>
          <w:rFonts w:ascii="Times New Roman" w:eastAsia="Times New Roman" w:hAnsi="Times New Roman" w:cs="Times New Roman"/>
          <w:sz w:val="24"/>
          <w:szCs w:val="24"/>
        </w:rPr>
      </w:pPr>
      <w:r w:rsidRPr="00380741">
        <w:rPr>
          <w:rFonts w:ascii="Times New Roman" w:eastAsia="Times New Roman" w:hAnsi="Times New Roman" w:cs="Times New Roman"/>
          <w:sz w:val="24"/>
          <w:szCs w:val="24"/>
        </w:rPr>
        <w:t>Skor kemampuan berbicara Lina adalah 75, berdasarkan tabel konversi Lina berada pada tingkat kefasihan 3+ hal ini berarti Lina mempunyai tingkat kefasihan yang dideskripsikan sebagai: mampu berbicara dengan ketepatan bahasa dan kosakata untuk berperan serta dalam umumnya  percakapan formal dan bersifat praktis.</w:t>
      </w:r>
    </w:p>
    <w:p w:rsidR="008073CA" w:rsidRPr="00380741" w:rsidRDefault="008073CA" w:rsidP="008073CA">
      <w:pPr>
        <w:spacing w:line="480" w:lineRule="auto"/>
        <w:jc w:val="both"/>
        <w:rPr>
          <w:rFonts w:ascii="Times New Roman" w:hAnsi="Times New Roman" w:cs="Times New Roman"/>
          <w:b/>
          <w:sz w:val="24"/>
          <w:szCs w:val="24"/>
        </w:rPr>
      </w:pPr>
    </w:p>
    <w:p w:rsidR="008073CA" w:rsidRPr="00380741" w:rsidRDefault="008073CA" w:rsidP="008073CA">
      <w:pPr>
        <w:rPr>
          <w:rFonts w:ascii="Times New Roman" w:hAnsi="Times New Roman" w:cs="Times New Roman"/>
        </w:rPr>
      </w:pPr>
    </w:p>
    <w:p w:rsidR="00D67B8E" w:rsidRDefault="00D67B8E"/>
    <w:sectPr w:rsidR="00D67B8E" w:rsidSect="00EF574D">
      <w:headerReference w:type="default" r:id="rId5"/>
      <w:pgSz w:w="12240" w:h="15840"/>
      <w:pgMar w:top="1699" w:right="1699" w:bottom="2275" w:left="2275"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5046461"/>
      <w:docPartObj>
        <w:docPartGallery w:val="Page Numbers (Top of Page)"/>
        <w:docPartUnique/>
      </w:docPartObj>
    </w:sdtPr>
    <w:sdtEndPr>
      <w:rPr>
        <w:rFonts w:ascii="Times New Roman" w:hAnsi="Times New Roman" w:cs="Times New Roman"/>
      </w:rPr>
    </w:sdtEndPr>
    <w:sdtContent>
      <w:p w:rsidR="00EF574D" w:rsidRPr="00437F68" w:rsidRDefault="008073CA">
        <w:pPr>
          <w:pStyle w:val="Header"/>
          <w:jc w:val="right"/>
          <w:rPr>
            <w:rFonts w:ascii="Times New Roman" w:hAnsi="Times New Roman" w:cs="Times New Roman"/>
            <w:sz w:val="24"/>
            <w:szCs w:val="24"/>
          </w:rPr>
        </w:pPr>
        <w:r w:rsidRPr="00437F68">
          <w:rPr>
            <w:rFonts w:ascii="Times New Roman" w:hAnsi="Times New Roman" w:cs="Times New Roman"/>
            <w:sz w:val="24"/>
            <w:szCs w:val="24"/>
          </w:rPr>
          <w:fldChar w:fldCharType="begin"/>
        </w:r>
        <w:r w:rsidRPr="00437F68">
          <w:rPr>
            <w:rFonts w:ascii="Times New Roman" w:hAnsi="Times New Roman" w:cs="Times New Roman"/>
            <w:sz w:val="24"/>
            <w:szCs w:val="24"/>
          </w:rPr>
          <w:instrText xml:space="preserve"> PAGE   \* MERGEFORMAT </w:instrText>
        </w:r>
        <w:r w:rsidRPr="00437F68">
          <w:rPr>
            <w:rFonts w:ascii="Times New Roman" w:hAnsi="Times New Roman" w:cs="Times New Roman"/>
            <w:sz w:val="24"/>
            <w:szCs w:val="24"/>
          </w:rPr>
          <w:fldChar w:fldCharType="separate"/>
        </w:r>
        <w:r>
          <w:rPr>
            <w:rFonts w:ascii="Times New Roman" w:hAnsi="Times New Roman" w:cs="Times New Roman"/>
            <w:noProof/>
            <w:sz w:val="24"/>
            <w:szCs w:val="24"/>
          </w:rPr>
          <w:t>1</w:t>
        </w:r>
        <w:r w:rsidRPr="00437F68">
          <w:rPr>
            <w:rFonts w:ascii="Times New Roman" w:hAnsi="Times New Roman" w:cs="Times New Roman"/>
            <w:sz w:val="24"/>
            <w:szCs w:val="24"/>
          </w:rPr>
          <w:fldChar w:fldCharType="end"/>
        </w:r>
      </w:p>
    </w:sdtContent>
  </w:sdt>
  <w:p w:rsidR="007D18A1" w:rsidRDefault="008073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66F"/>
    <w:multiLevelType w:val="hybridMultilevel"/>
    <w:tmpl w:val="AB5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5300C"/>
    <w:multiLevelType w:val="hybridMultilevel"/>
    <w:tmpl w:val="B98221BC"/>
    <w:lvl w:ilvl="0" w:tplc="8B6C201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978BB"/>
    <w:multiLevelType w:val="hybridMultilevel"/>
    <w:tmpl w:val="90D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301E3"/>
    <w:multiLevelType w:val="hybridMultilevel"/>
    <w:tmpl w:val="3BF8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F02EE"/>
    <w:multiLevelType w:val="hybridMultilevel"/>
    <w:tmpl w:val="B15A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73CA"/>
    <w:rsid w:val="008073CA"/>
    <w:rsid w:val="00D67B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73CA"/>
    <w:pPr>
      <w:ind w:left="720"/>
      <w:contextualSpacing/>
    </w:pPr>
  </w:style>
  <w:style w:type="paragraph" w:styleId="FootnoteText">
    <w:name w:val="footnote text"/>
    <w:aliases w:val=" Char,Footnote Text Char Char Char Char,Footnote Text Char Char Char,Footnote Text Char Char,Footnote Text Char Char Char Char Char Char Char,Footnote Text Char Char Char Char Char Char,Char"/>
    <w:basedOn w:val="Normal"/>
    <w:link w:val="FootnoteTextChar"/>
    <w:uiPriority w:val="99"/>
    <w:unhideWhenUsed/>
    <w:rsid w:val="008073CA"/>
    <w:pPr>
      <w:spacing w:after="0" w:line="240" w:lineRule="auto"/>
    </w:pPr>
    <w:rPr>
      <w:rFonts w:ascii="Calibri" w:eastAsia="Calibri" w:hAnsi="Calibri" w:cs="Times New Roman"/>
      <w:sz w:val="20"/>
      <w:szCs w:val="20"/>
    </w:rPr>
  </w:style>
  <w:style w:type="character" w:customStyle="1" w:styleId="FootnoteTextChar">
    <w:name w:val="Footnote Text Char"/>
    <w:aliases w:val=" Char Char,Footnote Text Char Char Char Char Char,Footnote Text Char Char Char Char1,Footnote Text Char Char Char1,Footnote Text Char Char Char Char Char Char Char Char,Footnote Text Char Char Char Char Char Char Char1,Char Char"/>
    <w:basedOn w:val="DefaultParagraphFont"/>
    <w:link w:val="FootnoteText"/>
    <w:uiPriority w:val="99"/>
    <w:rsid w:val="008073CA"/>
    <w:rPr>
      <w:rFonts w:ascii="Calibri" w:eastAsia="Calibri" w:hAnsi="Calibri" w:cs="Times New Roman"/>
      <w:sz w:val="20"/>
      <w:szCs w:val="20"/>
      <w:lang w:val="en-US"/>
    </w:rPr>
  </w:style>
  <w:style w:type="table" w:styleId="TableGrid">
    <w:name w:val="Table Grid"/>
    <w:basedOn w:val="TableNormal"/>
    <w:uiPriority w:val="59"/>
    <w:rsid w:val="008073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8073CA"/>
    <w:rPr>
      <w:lang w:val="en-US"/>
    </w:rPr>
  </w:style>
  <w:style w:type="paragraph" w:styleId="Header">
    <w:name w:val="header"/>
    <w:basedOn w:val="Normal"/>
    <w:link w:val="HeaderChar"/>
    <w:uiPriority w:val="99"/>
    <w:unhideWhenUsed/>
    <w:rsid w:val="0080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C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2019-04-10T15:49:00Z</dcterms:created>
  <dcterms:modified xsi:type="dcterms:W3CDTF">2019-04-10T15:50:00Z</dcterms:modified>
</cp:coreProperties>
</file>