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6.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150813</wp:posOffset>
                </wp:positionH>
                <wp:positionV relativeFrom="paragraph">
                  <wp:posOffset>-65080</wp:posOffset>
                </wp:positionV>
                <wp:extent cx="5591175" cy="1101725"/>
                <wp:effectExtent b="0" l="0" r="0" t="0"/>
                <wp:wrapNone/>
                <wp:docPr id="6" name=""/>
                <a:graphic>
                  <a:graphicData uri="http://schemas.microsoft.com/office/word/2010/wordprocessingShape">
                    <wps:wsp>
                      <wps:cNvSpPr/>
                      <wps:cNvPr id="20" name="Shape 20"/>
                      <wps:spPr>
                        <a:xfrm>
                          <a:off x="2578988" y="3257713"/>
                          <a:ext cx="5534025" cy="1044575"/>
                        </a:xfrm>
                        <a:prstGeom prst="rect">
                          <a:avLst/>
                        </a:prstGeom>
                        <a:solidFill>
                          <a:srgbClr val="FFFFFF"/>
                        </a:solidFill>
                        <a:ln>
                          <a:noFill/>
                        </a:ln>
                      </wps:spPr>
                      <wps:txbx>
                        <w:txbxContent>
                          <w:p w:rsidR="00000000" w:rsidDel="00000000" w:rsidP="00000000" w:rsidRDefault="00000000" w:rsidRPr="00000000">
                            <w:pPr>
                              <w:spacing w:after="0" w:before="0" w:line="258.0000114440918"/>
                              <w:ind w:left="0" w:right="0" w:firstLine="0"/>
                              <w:jc w:val="center"/>
                              <w:textDirection w:val="btLr"/>
                            </w:pPr>
                            <w:r w:rsidDel="00000000" w:rsidR="00000000" w:rsidRPr="00000000">
                              <w:rPr>
                                <w:rFonts w:ascii="Arial" w:cs="Arial" w:eastAsia="Arial" w:hAnsi="Arial"/>
                                <w:b w:val="1"/>
                                <w:i w:val="0"/>
                                <w:smallCaps w:val="0"/>
                                <w:strike w:val="0"/>
                                <w:color w:val="4472c4"/>
                                <w:sz w:val="72"/>
                                <w:vertAlign w:val="baseline"/>
                              </w:rPr>
                              <w:t xml:space="preserve">EDU</w:t>
                            </w:r>
                            <w:r w:rsidDel="00000000" w:rsidR="00000000" w:rsidRPr="00000000">
                              <w:rPr>
                                <w:rFonts w:ascii="Arial" w:cs="Arial" w:eastAsia="Arial" w:hAnsi="Arial"/>
                                <w:b w:val="0"/>
                                <w:i w:val="0"/>
                                <w:smallCaps w:val="0"/>
                                <w:strike w:val="0"/>
                                <w:color w:val="ed7d31"/>
                                <w:sz w:val="72"/>
                                <w:vertAlign w:val="baseline"/>
                              </w:rPr>
                              <w:t xml:space="preserve">LIB </w:t>
                            </w:r>
                          </w:p>
                          <w:p w:rsidR="00000000" w:rsidDel="00000000" w:rsidP="00000000" w:rsidRDefault="00000000" w:rsidRPr="00000000">
                            <w:pPr>
                              <w:spacing w:after="0" w:before="0" w:line="258.0000114440918"/>
                              <w:ind w:left="0" w:right="0" w:firstLine="0"/>
                              <w:jc w:val="center"/>
                              <w:textDirection w:val="btLr"/>
                            </w:pPr>
                            <w:r w:rsidDel="00000000" w:rsidR="00000000" w:rsidRPr="00000000">
                              <w:rPr>
                                <w:rFonts w:ascii="Arial" w:cs="Arial" w:eastAsia="Arial" w:hAnsi="Arial"/>
                                <w:b w:val="0"/>
                                <w:i w:val="0"/>
                                <w:smallCaps w:val="0"/>
                                <w:strike w:val="0"/>
                                <w:color w:val="ed7d31"/>
                                <w:sz w:val="72"/>
                                <w:vertAlign w:val="baseline"/>
                              </w:rPr>
                            </w:r>
                            <w:r w:rsidDel="00000000" w:rsidR="00000000" w:rsidRPr="00000000">
                              <w:rPr>
                                <w:rFonts w:ascii="Arial" w:cs="Arial" w:eastAsia="Arial" w:hAnsi="Arial"/>
                                <w:b w:val="1"/>
                                <w:i w:val="0"/>
                                <w:smallCaps w:val="0"/>
                                <w:strike w:val="0"/>
                                <w:color w:val="000000"/>
                                <w:sz w:val="22"/>
                                <w:vertAlign w:val="baseline"/>
                              </w:rPr>
                              <w:t xml:space="preserve">Journal of Library and Information Science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4"/>
                                <w:vertAlign w:val="baseline"/>
                              </w:rPr>
                              <w:t xml:space="preserve">Journal homepage: </w:t>
                            </w:r>
                            <w:r w:rsidDel="00000000" w:rsidR="00000000" w:rsidRPr="00000000">
                              <w:rPr>
                                <w:rFonts w:ascii="Calibri" w:cs="Calibri" w:eastAsia="Calibri" w:hAnsi="Calibri"/>
                                <w:b w:val="0"/>
                                <w:i w:val="0"/>
                                <w:smallCaps w:val="0"/>
                                <w:strike w:val="0"/>
                                <w:color w:val="0000ff"/>
                                <w:sz w:val="24"/>
                                <w:u w:val="single"/>
                                <w:vertAlign w:val="baseline"/>
                              </w:rPr>
                              <w:t xml:space="preserve">http://ejournal.upi.edu/index.php/edulib/index</w:t>
                            </w:r>
                          </w:p>
                          <w:p w:rsidR="00000000" w:rsidDel="00000000" w:rsidP="00000000" w:rsidRDefault="00000000" w:rsidRPr="00000000">
                            <w:pPr>
                              <w:spacing w:after="16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ff"/>
                                <w:sz w:val="24"/>
                                <w:u w:val="single"/>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150813</wp:posOffset>
                </wp:positionH>
                <wp:positionV relativeFrom="paragraph">
                  <wp:posOffset>-65080</wp:posOffset>
                </wp:positionV>
                <wp:extent cx="5591175" cy="1101725"/>
                <wp:effectExtent b="0" l="0" r="0" t="0"/>
                <wp:wrapNone/>
                <wp:docPr id="6" name="image9.png"/>
                <a:graphic>
                  <a:graphicData uri="http://schemas.openxmlformats.org/drawingml/2006/picture">
                    <pic:pic>
                      <pic:nvPicPr>
                        <pic:cNvPr id="0" name="image9.png"/>
                        <pic:cNvPicPr preferRelativeResize="0"/>
                      </pic:nvPicPr>
                      <pic:blipFill>
                        <a:blip r:embed="rId7"/>
                        <a:srcRect/>
                        <a:stretch>
                          <a:fillRect/>
                        </a:stretch>
                      </pic:blipFill>
                      <pic:spPr>
                        <a:xfrm>
                          <a:off x="0" y="0"/>
                          <a:ext cx="5591175" cy="1101725"/>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-560382</wp:posOffset>
                </wp:positionH>
                <wp:positionV relativeFrom="paragraph">
                  <wp:posOffset>-451160</wp:posOffset>
                </wp:positionV>
                <wp:extent cx="6877050" cy="314325"/>
                <wp:effectExtent b="0" l="0" r="0" t="0"/>
                <wp:wrapNone/>
                <wp:docPr id="1" name=""/>
                <a:graphic>
                  <a:graphicData uri="http://schemas.microsoft.com/office/word/2010/wordprocessingShape">
                    <wps:wsp>
                      <wps:cNvSpPr/>
                      <wps:cNvPr id="2" name="Shape 2"/>
                      <wps:spPr>
                        <a:xfrm>
                          <a:off x="1936050" y="3651413"/>
                          <a:ext cx="6819900" cy="257175"/>
                        </a:xfrm>
                        <a:prstGeom prst="rect">
                          <a:avLst/>
                        </a:prstGeom>
                        <a:solidFill>
                          <a:srgbClr val="FFFFFF"/>
                        </a:solidFill>
                        <a:ln>
                          <a:noFill/>
                        </a:ln>
                      </wps:spPr>
                      <wps:txbx>
                        <w:txbxContent>
                          <w:p w:rsidR="00000000" w:rsidDel="00000000" w:rsidP="00000000" w:rsidRDefault="00000000" w:rsidRPr="00000000">
                            <w:pPr>
                              <w:spacing w:after="160" w:before="0" w:line="258.0000114440918"/>
                              <w:ind w:left="0" w:right="0" w:firstLine="0"/>
                              <w:jc w:val="center"/>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-560382</wp:posOffset>
                </wp:positionH>
                <wp:positionV relativeFrom="paragraph">
                  <wp:posOffset>-451160</wp:posOffset>
                </wp:positionV>
                <wp:extent cx="6877050" cy="314325"/>
                <wp:effectExtent b="0" l="0" r="0" t="0"/>
                <wp:wrapNone/>
                <wp:docPr id="1"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6877050" cy="31432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-527044</wp:posOffset>
            </wp:positionH>
            <wp:positionV relativeFrom="paragraph">
              <wp:posOffset>-120008</wp:posOffset>
            </wp:positionV>
            <wp:extent cx="990600" cy="990600"/>
            <wp:effectExtent b="0" l="0" r="0" t="0"/>
            <wp:wrapNone/>
            <wp:docPr id="10" name="image3.jpg"/>
            <a:graphic>
              <a:graphicData uri="http://schemas.openxmlformats.org/drawingml/2006/picture">
                <pic:pic>
                  <pic:nvPicPr>
                    <pic:cNvPr id="0" name="image3.jpg"/>
                    <pic:cNvPicPr preferRelativeResize="0"/>
                  </pic:nvPicPr>
                  <pic:blipFill>
                    <a:blip r:embed="rId8"/>
                    <a:srcRect b="33531" l="10304" r="12419" t="11761"/>
                    <a:stretch>
                      <a:fillRect/>
                    </a:stretch>
                  </pic:blipFill>
                  <pic:spPr>
                    <a:xfrm>
                      <a:off x="0" y="0"/>
                      <a:ext cx="990600" cy="9906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4784090</wp:posOffset>
            </wp:positionH>
            <wp:positionV relativeFrom="paragraph">
              <wp:posOffset>15240</wp:posOffset>
            </wp:positionV>
            <wp:extent cx="1590040" cy="736600"/>
            <wp:effectExtent b="0" l="0" r="0" t="0"/>
            <wp:wrapNone/>
            <wp:docPr id="9"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1590040" cy="736600"/>
                    </a:xfrm>
                    <a:prstGeom prst="rect"/>
                    <a:ln/>
                  </pic:spPr>
                </pic:pic>
              </a:graphicData>
            </a:graphic>
          </wp:anchor>
        </w:drawing>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-536570</wp:posOffset>
                </wp:positionH>
                <wp:positionV relativeFrom="paragraph">
                  <wp:posOffset>-149220</wp:posOffset>
                </wp:positionV>
                <wp:extent cx="31750" cy="31750"/>
                <wp:effectExtent b="0" l="0" r="0" t="0"/>
                <wp:wrapNone/>
                <wp:docPr id="3" name=""/>
                <a:graphic>
                  <a:graphicData uri="http://schemas.microsoft.com/office/word/2010/wordprocessingShape">
                    <wps:wsp>
                      <wps:cNvCnPr/>
                      <wps:spPr>
                        <a:xfrm>
                          <a:off x="1926843" y="3780000"/>
                          <a:ext cx="6838315" cy="0"/>
                        </a:xfrm>
                        <a:prstGeom prst="straightConnector1">
                          <a:avLst/>
                        </a:prstGeom>
                        <a:noFill/>
                        <a:ln cap="flat" cmpd="sng" w="9525">
                          <a:solidFill>
                            <a:schemeClr val="accent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-536570</wp:posOffset>
                </wp:positionH>
                <wp:positionV relativeFrom="paragraph">
                  <wp:posOffset>-149220</wp:posOffset>
                </wp:positionV>
                <wp:extent cx="31750" cy="31750"/>
                <wp:effectExtent b="0" l="0" r="0" t="0"/>
                <wp:wrapNone/>
                <wp:docPr id="3"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31750" cy="31750"/>
                        </a:xfrm>
                        <a:prstGeom prst="rect"/>
                        <a:ln/>
                      </pic:spPr>
                    </pic:pic>
                  </a:graphicData>
                </a:graphic>
              </wp:anchor>
            </w:drawing>
          </mc:Fallback>
        </mc:AlternateContent>
      </w:r>
    </w:p>
    <w:p w:rsidR="00000000" w:rsidDel="00000000" w:rsidP="00000000" w:rsidRDefault="00000000" w:rsidRPr="00000000" w14:paraId="00000002">
      <w:pPr>
        <w:spacing w:line="240" w:lineRule="auto"/>
        <w:rPr/>
      </w:pPr>
      <w:r w:rsidDel="00000000" w:rsidR="00000000" w:rsidRPr="00000000">
        <w:rPr>
          <w:rtl w:val="0"/>
        </w:rPr>
      </w:r>
    </w:p>
    <w:p w:rsidR="00000000" w:rsidDel="00000000" w:rsidP="00000000" w:rsidRDefault="00000000" w:rsidRPr="00000000" w14:paraId="00000003">
      <w:pPr>
        <w:spacing w:line="240" w:lineRule="auto"/>
        <w:rPr/>
      </w:pPr>
      <w:r w:rsidDel="00000000" w:rsidR="00000000" w:rsidRPr="00000000">
        <w:rPr>
          <w:rtl w:val="0"/>
        </w:rPr>
      </w:r>
    </w:p>
    <w:bookmarkStart w:colFirst="0" w:colLast="0" w:name="bookmark=id.gjdgxs" w:id="0"/>
    <w:bookmarkEnd w:id="0"/>
    <w:p w:rsidR="00000000" w:rsidDel="00000000" w:rsidP="00000000" w:rsidRDefault="00000000" w:rsidRPr="00000000" w14:paraId="00000004">
      <w:pPr>
        <w:spacing w:line="240" w:lineRule="auto"/>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-520696</wp:posOffset>
                </wp:positionH>
                <wp:positionV relativeFrom="paragraph">
                  <wp:posOffset>215900</wp:posOffset>
                </wp:positionV>
                <wp:extent cx="6839585" cy="35560"/>
                <wp:effectExtent b="0" l="0" r="0" t="0"/>
                <wp:wrapNone/>
                <wp:docPr id="7" name=""/>
                <a:graphic>
                  <a:graphicData uri="http://schemas.microsoft.com/office/word/2010/wordprocessingGroup">
                    <wpg:wgp>
                      <wpg:cNvGrpSpPr/>
                      <wpg:grpSpPr>
                        <a:xfrm>
                          <a:off x="1926200" y="3761475"/>
                          <a:ext cx="6839585" cy="35560"/>
                          <a:chOff x="1926200" y="3761475"/>
                          <a:chExt cx="6839600" cy="37050"/>
                        </a:xfrm>
                      </wpg:grpSpPr>
                      <wpg:grpSp>
                        <wpg:cNvGrpSpPr/>
                        <wpg:grpSpPr>
                          <a:xfrm>
                            <a:off x="1926208" y="3762220"/>
                            <a:ext cx="6839585" cy="35560"/>
                            <a:chOff x="1926200" y="3760725"/>
                            <a:chExt cx="6839600" cy="38550"/>
                          </a:xfrm>
                        </wpg:grpSpPr>
                        <wps:wsp>
                          <wps:cNvSpPr/>
                          <wps:cNvPr id="7" name="Shape 7"/>
                          <wps:spPr>
                            <a:xfrm>
                              <a:off x="1926200" y="3760725"/>
                              <a:ext cx="6839600" cy="38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926208" y="3762220"/>
                              <a:ext cx="6839585" cy="35560"/>
                              <a:chOff x="1926200" y="3758900"/>
                              <a:chExt cx="6839600" cy="42200"/>
                            </a:xfrm>
                          </wpg:grpSpPr>
                          <wps:wsp>
                            <wps:cNvSpPr/>
                            <wps:cNvPr id="23" name="Shape 23"/>
                            <wps:spPr>
                              <a:xfrm>
                                <a:off x="1926200" y="3758900"/>
                                <a:ext cx="6839600" cy="42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926208" y="3762220"/>
                                <a:ext cx="6839585" cy="35560"/>
                                <a:chOff x="1926200" y="3752675"/>
                                <a:chExt cx="6839600" cy="54650"/>
                              </a:xfrm>
                            </wpg:grpSpPr>
                            <wps:wsp>
                              <wps:cNvSpPr/>
                              <wps:cNvPr id="25" name="Shape 25"/>
                              <wps:spPr>
                                <a:xfrm>
                                  <a:off x="1926200" y="3752675"/>
                                  <a:ext cx="6839600" cy="546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926208" y="3762220"/>
                                  <a:ext cx="6839585" cy="35560"/>
                                  <a:chOff x="0" y="0"/>
                                  <a:chExt cx="6883324" cy="39756"/>
                                </a:xfrm>
                              </wpg:grpSpPr>
                              <wps:wsp>
                                <wps:cNvSpPr/>
                                <wps:cNvPr id="27" name="Shape 27"/>
                                <wps:spPr>
                                  <a:xfrm>
                                    <a:off x="0" y="0"/>
                                    <a:ext cx="6883300" cy="39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0" y="0"/>
                                    <a:ext cx="6883324" cy="0"/>
                                  </a:xfrm>
                                  <a:prstGeom prst="straightConnector1">
                                    <a:avLst/>
                                  </a:prstGeom>
                                  <a:noFill/>
                                  <a:ln cap="flat" cmpd="sng" w="19050">
                                    <a:solidFill>
                                      <a:schemeClr val="accent1"/>
                                    </a:solidFill>
                                    <a:prstDash val="solid"/>
                                    <a:miter lim="800000"/>
                                    <a:headEnd len="sm" w="sm" type="none"/>
                                    <a:tailEnd len="sm" w="sm" type="none"/>
                                  </a:ln>
                                </wps:spPr>
                                <wps:bodyPr anchorCtr="0" anchor="ctr" bIns="91425" lIns="91425" spcFirstLastPara="1" rIns="91425" wrap="square" tIns="91425">
                                  <a:noAutofit/>
                                </wps:bodyPr>
                              </wps:wsp>
                              <wps:wsp>
                                <wps:cNvCnPr/>
                                <wps:spPr>
                                  <a:xfrm>
                                    <a:off x="0" y="39756"/>
                                    <a:ext cx="6882765" cy="0"/>
                                  </a:xfrm>
                                  <a:prstGeom prst="straightConnector1">
                                    <a:avLst/>
                                  </a:prstGeom>
                                  <a:noFill/>
                                  <a:ln cap="flat" cmpd="sng" w="19050">
                                    <a:solidFill>
                                      <a:schemeClr val="accent1"/>
                                    </a:solidFill>
                                    <a:prstDash val="solid"/>
                                    <a:miter lim="800000"/>
                                    <a:headEnd len="sm" w="sm" type="none"/>
                                    <a:tailEnd len="sm" w="sm" type="none"/>
                                  </a:ln>
                                </wps:spPr>
                                <wps:bodyPr anchorCtr="0" anchor="ctr" bIns="91425" lIns="91425" spcFirstLastPara="1" rIns="91425" wrap="square" tIns="91425">
                                  <a:noAutofit/>
                                </wps:bodyPr>
                              </wps:wsp>
                            </wpg:grpSp>
                          </wpg:grp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-520696</wp:posOffset>
                </wp:positionH>
                <wp:positionV relativeFrom="paragraph">
                  <wp:posOffset>215900</wp:posOffset>
                </wp:positionV>
                <wp:extent cx="6839585" cy="35560"/>
                <wp:effectExtent b="0" l="0" r="0" t="0"/>
                <wp:wrapNone/>
                <wp:docPr id="7" name="image10.png"/>
                <a:graphic>
                  <a:graphicData uri="http://schemas.openxmlformats.org/drawingml/2006/picture">
                    <pic:pic>
                      <pic:nvPicPr>
                        <pic:cNvPr id="0" name="image10.png"/>
                        <pic:cNvPicPr preferRelativeResize="0"/>
                      </pic:nvPicPr>
                      <pic:blipFill>
                        <a:blip r:embed="rId7"/>
                        <a:srcRect/>
                        <a:stretch>
                          <a:fillRect/>
                        </a:stretch>
                      </pic:blipFill>
                      <pic:spPr>
                        <a:xfrm>
                          <a:off x="0" y="0"/>
                          <a:ext cx="6839585" cy="35560"/>
                        </a:xfrm>
                        <a:prstGeom prst="rect"/>
                        <a:ln/>
                      </pic:spPr>
                    </pic:pic>
                  </a:graphicData>
                </a:graphic>
              </wp:anchor>
            </w:drawing>
          </mc:Fallback>
        </mc:AlternateContent>
      </w:r>
    </w:p>
    <w:p w:rsidR="00000000" w:rsidDel="00000000" w:rsidP="00000000" w:rsidRDefault="00000000" w:rsidRPr="00000000" w14:paraId="00000005">
      <w:pPr>
        <w:spacing w:after="280" w:before="280" w:line="276" w:lineRule="auto"/>
        <w:jc w:val="center"/>
        <w:rPr>
          <w:rFonts w:ascii="Constantia" w:cs="Constantia" w:eastAsia="Constantia" w:hAnsi="Constantia"/>
          <w:b w:val="1"/>
          <w:bCs w:val="1"/>
          <w:sz w:val="32"/>
          <w:szCs w:val="32"/>
        </w:rPr>
      </w:pPr>
      <w:r w:rsidDel="00000000" w:rsidR="00000000" w:rsidRPr="00000000">
        <w:rPr>
          <w:rFonts w:ascii="Constantia" w:cs="Constantia" w:eastAsia="Constantia" w:hAnsi="Constantia"/>
          <w:b w:val="1"/>
          <w:bCs w:val="1"/>
          <w:sz w:val="32"/>
          <w:szCs w:val="32"/>
          <w:rtl w:val="0"/>
        </w:rPr>
        <w:t xml:space="preserve">The Role of School Libraries in Eradicating Functional Illiteracy: A Case Study at SMPN 1 Pancur Batu</w:t>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center" w:leader="none" w:pos="4513"/>
          <w:tab w:val="left" w:leader="none" w:pos="5397"/>
        </w:tabs>
        <w:spacing w:after="0" w:line="240" w:lineRule="auto"/>
        <w:rPr>
          <w:i w:val="1"/>
          <w:iCs w:val="1"/>
          <w:color w:val="000000"/>
          <w:sz w:val="20"/>
          <w:szCs w:val="20"/>
        </w:rPr>
      </w:pPr>
      <w:r w:rsidDel="00000000" w:rsidR="00000000" w:rsidRPr="00000000">
        <w:rPr>
          <w:i w:val="1"/>
          <w:iCs w:val="1"/>
          <w:color w:val="000000"/>
          <w:sz w:val="20"/>
          <w:szCs w:val="20"/>
          <w:rtl w:val="0"/>
        </w:rPr>
        <w:tab/>
        <w:t xml:space="preserve">Ayu Safitri, Khoirul Jamil</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line="240" w:lineRule="auto"/>
        <w:jc w:val="center"/>
        <w:rPr>
          <w:color w:val="000000"/>
          <w:sz w:val="10"/>
          <w:szCs w:val="10"/>
        </w:rPr>
      </w:pPr>
      <w:r w:rsidDel="00000000" w:rsidR="00000000" w:rsidRPr="00000000">
        <w:rPr>
          <w:rtl w:val="0"/>
        </w:rPr>
      </w:r>
    </w:p>
    <w:p w:rsidR="00000000" w:rsidDel="00000000" w:rsidP="00000000" w:rsidRDefault="00000000" w:rsidRPr="00000000" w14:paraId="00000008">
      <w:pPr>
        <w:tabs>
          <w:tab w:val="left" w:leader="none" w:pos="993"/>
        </w:tabs>
        <w:spacing w:line="276" w:lineRule="auto"/>
        <w:jc w:val="center"/>
        <w:rPr>
          <w:i w:val="1"/>
          <w:iCs w:val="1"/>
          <w:sz w:val="20"/>
          <w:szCs w:val="20"/>
        </w:rPr>
      </w:pPr>
      <w:r w:rsidDel="00000000" w:rsidR="00000000" w:rsidRPr="00000000">
        <w:rPr>
          <w:i w:val="1"/>
          <w:iCs w:val="1"/>
          <w:sz w:val="20"/>
          <w:szCs w:val="20"/>
          <w:rtl w:val="0"/>
        </w:rPr>
        <w:t xml:space="preserve">Universitas Islam Negeri Sumatera Utara Medan, Indonesia</w:t>
      </w:r>
    </w:p>
    <w:p w:rsidR="00000000" w:rsidDel="00000000" w:rsidP="00000000" w:rsidRDefault="00000000" w:rsidRPr="00000000" w14:paraId="00000009">
      <w:pPr>
        <w:tabs>
          <w:tab w:val="left" w:leader="none" w:pos="1560"/>
        </w:tabs>
        <w:spacing w:after="0" w:line="240" w:lineRule="auto"/>
        <w:jc w:val="center"/>
        <w:rPr/>
      </w:pPr>
      <w:hyperlink r:id="rId10">
        <w:r w:rsidDel="00000000" w:rsidR="00000000" w:rsidRPr="00000000">
          <w:rPr>
            <w:color w:val="0000ff"/>
            <w:sz w:val="20"/>
            <w:szCs w:val="20"/>
            <w:u w:val="single"/>
            <w:rtl w:val="0"/>
          </w:rPr>
          <w:t xml:space="preserve">ayu0601223039@uinsu.ac.id</w:t>
        </w:r>
      </w:hyperlink>
      <w:r w:rsidDel="00000000" w:rsidR="00000000" w:rsidRPr="00000000">
        <w:rPr>
          <w:sz w:val="20"/>
          <w:szCs w:val="20"/>
          <w:rtl w:val="0"/>
        </w:rPr>
        <w:t xml:space="preserve">, </w:t>
      </w:r>
      <w:hyperlink r:id="rId11">
        <w:r w:rsidDel="00000000" w:rsidR="00000000" w:rsidRPr="00000000">
          <w:rPr>
            <w:color w:val="0000ff"/>
            <w:sz w:val="20"/>
            <w:szCs w:val="20"/>
            <w:u w:val="single"/>
            <w:rtl w:val="0"/>
          </w:rPr>
          <w:t xml:space="preserve">khoiruljamil@uinsu.ac.id</w:t>
        </w:r>
      </w:hyperlink>
      <w:r w:rsidDel="00000000" w:rsidR="00000000" w:rsidRPr="00000000">
        <w:rPr>
          <w:rtl w:val="0"/>
        </w:rPr>
      </w:r>
    </w:p>
    <w:tbl>
      <w:tblPr>
        <w:tblStyle w:val="Table1"/>
        <w:tblW w:w="9090.000000000002" w:type="dxa"/>
        <w:jc w:val="left"/>
        <w:tblInd w:w="-70.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6102"/>
        <w:gridCol w:w="317"/>
        <w:gridCol w:w="2671"/>
        <w:tblGridChange w:id="0">
          <w:tblGrid>
            <w:gridCol w:w="6102"/>
            <w:gridCol w:w="317"/>
            <w:gridCol w:w="2671"/>
          </w:tblGrid>
        </w:tblGridChange>
      </w:tblGrid>
      <w:tr>
        <w:trPr>
          <w:cantSplit w:val="0"/>
          <w:tblHeader w:val="0"/>
        </w:trPr>
        <w:tc>
          <w:tcPr>
            <w:tcBorders>
              <w:top w:color="9cc2e5" w:space="0" w:sz="12" w:val="single"/>
              <w:bottom w:color="9cc2e5" w:space="0" w:sz="12" w:val="single"/>
            </w:tcBorders>
          </w:tcPr>
          <w:p w:rsidR="00000000" w:rsidDel="00000000" w:rsidP="00000000" w:rsidRDefault="00000000" w:rsidRPr="00000000" w14:paraId="0000000A">
            <w:pPr>
              <w:spacing w:after="0" w:line="240" w:lineRule="auto"/>
              <w:jc w:val="left"/>
              <w:rPr>
                <w:rFonts w:ascii="Roboto" w:cs="Roboto" w:eastAsia="Roboto" w:hAnsi="Roboto"/>
                <w:b w:val="1"/>
                <w:bCs w:val="1"/>
              </w:rPr>
            </w:pPr>
            <w:r w:rsidDel="00000000" w:rsidR="00000000" w:rsidRPr="00000000">
              <w:rPr>
                <w:rFonts w:ascii="Roboto" w:cs="Roboto" w:eastAsia="Roboto" w:hAnsi="Roboto"/>
                <w:b w:val="1"/>
                <w:bCs w:val="1"/>
                <w:rtl w:val="0"/>
              </w:rPr>
              <w:t xml:space="preserve">A B S T R A C T </w:t>
            </w:r>
          </w:p>
        </w:tc>
        <w:tc>
          <w:tcPr/>
          <w:p w:rsidR="00000000" w:rsidDel="00000000" w:rsidP="00000000" w:rsidRDefault="00000000" w:rsidRPr="00000000" w14:paraId="0000000B">
            <w:pPr>
              <w:spacing w:after="0" w:line="240" w:lineRule="auto"/>
              <w:jc w:val="center"/>
              <w:rPr/>
            </w:pPr>
            <w:r w:rsidDel="00000000" w:rsidR="00000000" w:rsidRPr="00000000">
              <w:rPr>
                <w:rtl w:val="0"/>
              </w:rPr>
            </w:r>
          </w:p>
        </w:tc>
        <w:tc>
          <w:tcPr>
            <w:tcBorders>
              <w:top w:color="9cc2e5" w:space="0" w:sz="12" w:val="single"/>
              <w:left w:color="000000" w:space="0" w:sz="0" w:val="nil"/>
              <w:bottom w:color="9cc2e5" w:space="0" w:sz="12" w:val="single"/>
            </w:tcBorders>
          </w:tcPr>
          <w:p w:rsidR="00000000" w:rsidDel="00000000" w:rsidP="00000000" w:rsidRDefault="00000000" w:rsidRPr="00000000" w14:paraId="0000000C">
            <w:pPr>
              <w:spacing w:after="0" w:line="240" w:lineRule="auto"/>
              <w:jc w:val="center"/>
              <w:rPr>
                <w:rFonts w:ascii="Roboto" w:cs="Roboto" w:eastAsia="Roboto" w:hAnsi="Roboto"/>
                <w:b w:val="1"/>
                <w:bCs w:val="1"/>
              </w:rPr>
            </w:pPr>
            <w:r w:rsidDel="00000000" w:rsidR="00000000" w:rsidRPr="00000000">
              <w:rPr>
                <w:rFonts w:ascii="Roboto" w:cs="Roboto" w:eastAsia="Roboto" w:hAnsi="Roboto"/>
                <w:b w:val="1"/>
                <w:bCs w:val="1"/>
                <w:rtl w:val="0"/>
              </w:rPr>
              <w:t xml:space="preserve">A R T I C L E   I N F O</w:t>
            </w:r>
          </w:p>
        </w:tc>
      </w:tr>
      <w:tr>
        <w:trPr>
          <w:cantSplit w:val="0"/>
          <w:trHeight w:val="6162" w:hRule="atLeast"/>
          <w:tblHeader w:val="0"/>
        </w:trPr>
        <w:tc>
          <w:tcPr>
            <w:tcBorders>
              <w:top w:color="9cc2e5" w:space="0" w:sz="12" w:val="single"/>
            </w:tcBorders>
          </w:tcPr>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research aims to analyze the role of the school library in overcoming functional illiteracy through the Gerakan Satu Jam Membaca (GSJM) program at SMP Negeri 1 Pancur Batu. Functional illiteracy is defined as a condition in which students are able to read mechanically but have difficulty understanding texts, thus requiring strategic intervention to bridge the gap.This research employs a qualitative approach with a case study design conducted over two months (February–March 2026). Informants were selected purposively, consisting of a librarian, teachers, and students identified as experiencing functional literacy barriers. Data were collected through semi-structured interviews, participatory observations, and documentation, with credibility tested using triangulation techniques and member checking. The results indicate that the GSJM program effectively improves students' comprehension skills through guided reading and read-aloud activities. There was a decrease in the number of students experiencing functional illiteracy from 20 to 5 students during the program period. The main supporting factor is the close collaboration between librarians and teachers, while inhibiting factors involve students' low internal motivation and limited literacy support from the family environment. In conclusion, the school library functions as a crucial literacy center, but its success requires continuous synergy between the school and parents.</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0"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0" w:line="276"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0" w:line="276" w:lineRule="auto"/>
              <w:jc w:val="both"/>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0" w:line="276"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 2026 Edulib</w:t>
            </w:r>
          </w:p>
        </w:tc>
        <w:tc>
          <w:tcPr/>
          <w:p w:rsidR="00000000" w:rsidDel="00000000" w:rsidP="00000000" w:rsidRDefault="00000000" w:rsidRPr="00000000" w14:paraId="00000012">
            <w:pPr>
              <w:spacing w:after="0" w:line="240" w:lineRule="auto"/>
              <w:rPr>
                <w:i w:val="1"/>
                <w:iCs w:val="1"/>
              </w:rPr>
            </w:pPr>
            <w:r w:rsidDel="00000000" w:rsidR="00000000" w:rsidRPr="00000000">
              <w:rPr>
                <w:rtl w:val="0"/>
              </w:rPr>
            </w:r>
          </w:p>
        </w:tc>
        <w:tc>
          <w:tcPr>
            <w:tcBorders>
              <w:top w:color="9cc2e5" w:space="0" w:sz="12" w:val="single"/>
            </w:tcBorders>
          </w:tcPr>
          <w:p w:rsidR="00000000" w:rsidDel="00000000" w:rsidP="00000000" w:rsidRDefault="00000000" w:rsidRPr="00000000" w14:paraId="00000013">
            <w:pPr>
              <w:spacing w:after="0" w:line="240" w:lineRule="auto"/>
              <w:rPr>
                <w:b w:val="1"/>
                <w:bCs w:val="1"/>
                <w:i w:val="1"/>
                <w:iCs w:val="1"/>
                <w:sz w:val="18"/>
                <w:szCs w:val="18"/>
              </w:rPr>
            </w:pPr>
            <w:r w:rsidDel="00000000" w:rsidR="00000000" w:rsidRPr="00000000">
              <w:rPr>
                <w:b w:val="1"/>
                <w:bCs w:val="1"/>
                <w:i w:val="1"/>
                <w:iCs w:val="1"/>
                <w:sz w:val="18"/>
                <w:szCs w:val="18"/>
                <w:rtl w:val="0"/>
              </w:rPr>
              <w:t xml:space="preserve">Article History:</w:t>
            </w:r>
          </w:p>
          <w:p w:rsidR="00000000" w:rsidDel="00000000" w:rsidP="00000000" w:rsidRDefault="00000000" w:rsidRPr="00000000" w14:paraId="00000014">
            <w:pPr>
              <w:spacing w:after="0" w:line="240" w:lineRule="auto"/>
              <w:rPr>
                <w:i w:val="1"/>
                <w:iCs w:val="1"/>
                <w:sz w:val="18"/>
                <w:szCs w:val="18"/>
              </w:rPr>
            </w:pPr>
            <w:r w:rsidDel="00000000" w:rsidR="00000000" w:rsidRPr="00000000">
              <w:rPr>
                <w:i w:val="1"/>
                <w:iCs w:val="1"/>
                <w:sz w:val="18"/>
                <w:szCs w:val="18"/>
                <w:rtl w:val="0"/>
              </w:rPr>
              <w:t xml:space="preserve">Submitted/Received 27 Apr 2026</w:t>
            </w:r>
          </w:p>
          <w:p w:rsidR="00000000" w:rsidDel="00000000" w:rsidP="00000000" w:rsidRDefault="00000000" w:rsidRPr="00000000" w14:paraId="00000015">
            <w:pPr>
              <w:spacing w:after="0" w:line="240" w:lineRule="auto"/>
              <w:rPr>
                <w:i w:val="1"/>
                <w:iCs w:val="1"/>
                <w:sz w:val="18"/>
                <w:szCs w:val="18"/>
              </w:rPr>
            </w:pPr>
            <w:r w:rsidDel="00000000" w:rsidR="00000000" w:rsidRPr="00000000">
              <w:rPr>
                <w:i w:val="1"/>
                <w:iCs w:val="1"/>
                <w:sz w:val="18"/>
                <w:szCs w:val="18"/>
                <w:rtl w:val="0"/>
              </w:rPr>
              <w:t xml:space="preserve">First Revised 28 Apr 2026</w:t>
            </w:r>
          </w:p>
          <w:p w:rsidR="00000000" w:rsidDel="00000000" w:rsidP="00000000" w:rsidRDefault="00000000" w:rsidRPr="00000000" w14:paraId="00000016">
            <w:pPr>
              <w:spacing w:after="0" w:line="240" w:lineRule="auto"/>
              <w:rPr>
                <w:i w:val="1"/>
                <w:iCs w:val="1"/>
                <w:sz w:val="18"/>
                <w:szCs w:val="18"/>
              </w:rPr>
            </w:pPr>
            <w:r w:rsidDel="00000000" w:rsidR="00000000" w:rsidRPr="00000000">
              <w:rPr>
                <w:i w:val="1"/>
                <w:iCs w:val="1"/>
                <w:sz w:val="18"/>
                <w:szCs w:val="18"/>
                <w:rtl w:val="0"/>
              </w:rPr>
              <w:t xml:space="preserve">second revision 29 Apr 2026</w:t>
            </w:r>
          </w:p>
          <w:p w:rsidR="00000000" w:rsidDel="00000000" w:rsidP="00000000" w:rsidRDefault="00000000" w:rsidRPr="00000000" w14:paraId="00000017">
            <w:pPr>
              <w:spacing w:after="0" w:line="240" w:lineRule="auto"/>
              <w:rPr>
                <w:i w:val="1"/>
                <w:iCs w:val="1"/>
                <w:sz w:val="18"/>
                <w:szCs w:val="18"/>
              </w:rPr>
            </w:pPr>
            <w:r w:rsidDel="00000000" w:rsidR="00000000" w:rsidRPr="00000000">
              <w:rPr>
                <w:i w:val="1"/>
                <w:iCs w:val="1"/>
                <w:sz w:val="18"/>
                <w:szCs w:val="18"/>
                <w:rtl w:val="0"/>
              </w:rPr>
              <w:t xml:space="preserve">third revision 30 Apr 2026</w:t>
            </w:r>
          </w:p>
          <w:p w:rsidR="00000000" w:rsidDel="00000000" w:rsidP="00000000" w:rsidRDefault="00000000" w:rsidRPr="00000000" w14:paraId="00000018">
            <w:pPr>
              <w:spacing w:after="0" w:line="240" w:lineRule="auto"/>
              <w:rPr>
                <w:i w:val="1"/>
                <w:iCs w:val="1"/>
                <w:sz w:val="18"/>
                <w:szCs w:val="18"/>
              </w:rPr>
            </w:pPr>
            <w:r w:rsidDel="00000000" w:rsidR="00000000" w:rsidRPr="00000000">
              <w:rPr>
                <w:i w:val="1"/>
                <w:iCs w:val="1"/>
                <w:sz w:val="18"/>
                <w:szCs w:val="18"/>
                <w:rtl w:val="0"/>
              </w:rPr>
              <w:t xml:space="preserve">Accepted  Apr 2026</w:t>
            </w:r>
          </w:p>
          <w:p w:rsidR="00000000" w:rsidDel="00000000" w:rsidP="00000000" w:rsidRDefault="00000000" w:rsidRPr="00000000" w14:paraId="00000019">
            <w:pPr>
              <w:spacing w:after="0" w:line="240" w:lineRule="auto"/>
              <w:rPr>
                <w:i w:val="1"/>
                <w:iCs w:val="1"/>
                <w:sz w:val="18"/>
                <w:szCs w:val="18"/>
              </w:rPr>
            </w:pPr>
            <w:r w:rsidDel="00000000" w:rsidR="00000000" w:rsidRPr="00000000">
              <w:rPr>
                <w:i w:val="1"/>
                <w:iCs w:val="1"/>
                <w:sz w:val="18"/>
                <w:szCs w:val="18"/>
                <w:rtl w:val="0"/>
              </w:rPr>
              <w:t xml:space="preserve">First Available Online Apr 2026</w:t>
            </w:r>
          </w:p>
          <w:p w:rsidR="00000000" w:rsidDel="00000000" w:rsidP="00000000" w:rsidRDefault="00000000" w:rsidRPr="00000000" w14:paraId="0000001A">
            <w:pPr>
              <w:spacing w:after="0" w:line="240" w:lineRule="auto"/>
              <w:rPr>
                <w:i w:val="1"/>
                <w:iCs w:val="1"/>
                <w:sz w:val="18"/>
                <w:szCs w:val="18"/>
              </w:rPr>
            </w:pPr>
            <w:r w:rsidDel="00000000" w:rsidR="00000000" w:rsidRPr="00000000">
              <w:rPr>
                <w:i w:val="1"/>
                <w:iCs w:val="1"/>
                <w:sz w:val="18"/>
                <w:szCs w:val="18"/>
                <w:rtl w:val="0"/>
              </w:rPr>
              <w:t xml:space="preserve">Publication Date Mei 2026</w:t>
            </w:r>
          </w:p>
          <w:p w:rsidR="00000000" w:rsidDel="00000000" w:rsidP="00000000" w:rsidRDefault="00000000" w:rsidRPr="00000000" w14:paraId="0000001B">
            <w:pPr>
              <w:spacing w:after="0" w:line="240" w:lineRule="auto"/>
              <w:rPr>
                <w:rFonts w:ascii="Calibri" w:cs="Calibri" w:eastAsia="Calibri" w:hAnsi="Calibri"/>
                <w:b w:val="1"/>
                <w:bCs w:val="1"/>
                <w:i w:val="1"/>
                <w:iCs w:val="1"/>
                <w:color w:val="00b0f0"/>
                <w:sz w:val="18"/>
                <w:szCs w:val="18"/>
              </w:rPr>
            </w:pPr>
            <w:r w:rsidDel="00000000" w:rsidR="00000000" w:rsidRPr="00000000">
              <w:rPr>
                <w:rFonts w:ascii="Calibri" w:cs="Calibri" w:eastAsia="Calibri" w:hAnsi="Calibri"/>
                <w:b w:val="1"/>
                <w:bCs w:val="1"/>
                <w:i w:val="1"/>
                <w:iCs w:val="1"/>
                <w:color w:val="00b0f0"/>
                <w:sz w:val="18"/>
                <w:szCs w:val="18"/>
                <w:rtl w:val="0"/>
              </w:rPr>
              <w:t xml:space="preserve">____________________</w:t>
            </w:r>
          </w:p>
          <w:p w:rsidR="00000000" w:rsidDel="00000000" w:rsidP="00000000" w:rsidRDefault="00000000" w:rsidRPr="00000000" w14:paraId="0000001C">
            <w:pPr>
              <w:spacing w:after="0" w:line="240" w:lineRule="auto"/>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Keywords:</w:t>
            </w:r>
          </w:p>
          <w:p w:rsidR="00000000" w:rsidDel="00000000" w:rsidP="00000000" w:rsidRDefault="00000000" w:rsidRPr="00000000" w14:paraId="0000001D">
            <w:pPr>
              <w:spacing w:after="0" w:line="240" w:lineRule="auto"/>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Functional illiteracy, </w:t>
            </w:r>
          </w:p>
          <w:p w:rsidR="00000000" w:rsidDel="00000000" w:rsidP="00000000" w:rsidRDefault="00000000" w:rsidRPr="00000000" w14:paraId="0000001E">
            <w:pPr>
              <w:spacing w:after="0" w:line="240" w:lineRule="auto"/>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Gerakan Satu Jam Membaca (GSJM), </w:t>
            </w:r>
          </w:p>
          <w:p w:rsidR="00000000" w:rsidDel="00000000" w:rsidP="00000000" w:rsidRDefault="00000000" w:rsidRPr="00000000" w14:paraId="0000001F">
            <w:pPr>
              <w:spacing w:after="0" w:line="240" w:lineRule="auto"/>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literacy program, </w:t>
            </w:r>
          </w:p>
          <w:p w:rsidR="00000000" w:rsidDel="00000000" w:rsidP="00000000" w:rsidRDefault="00000000" w:rsidRPr="00000000" w14:paraId="00000020">
            <w:pPr>
              <w:spacing w:after="0" w:line="240" w:lineRule="auto"/>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reading literacy,</w:t>
            </w:r>
          </w:p>
          <w:p w:rsidR="00000000" w:rsidDel="00000000" w:rsidP="00000000" w:rsidRDefault="00000000" w:rsidRPr="00000000" w14:paraId="00000021">
            <w:pPr>
              <w:spacing w:after="0" w:line="240" w:lineRule="auto"/>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school library</w:t>
            </w:r>
            <w:r w:rsidDel="00000000" w:rsidR="00000000" w:rsidRPr="00000000">
              <w:rPr>
                <w:rFonts w:ascii="Calibri" w:cs="Calibri" w:eastAsia="Calibri" w:hAnsi="Calibri"/>
                <w:sz w:val="18"/>
                <w:szCs w:val="18"/>
                <w:rtl w:val="0"/>
              </w:rPr>
              <w:t xml:space="preserve">.</w:t>
            </w:r>
            <w:r w:rsidDel="00000000" w:rsidR="00000000" w:rsidRPr="00000000">
              <w:rPr>
                <w:rtl w:val="0"/>
              </w:rPr>
            </w:r>
          </w:p>
        </w:tc>
      </w:tr>
    </w:tbl>
    <w:p w:rsidR="00000000" w:rsidDel="00000000" w:rsidP="00000000" w:rsidRDefault="00000000" w:rsidRPr="00000000" w14:paraId="00000022">
      <w:pPr>
        <w:spacing w:line="240" w:lineRule="auto"/>
        <w:rPr>
          <w:b w:val="1"/>
          <w:bCs w:val="1"/>
        </w:rPr>
        <w:sectPr>
          <w:headerReference r:id="rId12" w:type="default"/>
          <w:headerReference r:id="rId13" w:type="first"/>
          <w:headerReference r:id="rId14" w:type="even"/>
          <w:footerReference r:id="rId15" w:type="default"/>
          <w:footerReference r:id="rId16" w:type="even"/>
          <w:pgSz w:h="16838" w:w="11906" w:orient="portrait"/>
          <w:pgMar w:bottom="1440" w:top="720" w:left="1440" w:right="1440" w:header="720" w:footer="720"/>
          <w:pgNumType w:start="435"/>
          <w:titlePg w:val="1"/>
        </w:sectPr>
      </w:pPr>
      <w:r w:rsidDel="00000000" w:rsidR="00000000" w:rsidRPr="00000000">
        <w:rPr>
          <w:rtl w:val="0"/>
        </w:rPr>
      </w:r>
      <w:r w:rsidDel="00000000" w:rsidR="00000000" w:rsidRPr="00000000">
        <mc:AlternateContent>
          <mc:Choice Requires="wpg">
            <w:drawing>
              <wp:anchor allowOverlap="1" behindDoc="0" distB="4294967294" distT="4294967294" distL="114300" distR="114300" hidden="0" layoutInCell="1" locked="0" relativeHeight="0" simplePos="0">
                <wp:simplePos x="0" y="0"/>
                <wp:positionH relativeFrom="column">
                  <wp:posOffset>-560382</wp:posOffset>
                </wp:positionH>
                <wp:positionV relativeFrom="paragraph">
                  <wp:posOffset>143215</wp:posOffset>
                </wp:positionV>
                <wp:extent cx="6686550" cy="60325"/>
                <wp:effectExtent b="0" l="0" r="0" t="0"/>
                <wp:wrapNone/>
                <wp:docPr id="2" name=""/>
                <a:graphic>
                  <a:graphicData uri="http://schemas.microsoft.com/office/word/2010/wordprocessingShape">
                    <wps:wsp>
                      <wps:cNvCnPr/>
                      <wps:spPr>
                        <a:xfrm>
                          <a:off x="2026538" y="3780000"/>
                          <a:ext cx="6638925" cy="0"/>
                        </a:xfrm>
                        <a:prstGeom prst="straightConnector1">
                          <a:avLst/>
                        </a:prstGeom>
                        <a:noFill/>
                        <a:ln cap="flat" cmpd="sng" w="9525">
                          <a:solidFill>
                            <a:srgbClr val="5B9BD5"/>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4294967294" distT="4294967294" distL="114300" distR="114300" hidden="0" layoutInCell="1" locked="0" relativeHeight="0" simplePos="0">
                <wp:simplePos x="0" y="0"/>
                <wp:positionH relativeFrom="column">
                  <wp:posOffset>-560382</wp:posOffset>
                </wp:positionH>
                <wp:positionV relativeFrom="paragraph">
                  <wp:posOffset>143215</wp:posOffset>
                </wp:positionV>
                <wp:extent cx="6686550" cy="60325"/>
                <wp:effectExtent b="0" l="0" r="0" t="0"/>
                <wp:wrapNone/>
                <wp:docPr id="2"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6686550" cy="60325"/>
                        </a:xfrm>
                        <a:prstGeom prst="rect"/>
                        <a:ln/>
                      </pic:spPr>
                    </pic:pic>
                  </a:graphicData>
                </a:graphic>
              </wp:anchor>
            </w:drawing>
          </mc:Fallback>
        </mc:AlternateContent>
      </w:r>
    </w:p>
    <w:p w:rsidR="00000000" w:rsidDel="00000000" w:rsidP="00000000" w:rsidRDefault="00000000" w:rsidRPr="00000000" w14:paraId="00000023">
      <w:pPr>
        <w:spacing w:after="0" w:line="240" w:lineRule="auto"/>
        <w:rPr>
          <w:b w:val="1"/>
          <w:bCs w:val="1"/>
        </w:rPr>
        <w:sectPr>
          <w:headerReference r:id="rId17" w:type="first"/>
          <w:footerReference r:id="rId18" w:type="default"/>
          <w:type w:val="continuous"/>
          <w:pgSz w:h="16838" w:w="11906" w:orient="portrait"/>
          <w:pgMar w:bottom="1440" w:top="1135" w:left="1440" w:right="1440" w:header="708" w:footer="890"/>
          <w:pgNumType w:start="144"/>
          <w:cols w:equalWidth="0" w:num="2">
            <w:col w:space="284" w:w="4371"/>
            <w:col w:space="0" w:w="4371"/>
          </w:cols>
        </w:sectPr>
      </w:pPr>
      <w:r w:rsidDel="00000000" w:rsidR="00000000" w:rsidRPr="00000000">
        <w:rPr>
          <w:rtl w:val="0"/>
        </w:rPr>
      </w:r>
    </w:p>
    <w:p w:rsidR="00000000" w:rsidDel="00000000" w:rsidP="00000000" w:rsidRDefault="00000000" w:rsidRPr="00000000" w14:paraId="00000024">
      <w:pPr>
        <w:rPr>
          <w:b w:val="1"/>
          <w:bCs w:val="1"/>
        </w:rPr>
      </w:pPr>
      <w:r w:rsidDel="00000000" w:rsidR="00000000" w:rsidRPr="00000000">
        <w:rPr>
          <w:rtl w:val="0"/>
        </w:rPr>
      </w:r>
    </w:p>
    <w:p w:rsidR="00000000" w:rsidDel="00000000" w:rsidP="00000000" w:rsidRDefault="00000000" w:rsidRPr="00000000" w14:paraId="00000025">
      <w:pPr>
        <w:tabs>
          <w:tab w:val="left" w:leader="none" w:pos="3165"/>
        </w:tabs>
        <w:spacing w:after="0" w:line="240" w:lineRule="auto"/>
        <w:jc w:val="both"/>
        <w:rPr>
          <w:b w:val="1"/>
          <w:bCs w:val="1"/>
        </w:rPr>
      </w:pPr>
      <w:r w:rsidDel="00000000" w:rsidR="00000000" w:rsidRPr="00000000">
        <w:rPr>
          <w:b w:val="1"/>
          <w:bCs w:val="1"/>
          <w:rtl w:val="0"/>
        </w:rPr>
        <w:t xml:space="preserve">1. INTRODUCTION</w:t>
      </w:r>
    </w:p>
    <w:p w:rsidR="00000000" w:rsidDel="00000000" w:rsidP="00000000" w:rsidRDefault="00000000" w:rsidRPr="00000000" w14:paraId="00000026">
      <w:pPr>
        <w:spacing w:after="0" w:line="240" w:lineRule="auto"/>
        <w:ind w:firstLine="567"/>
        <w:jc w:val="both"/>
        <w:rPr/>
      </w:pPr>
      <w:r w:rsidDel="00000000" w:rsidR="00000000" w:rsidRPr="00000000">
        <w:rPr>
          <w:rtl w:val="0"/>
        </w:rPr>
        <w:t xml:space="preserve">The ability to read and write is the foundation for developing high-quality human resources. </w:t>
      </w:r>
      <w:r w:rsidDel="00000000" w:rsidR="00000000" w:rsidRPr="00000000">
        <w:rPr>
          <w:i w:val="1"/>
          <w:iCs w:val="1"/>
          <w:rtl w:val="0"/>
        </w:rPr>
        <w:t xml:space="preserve"> </w:t>
      </w:r>
      <w:r w:rsidDel="00000000" w:rsidR="00000000" w:rsidRPr="00000000">
        <w:rPr>
          <w:rtl w:val="0"/>
        </w:rPr>
        <w:t xml:space="preserve">A major issue in educational institutions is functional illiteracy. Functional illiteracy is distinctly different from absolute illiteracy or mere technical reading difficulties. Individuals may recognize letters mechanically but cannot comprehend the information</w:t>
      </w:r>
      <w:r w:rsidDel="00000000" w:rsidR="00000000" w:rsidRPr="00000000">
        <w:rPr>
          <w:i w:val="1"/>
          <w:iCs w:val="1"/>
          <w:rtl w:val="0"/>
        </w:rPr>
        <w:t xml:space="preserve">.</w:t>
      </w:r>
      <w:r w:rsidDel="00000000" w:rsidR="00000000" w:rsidRPr="00000000">
        <w:rPr>
          <w:rtl w:val="0"/>
        </w:rPr>
        <w:t xml:space="preserve"> (Pasande et al., 2020). Students in this category only spell text without being able to understand the important meaning of the reading material they are facing or even do not know the letters at all.</w:t>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0" w:line="240" w:lineRule="auto"/>
        <w:ind w:firstLine="567"/>
        <w:jc w:val="both"/>
        <w:rPr/>
      </w:pPr>
      <w:r w:rsidDel="00000000" w:rsidR="00000000" w:rsidRPr="00000000">
        <w:rPr>
          <w:rtl w:val="0"/>
        </w:rPr>
        <w:t xml:space="preserve">The gap between technical reading skills and functional literacy directly impacts the smooth learning process in schools. Inadequate text comprehension causes students to fall behind in subjects requiring higher-order thinking skills and analytical reasoning. Failure to grasp the core message of the texts studied decreases learning motivation and increases the risk of declining academic achievement. Low functional literacy is strongly correlated with students' weak critical thinking skills when responding to new information in their environment (Andreani et al., 2021). Schools must implement structured interventions to improve reading comprehension.</w:t>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0" w:line="240" w:lineRule="auto"/>
        <w:ind w:firstLine="567"/>
        <w:jc w:val="both"/>
        <w:rPr/>
      </w:pPr>
      <w:r w:rsidDel="00000000" w:rsidR="00000000" w:rsidRPr="00000000">
        <w:rPr>
          <w:rtl w:val="0"/>
        </w:rPr>
        <w:t xml:space="preserve">School libraries hold a highly central role in designing interventions to address the problem of functional illiteracy. These facilities no longer operate merely as book storage rooms but have transformed into active learning resource centers fostering reading skills. Library managers are required to create an inclusive environment and facilitate literacy habits through continuous mentoring programs. Various engaging reading activities can be initiated to stimulate students' interest in exploring the meaning of texts (Mujahidin et al., 2022). Synergistic collaboration between librarians and educators is also crucial to ensure measurable literacy improvements.</w:t>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0" w:line="240" w:lineRule="auto"/>
        <w:ind w:firstLine="567"/>
        <w:jc w:val="both"/>
        <w:rPr/>
      </w:pPr>
      <w:r w:rsidDel="00000000" w:rsidR="00000000" w:rsidRPr="00000000">
        <w:rPr>
          <w:rtl w:val="0"/>
        </w:rPr>
        <w:t xml:space="preserve">Previous studies have extensively explored the effectiveness of school literacy programs in fostering general student reading interest. Most research highlights physical facilities and the teacher's role as primary solutions. Most programs merely focus on independent reading activities for a few minutes before lessons begin to habituate interaction with texts (Munthe et al., 2024). While this approach increases library visits, it rarely improves reading comprehension. Text analysis skills for slow-reading student groups rarely receive specific attention in these conventional programs.</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line="240" w:lineRule="auto"/>
        <w:ind w:firstLine="567"/>
        <w:jc w:val="both"/>
        <w:rPr/>
      </w:pPr>
      <w:r w:rsidDel="00000000" w:rsidR="00000000" w:rsidRPr="00000000">
        <w:rPr>
          <w:rtl w:val="0"/>
        </w:rPr>
        <w:t xml:space="preserve">Previous research has not widely touched upon interventions specifically designed to eradicate functional illiteracy among secondary school students. The focus of previous studies generally remains locked on tackling low reading interest at the elementary school level. This study aims to fill that void by examining the novelty of the Gerakan Satu Jam Membaca (GSJM) program in the school library. The GSJM intervention is unique because it integrates gradual reading assistance, read-aloud sessions, meaning comprehension exercises, and letter recognition from the foundational stage. This integrated approach offers a new knowledge perspective regarding the strategy of libraries transforming into literacy clinics oriented toward functional understanding.</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0" w:line="240" w:lineRule="auto"/>
        <w:ind w:firstLine="567"/>
        <w:jc w:val="both"/>
        <w:rPr>
          <w:b w:val="1"/>
          <w:bCs w:val="1"/>
        </w:rPr>
      </w:pPr>
      <w:r w:rsidDel="00000000" w:rsidR="00000000" w:rsidRPr="00000000">
        <w:rPr>
          <w:rtl w:val="0"/>
        </w:rPr>
        <w:t xml:space="preserve">The phenomenon of functional iliteracy inequality is clearly identified at SMP Negeri 1 Pancur Batu. Based on preliminary field data before the implementation of the comprehensive intervention, the management found a number of students who were still functionally left behind.</w:t>
      </w: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0" w:line="276" w:lineRule="auto"/>
        <w:ind w:left="426" w:firstLine="0"/>
        <w:jc w:val="center"/>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0" w:line="240" w:lineRule="auto"/>
        <w:ind w:left="426" w:firstLine="0"/>
        <w:jc w:val="center"/>
        <w:rPr>
          <w:i w:val="1"/>
          <w:iCs w:val="1"/>
        </w:rPr>
      </w:pPr>
      <w:r w:rsidDel="00000000" w:rsidR="00000000" w:rsidRPr="00000000">
        <w:rPr>
          <w:b w:val="1"/>
          <w:bCs w:val="1"/>
          <w:color w:val="000000"/>
          <w:rtl w:val="0"/>
        </w:rPr>
        <w:t xml:space="preserve">Table 1. </w:t>
      </w:r>
      <w:r w:rsidDel="00000000" w:rsidR="00000000" w:rsidRPr="00000000">
        <w:rPr>
          <w:color w:val="000000"/>
          <w:rtl w:val="0"/>
        </w:rPr>
        <w:t xml:space="preserve">Comparison of Functional Literacy Data at SMP Negeri 1 Pancur Batu (January 2025)</w:t>
      </w:r>
      <w:r w:rsidDel="00000000" w:rsidR="00000000" w:rsidRPr="00000000">
        <w:rPr>
          <w:b w:val="1"/>
          <w:bCs w:val="1"/>
          <w:color w:val="000000"/>
          <w:rtl w:val="0"/>
        </w:rPr>
        <w:t xml:space="preserve"> </w:t>
      </w:r>
      <w:r w:rsidDel="00000000" w:rsidR="00000000" w:rsidRPr="00000000">
        <w:rPr>
          <w:rtl w:val="0"/>
        </w:rPr>
      </w:r>
    </w:p>
    <w:tbl>
      <w:tblPr>
        <w:tblStyle w:val="Table2"/>
        <w:tblW w:w="4944.0" w:type="dxa"/>
        <w:jc w:val="center"/>
        <w:tblBorders>
          <w:top w:color="bfbfbf" w:space="0" w:sz="4" w:val="single"/>
          <w:left w:color="000000" w:space="0" w:sz="0" w:val="nil"/>
          <w:bottom w:color="bfbfbf" w:space="0" w:sz="4" w:val="single"/>
          <w:right w:color="000000" w:space="0" w:sz="0" w:val="nil"/>
          <w:insideH w:color="000000" w:space="0" w:sz="0" w:val="nil"/>
          <w:insideV w:color="000000" w:space="0" w:sz="0" w:val="nil"/>
        </w:tblBorders>
        <w:tblLayout w:type="fixed"/>
        <w:tblLook w:val="0400"/>
      </w:tblPr>
      <w:tblGrid>
        <w:gridCol w:w="1812"/>
        <w:gridCol w:w="2011"/>
        <w:gridCol w:w="1121"/>
        <w:tblGridChange w:id="0">
          <w:tblGrid>
            <w:gridCol w:w="1812"/>
            <w:gridCol w:w="2011"/>
            <w:gridCol w:w="1121"/>
          </w:tblGrid>
        </w:tblGridChange>
      </w:tblGrid>
      <w:tr>
        <w:trPr>
          <w:cantSplit w:val="0"/>
          <w:trHeight w:val="122" w:hRule="atLeast"/>
          <w:tblHeader w:val="1"/>
        </w:trPr>
        <w:tc>
          <w:tcPr>
            <w:vMerge w:val="restart"/>
            <w:vAlign w:val="center"/>
          </w:tcPr>
          <w:p w:rsidR="00000000" w:rsidDel="00000000" w:rsidP="00000000" w:rsidRDefault="00000000" w:rsidRPr="00000000" w14:paraId="0000002E">
            <w:pPr>
              <w:tabs>
                <w:tab w:val="left" w:leader="none" w:pos="7688"/>
              </w:tabs>
              <w:spacing w:after="0" w:line="240" w:lineRule="auto"/>
              <w:jc w:val="center"/>
              <w:rPr>
                <w:b w:val="1"/>
                <w:bCs w:val="1"/>
                <w:sz w:val="21"/>
                <w:szCs w:val="21"/>
              </w:rPr>
            </w:pPr>
            <w:r w:rsidDel="00000000" w:rsidR="00000000" w:rsidRPr="00000000">
              <w:rPr>
                <w:rFonts w:ascii="Calibri" w:cs="Calibri" w:eastAsia="Calibri" w:hAnsi="Calibri"/>
                <w:b w:val="1"/>
                <w:bCs w:val="1"/>
                <w:sz w:val="21"/>
                <w:szCs w:val="21"/>
                <w:rtl w:val="0"/>
              </w:rPr>
              <w:t xml:space="preserve">Category</w:t>
            </w:r>
            <w:r w:rsidDel="00000000" w:rsidR="00000000" w:rsidRPr="00000000">
              <w:rPr>
                <w:rtl w:val="0"/>
              </w:rPr>
            </w:r>
          </w:p>
        </w:tc>
        <w:tc>
          <w:tcPr>
            <w:gridSpan w:val="2"/>
            <w:tcBorders>
              <w:bottom w:color="000000" w:space="0" w:sz="0" w:val="nil"/>
            </w:tcBorders>
            <w:vAlign w:val="center"/>
          </w:tcPr>
          <w:p w:rsidR="00000000" w:rsidDel="00000000" w:rsidP="00000000" w:rsidRDefault="00000000" w:rsidRPr="00000000" w14:paraId="0000002F">
            <w:pPr>
              <w:tabs>
                <w:tab w:val="left" w:leader="none" w:pos="7688"/>
              </w:tabs>
              <w:spacing w:after="0" w:line="240" w:lineRule="auto"/>
              <w:jc w:val="left"/>
              <w:rPr>
                <w:rFonts w:ascii="Calibri" w:cs="Calibri" w:eastAsia="Calibri" w:hAnsi="Calibri"/>
                <w:b w:val="1"/>
                <w:bCs w:val="1"/>
                <w:sz w:val="21"/>
                <w:szCs w:val="21"/>
              </w:rPr>
            </w:pPr>
            <w:r w:rsidDel="00000000" w:rsidR="00000000" w:rsidRPr="00000000">
              <w:rPr>
                <w:rtl w:val="0"/>
              </w:rPr>
            </w:r>
          </w:p>
        </w:tc>
      </w:tr>
      <w:tr>
        <w:trPr>
          <w:cantSplit w:val="0"/>
          <w:trHeight w:val="80" w:hRule="atLeast"/>
          <w:tblHeader w:val="1"/>
        </w:trPr>
        <w:tc>
          <w:tcPr>
            <w:vMerge w:val="continue"/>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sz w:val="21"/>
                <w:szCs w:val="21"/>
              </w:rPr>
            </w:pPr>
            <w:r w:rsidDel="00000000" w:rsidR="00000000" w:rsidRPr="00000000">
              <w:rPr>
                <w:rtl w:val="0"/>
              </w:rPr>
            </w:r>
          </w:p>
        </w:tc>
        <w:tc>
          <w:tcPr>
            <w:tcBorders>
              <w:top w:color="000000" w:space="0" w:sz="0" w:val="nil"/>
              <w:bottom w:color="000000" w:space="0" w:sz="4" w:val="single"/>
            </w:tcBorders>
            <w:vAlign w:val="center"/>
          </w:tcPr>
          <w:p w:rsidR="00000000" w:rsidDel="00000000" w:rsidP="00000000" w:rsidRDefault="00000000" w:rsidRPr="00000000" w14:paraId="00000032">
            <w:pPr>
              <w:tabs>
                <w:tab w:val="left" w:leader="none" w:pos="7688"/>
              </w:tabs>
              <w:spacing w:after="0" w:line="240" w:lineRule="auto"/>
              <w:jc w:val="center"/>
              <w:rPr>
                <w:rFonts w:ascii="Calibri" w:cs="Calibri" w:eastAsia="Calibri" w:hAnsi="Calibri"/>
                <w:b w:val="1"/>
                <w:bCs w:val="1"/>
                <w:sz w:val="21"/>
                <w:szCs w:val="21"/>
              </w:rPr>
            </w:pPr>
            <w:r w:rsidDel="00000000" w:rsidR="00000000" w:rsidRPr="00000000">
              <w:rPr>
                <w:rFonts w:ascii="Calibri" w:cs="Calibri" w:eastAsia="Calibri" w:hAnsi="Calibri"/>
                <w:b w:val="1"/>
                <w:bCs w:val="1"/>
                <w:sz w:val="21"/>
                <w:szCs w:val="21"/>
                <w:rtl w:val="0"/>
              </w:rPr>
              <w:t xml:space="preserve">  Number Of students</w:t>
            </w:r>
          </w:p>
        </w:tc>
        <w:tc>
          <w:tcPr>
            <w:tcBorders>
              <w:top w:color="000000" w:space="0" w:sz="0" w:val="nil"/>
              <w:bottom w:color="000000" w:space="0" w:sz="4" w:val="single"/>
            </w:tcBorders>
            <w:vAlign w:val="center"/>
          </w:tcPr>
          <w:p w:rsidR="00000000" w:rsidDel="00000000" w:rsidP="00000000" w:rsidRDefault="00000000" w:rsidRPr="00000000" w14:paraId="00000033">
            <w:pPr>
              <w:tabs>
                <w:tab w:val="left" w:leader="none" w:pos="7688"/>
              </w:tabs>
              <w:spacing w:after="0" w:line="240" w:lineRule="auto"/>
              <w:jc w:val="center"/>
              <w:rPr>
                <w:rFonts w:ascii="Calibri" w:cs="Calibri" w:eastAsia="Calibri" w:hAnsi="Calibri"/>
                <w:b w:val="1"/>
                <w:bCs w:val="1"/>
                <w:sz w:val="21"/>
                <w:szCs w:val="21"/>
              </w:rPr>
            </w:pPr>
            <w:r w:rsidDel="00000000" w:rsidR="00000000" w:rsidRPr="00000000">
              <w:rPr>
                <w:rFonts w:ascii="Calibri" w:cs="Calibri" w:eastAsia="Calibri" w:hAnsi="Calibri"/>
                <w:b w:val="1"/>
                <w:bCs w:val="1"/>
                <w:sz w:val="21"/>
                <w:szCs w:val="21"/>
                <w:rtl w:val="0"/>
              </w:rPr>
              <w:t xml:space="preserve">Percentage</w:t>
            </w:r>
          </w:p>
        </w:tc>
      </w:tr>
      <w:tr>
        <w:trPr>
          <w:cantSplit w:val="0"/>
          <w:trHeight w:val="80" w:hRule="atLeast"/>
          <w:tblHeader w:val="0"/>
        </w:trPr>
        <w:tc>
          <w:tcPr>
            <w:tcBorders>
              <w:top w:color="000000" w:space="0" w:sz="4" w:val="single"/>
            </w:tcBorders>
          </w:tcPr>
          <w:p w:rsidR="00000000" w:rsidDel="00000000" w:rsidP="00000000" w:rsidRDefault="00000000" w:rsidRPr="00000000" w14:paraId="00000034">
            <w:pPr>
              <w:spacing w:after="0"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Functional Illiteracy</w:t>
            </w:r>
          </w:p>
        </w:tc>
        <w:tc>
          <w:tcPr>
            <w:tcBorders>
              <w:top w:color="000000" w:space="0" w:sz="4" w:val="single"/>
            </w:tcBorders>
          </w:tcPr>
          <w:p w:rsidR="00000000" w:rsidDel="00000000" w:rsidP="00000000" w:rsidRDefault="00000000" w:rsidRPr="00000000" w14:paraId="00000035">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20 Students</w:t>
            </w:r>
          </w:p>
        </w:tc>
        <w:tc>
          <w:tcPr>
            <w:tcBorders>
              <w:top w:color="000000" w:space="0" w:sz="4" w:val="single"/>
            </w:tcBorders>
          </w:tcPr>
          <w:p w:rsidR="00000000" w:rsidDel="00000000" w:rsidP="00000000" w:rsidRDefault="00000000" w:rsidRPr="00000000" w14:paraId="00000036">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2.95%</w:t>
            </w:r>
          </w:p>
        </w:tc>
      </w:tr>
      <w:tr>
        <w:trPr>
          <w:cantSplit w:val="0"/>
          <w:trHeight w:val="91" w:hRule="atLeast"/>
          <w:tblHeader w:val="0"/>
        </w:trPr>
        <w:tc>
          <w:tcPr/>
          <w:p w:rsidR="00000000" w:rsidDel="00000000" w:rsidP="00000000" w:rsidRDefault="00000000" w:rsidRPr="00000000" w14:paraId="00000037">
            <w:pPr>
              <w:spacing w:after="0" w:line="240" w:lineRule="auto"/>
              <w:jc w:val="both"/>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Non-Illiteracy</w:t>
            </w:r>
          </w:p>
        </w:tc>
        <w:tc>
          <w:tcPr/>
          <w:p w:rsidR="00000000" w:rsidDel="00000000" w:rsidP="00000000" w:rsidRDefault="00000000" w:rsidRPr="00000000" w14:paraId="00000038">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659 Students</w:t>
            </w:r>
          </w:p>
        </w:tc>
        <w:tc>
          <w:tcPr/>
          <w:p w:rsidR="00000000" w:rsidDel="00000000" w:rsidP="00000000" w:rsidRDefault="00000000" w:rsidRPr="00000000" w14:paraId="00000039">
            <w:pPr>
              <w:tabs>
                <w:tab w:val="left" w:leader="none" w:pos="7688"/>
              </w:tabs>
              <w:spacing w:after="0" w:line="240" w:lineRule="auto"/>
              <w:jc w:val="center"/>
              <w:rPr>
                <w:rFonts w:ascii="Calibri" w:cs="Calibri" w:eastAsia="Calibri" w:hAnsi="Calibri"/>
                <w:sz w:val="21"/>
                <w:szCs w:val="21"/>
              </w:rPr>
            </w:pPr>
            <w:r w:rsidDel="00000000" w:rsidR="00000000" w:rsidRPr="00000000">
              <w:rPr>
                <w:rFonts w:ascii="Calibri" w:cs="Calibri" w:eastAsia="Calibri" w:hAnsi="Calibri"/>
                <w:sz w:val="21"/>
                <w:szCs w:val="21"/>
                <w:rtl w:val="0"/>
              </w:rPr>
              <w:t xml:space="preserve">97.05%</w:t>
            </w:r>
          </w:p>
        </w:tc>
      </w:tr>
      <w:tr>
        <w:trPr>
          <w:cantSplit w:val="0"/>
          <w:trHeight w:val="57" w:hRule="atLeast"/>
          <w:tblHeader w:val="0"/>
        </w:trPr>
        <w:tc>
          <w:tcPr>
            <w:tcBorders>
              <w:top w:color="000000" w:space="0" w:sz="4" w:val="single"/>
            </w:tcBorders>
          </w:tcPr>
          <w:p w:rsidR="00000000" w:rsidDel="00000000" w:rsidP="00000000" w:rsidRDefault="00000000" w:rsidRPr="00000000" w14:paraId="0000003A">
            <w:pPr>
              <w:tabs>
                <w:tab w:val="left" w:leader="none" w:pos="7688"/>
              </w:tabs>
              <w:spacing w:after="0" w:line="240" w:lineRule="auto"/>
              <w:jc w:val="center"/>
              <w:rPr>
                <w:rFonts w:ascii="Calibri" w:cs="Calibri" w:eastAsia="Calibri" w:hAnsi="Calibri"/>
                <w:b w:val="1"/>
                <w:bCs w:val="1"/>
                <w:sz w:val="21"/>
                <w:szCs w:val="21"/>
              </w:rPr>
            </w:pPr>
            <w:r w:rsidDel="00000000" w:rsidR="00000000" w:rsidRPr="00000000">
              <w:rPr>
                <w:rFonts w:ascii="Calibri" w:cs="Calibri" w:eastAsia="Calibri" w:hAnsi="Calibri"/>
                <w:b w:val="1"/>
                <w:bCs w:val="1"/>
                <w:sz w:val="21"/>
                <w:szCs w:val="21"/>
                <w:rtl w:val="0"/>
              </w:rPr>
              <w:t xml:space="preserve">Total</w:t>
            </w:r>
          </w:p>
        </w:tc>
        <w:tc>
          <w:tcPr>
            <w:tcBorders>
              <w:top w:color="000000" w:space="0" w:sz="4" w:val="single"/>
            </w:tcBorders>
          </w:tcPr>
          <w:p w:rsidR="00000000" w:rsidDel="00000000" w:rsidP="00000000" w:rsidRDefault="00000000" w:rsidRPr="00000000" w14:paraId="0000003B">
            <w:pPr>
              <w:tabs>
                <w:tab w:val="left" w:leader="none" w:pos="7688"/>
              </w:tabs>
              <w:spacing w:after="0" w:line="240" w:lineRule="auto"/>
              <w:jc w:val="center"/>
              <w:rPr>
                <w:rFonts w:ascii="Calibri" w:cs="Calibri" w:eastAsia="Calibri" w:hAnsi="Calibri"/>
                <w:b w:val="1"/>
                <w:bCs w:val="1"/>
                <w:sz w:val="21"/>
                <w:szCs w:val="21"/>
              </w:rPr>
            </w:pPr>
            <w:r w:rsidDel="00000000" w:rsidR="00000000" w:rsidRPr="00000000">
              <w:rPr>
                <w:rFonts w:ascii="Calibri" w:cs="Calibri" w:eastAsia="Calibri" w:hAnsi="Calibri"/>
                <w:b w:val="1"/>
                <w:bCs w:val="1"/>
                <w:sz w:val="21"/>
                <w:szCs w:val="21"/>
                <w:rtl w:val="0"/>
              </w:rPr>
              <w:t xml:space="preserve">679 Students</w:t>
            </w:r>
          </w:p>
        </w:tc>
        <w:tc>
          <w:tcPr>
            <w:tcBorders>
              <w:top w:color="000000" w:space="0" w:sz="4" w:val="single"/>
            </w:tcBorders>
          </w:tcPr>
          <w:p w:rsidR="00000000" w:rsidDel="00000000" w:rsidP="00000000" w:rsidRDefault="00000000" w:rsidRPr="00000000" w14:paraId="0000003C">
            <w:pPr>
              <w:tabs>
                <w:tab w:val="left" w:leader="none" w:pos="7688"/>
              </w:tabs>
              <w:spacing w:after="0" w:line="240" w:lineRule="auto"/>
              <w:jc w:val="center"/>
              <w:rPr>
                <w:rFonts w:ascii="Calibri" w:cs="Calibri" w:eastAsia="Calibri" w:hAnsi="Calibri"/>
                <w:b w:val="1"/>
                <w:bCs w:val="1"/>
                <w:sz w:val="21"/>
                <w:szCs w:val="21"/>
              </w:rPr>
            </w:pPr>
            <w:r w:rsidDel="00000000" w:rsidR="00000000" w:rsidRPr="00000000">
              <w:rPr>
                <w:rFonts w:ascii="Calibri" w:cs="Calibri" w:eastAsia="Calibri" w:hAnsi="Calibri"/>
                <w:b w:val="1"/>
                <w:bCs w:val="1"/>
                <w:sz w:val="21"/>
                <w:szCs w:val="21"/>
                <w:rtl w:val="0"/>
              </w:rPr>
              <w:t xml:space="preserve">100%</w:t>
            </w:r>
          </w:p>
        </w:tc>
      </w:tr>
    </w:tbl>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0" w:line="240" w:lineRule="auto"/>
        <w:ind w:left="426" w:firstLine="0"/>
        <w:jc w:val="center"/>
        <w:rPr/>
      </w:pPr>
      <w:r w:rsidDel="00000000" w:rsidR="00000000" w:rsidRPr="00000000">
        <w:rPr>
          <w:rtl w:val="0"/>
        </w:rPr>
        <w:t xml:space="preserve">Source: Author’s Research, 2026</w:t>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0" w:line="276" w:lineRule="auto"/>
        <w:rPr>
          <w:color w:val="000000"/>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0" w:line="240" w:lineRule="auto"/>
        <w:ind w:left="426" w:firstLine="0"/>
        <w:jc w:val="center"/>
        <w:rPr>
          <w:rFonts w:ascii="Times New Roman" w:cs="Times New Roman" w:eastAsia="Times New Roman" w:hAnsi="Times New Roman"/>
        </w:rPr>
      </w:pPr>
      <w:r w:rsidDel="00000000" w:rsidR="00000000" w:rsidRPr="00000000">
        <w:rPr>
          <w:b w:val="1"/>
          <w:bCs w:val="1"/>
          <w:rtl w:val="0"/>
        </w:rPr>
        <w:t xml:space="preserve">Figure 1. </w:t>
      </w:r>
      <w:r w:rsidDel="00000000" w:rsidR="00000000" w:rsidRPr="00000000">
        <w:rPr>
          <w:rtl w:val="0"/>
        </w:rPr>
        <w:t xml:space="preserve">Data of Students with Functional Illiteracy (January 2025)</w:t>
      </w:r>
      <w:r w:rsidDel="00000000" w:rsidR="00000000" w:rsidRPr="00000000">
        <w:rPr>
          <w:rtl w:val="0"/>
        </w:rPr>
      </w:r>
    </w:p>
    <w:p w:rsidR="00000000" w:rsidDel="00000000" w:rsidP="00000000" w:rsidRDefault="00000000" w:rsidRPr="00000000" w14:paraId="00000040">
      <w:pPr>
        <w:spacing w:after="0" w:line="281" w:lineRule="auto"/>
        <w:jc w:val="center"/>
        <w:rPr/>
      </w:pPr>
      <w:r w:rsidDel="00000000" w:rsidR="00000000" w:rsidRPr="00000000">
        <w:rPr/>
        <mc:AlternateContent>
          <mc:Choice Requires="wpg">
            <w:drawing>
              <wp:inline distB="0" distT="0" distL="114300" distR="114300">
                <wp:extent cx="4467225" cy="2266950"/>
                <wp:effectExtent b="0" l="0" r="0" t="0"/>
                <wp:docPr id="5" name=""/>
                <a:graphic>
                  <a:graphicData uri="http://schemas.microsoft.com/office/word/2010/wordprocessingGroup">
                    <wpg:wgp>
                      <wpg:cNvGrpSpPr/>
                      <wpg:grpSpPr>
                        <a:xfrm>
                          <a:off x="3112375" y="2646525"/>
                          <a:ext cx="4467225" cy="2266950"/>
                          <a:chOff x="3112375" y="2646525"/>
                          <a:chExt cx="4467250" cy="2266950"/>
                        </a:xfrm>
                      </wpg:grpSpPr>
                      <wpg:grpSp>
                        <wpg:cNvGrpSpPr/>
                        <wpg:grpSpPr>
                          <a:xfrm>
                            <a:off x="3112388" y="2646525"/>
                            <a:ext cx="4467225" cy="2266950"/>
                            <a:chOff x="3112375" y="2646500"/>
                            <a:chExt cx="4467250" cy="2267000"/>
                          </a:xfrm>
                        </wpg:grpSpPr>
                        <wps:wsp>
                          <wps:cNvSpPr/>
                          <wps:cNvPr id="7" name="Shape 7"/>
                          <wps:spPr>
                            <a:xfrm>
                              <a:off x="3112375" y="2646500"/>
                              <a:ext cx="4467250" cy="2267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112388" y="2646525"/>
                              <a:ext cx="4467225" cy="2266950"/>
                              <a:chOff x="3107625" y="2641750"/>
                              <a:chExt cx="4476775" cy="2276500"/>
                            </a:xfrm>
                          </wpg:grpSpPr>
                          <wps:wsp>
                            <wps:cNvSpPr/>
                            <wps:cNvPr id="9" name="Shape 9"/>
                            <wps:spPr>
                              <a:xfrm>
                                <a:off x="3107625" y="2641750"/>
                                <a:ext cx="4476775" cy="22765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112388" y="2646525"/>
                                <a:ext cx="4467225" cy="2266950"/>
                                <a:chOff x="4762" y="4762"/>
                                <a:chExt cx="4467225" cy="2362200"/>
                              </a:xfrm>
                            </wpg:grpSpPr>
                            <wps:wsp>
                              <wps:cNvSpPr/>
                              <wps:cNvPr id="11" name="Shape 11"/>
                              <wps:spPr>
                                <a:xfrm>
                                  <a:off x="4762" y="4762"/>
                                  <a:ext cx="4467225" cy="2362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 name="Shape 12"/>
                              <wps:spPr>
                                <a:xfrm>
                                  <a:off x="367093" y="475805"/>
                                  <a:ext cx="3965575" cy="1368425"/>
                                </a:xfrm>
                                <a:custGeom>
                                  <a:rect b="b" l="l" r="r" t="t"/>
                                  <a:pathLst>
                                    <a:path extrusionOk="0" h="1368425" w="3965575">
                                      <a:moveTo>
                                        <a:pt x="3284601" y="1368425"/>
                                      </a:moveTo>
                                      <a:lnTo>
                                        <a:pt x="3965194" y="1368425"/>
                                      </a:lnTo>
                                    </a:path>
                                    <a:path extrusionOk="0" h="1368425" w="3965575">
                                      <a:moveTo>
                                        <a:pt x="0" y="1368425"/>
                                      </a:moveTo>
                                      <a:lnTo>
                                        <a:pt x="2662809" y="1368425"/>
                                      </a:lnTo>
                                    </a:path>
                                    <a:path extrusionOk="0" h="1368425" w="3965575">
                                      <a:moveTo>
                                        <a:pt x="0" y="1139825"/>
                                      </a:moveTo>
                                      <a:lnTo>
                                        <a:pt x="2662809" y="1139825"/>
                                      </a:lnTo>
                                    </a:path>
                                    <a:path extrusionOk="0" h="1368425" w="3965575">
                                      <a:moveTo>
                                        <a:pt x="3284601" y="1139825"/>
                                      </a:moveTo>
                                      <a:lnTo>
                                        <a:pt x="3965194" y="1139825"/>
                                      </a:lnTo>
                                    </a:path>
                                    <a:path extrusionOk="0" h="1368425" w="3965575">
                                      <a:moveTo>
                                        <a:pt x="0" y="912749"/>
                                      </a:moveTo>
                                      <a:lnTo>
                                        <a:pt x="2662809" y="912749"/>
                                      </a:lnTo>
                                    </a:path>
                                    <a:path extrusionOk="0" h="1368425" w="3965575">
                                      <a:moveTo>
                                        <a:pt x="3284601" y="912749"/>
                                      </a:moveTo>
                                      <a:lnTo>
                                        <a:pt x="3965194" y="912749"/>
                                      </a:lnTo>
                                    </a:path>
                                    <a:path extrusionOk="0" h="1368425" w="3965575">
                                      <a:moveTo>
                                        <a:pt x="0" y="684149"/>
                                      </a:moveTo>
                                      <a:lnTo>
                                        <a:pt x="2662809" y="684149"/>
                                      </a:lnTo>
                                    </a:path>
                                    <a:path extrusionOk="0" h="1368425" w="3965575">
                                      <a:moveTo>
                                        <a:pt x="3284601" y="684149"/>
                                      </a:moveTo>
                                      <a:lnTo>
                                        <a:pt x="3965194" y="684149"/>
                                      </a:lnTo>
                                    </a:path>
                                    <a:path extrusionOk="0" h="1368425" w="3965575">
                                      <a:moveTo>
                                        <a:pt x="0" y="455549"/>
                                      </a:moveTo>
                                      <a:lnTo>
                                        <a:pt x="2662809" y="455549"/>
                                      </a:lnTo>
                                    </a:path>
                                    <a:path extrusionOk="0" h="1368425" w="3965575">
                                      <a:moveTo>
                                        <a:pt x="3284601" y="455549"/>
                                      </a:moveTo>
                                      <a:lnTo>
                                        <a:pt x="3965194" y="455549"/>
                                      </a:lnTo>
                                    </a:path>
                                    <a:path extrusionOk="0" h="1368425" w="3965575">
                                      <a:moveTo>
                                        <a:pt x="0" y="228473"/>
                                      </a:moveTo>
                                      <a:lnTo>
                                        <a:pt x="2662809" y="228473"/>
                                      </a:lnTo>
                                    </a:path>
                                    <a:path extrusionOk="0" h="1368425" w="3965575">
                                      <a:moveTo>
                                        <a:pt x="3284601" y="228473"/>
                                      </a:moveTo>
                                      <a:lnTo>
                                        <a:pt x="3965194" y="228473"/>
                                      </a:lnTo>
                                    </a:path>
                                    <a:path extrusionOk="0" h="1368425" w="3965575">
                                      <a:moveTo>
                                        <a:pt x="0" y="0"/>
                                      </a:moveTo>
                                      <a:lnTo>
                                        <a:pt x="3965194" y="0"/>
                                      </a:lnTo>
                                    </a:path>
                                  </a:pathLst>
                                </a:custGeom>
                                <a:noFill/>
                                <a:ln cap="flat" cmpd="sng" w="9525">
                                  <a:solidFill>
                                    <a:srgbClr val="D9D9D9"/>
                                  </a:solidFill>
                                  <a:prstDash val="solid"/>
                                  <a:round/>
                                  <a:headEnd len="sm" w="sm" type="none"/>
                                  <a:tailEnd len="sm" w="sm" type="none"/>
                                </a:ln>
                              </wps:spPr>
                              <wps:bodyPr anchorCtr="0" anchor="ctr" bIns="91425" lIns="91425" spcFirstLastPara="1" rIns="91425" wrap="square" tIns="91425">
                                <a:noAutofit/>
                              </wps:bodyPr>
                            </wps:wsp>
                            <wps:wsp>
                              <wps:cNvSpPr/>
                              <wps:cNvPr id="13" name="Shape 13"/>
                              <wps:spPr>
                                <a:xfrm>
                                  <a:off x="1047178" y="568642"/>
                                  <a:ext cx="2604770" cy="1503680"/>
                                </a:xfrm>
                                <a:custGeom>
                                  <a:rect b="b" l="l" r="r" t="t"/>
                                  <a:pathLst>
                                    <a:path extrusionOk="0" h="1503680" w="2604770">
                                      <a:moveTo>
                                        <a:pt x="621792" y="1458468"/>
                                      </a:moveTo>
                                      <a:lnTo>
                                        <a:pt x="0" y="1458468"/>
                                      </a:lnTo>
                                      <a:lnTo>
                                        <a:pt x="0" y="1503680"/>
                                      </a:lnTo>
                                      <a:lnTo>
                                        <a:pt x="621792" y="1503680"/>
                                      </a:lnTo>
                                      <a:lnTo>
                                        <a:pt x="621792" y="1458468"/>
                                      </a:lnTo>
                                      <a:close/>
                                    </a:path>
                                    <a:path extrusionOk="0" h="1503680" w="2604770">
                                      <a:moveTo>
                                        <a:pt x="2604516" y="0"/>
                                      </a:moveTo>
                                      <a:lnTo>
                                        <a:pt x="1982724" y="0"/>
                                      </a:lnTo>
                                      <a:lnTo>
                                        <a:pt x="1982724" y="1503680"/>
                                      </a:lnTo>
                                      <a:lnTo>
                                        <a:pt x="2604516" y="1503680"/>
                                      </a:lnTo>
                                      <a:lnTo>
                                        <a:pt x="2604516" y="0"/>
                                      </a:lnTo>
                                      <a:close/>
                                    </a:path>
                                  </a:pathLst>
                                </a:custGeom>
                                <a:solidFill>
                                  <a:srgbClr val="6FAC46"/>
                                </a:solidFill>
                                <a:ln>
                                  <a:noFill/>
                                </a:ln>
                              </wps:spPr>
                              <wps:bodyPr anchorCtr="0" anchor="ctr" bIns="91425" lIns="91425" spcFirstLastPara="1" rIns="91425" wrap="square" tIns="91425">
                                <a:noAutofit/>
                              </wps:bodyPr>
                            </wps:wsp>
                            <wps:wsp>
                              <wps:cNvSpPr/>
                              <wps:cNvPr id="14" name="Shape 14"/>
                              <wps:spPr>
                                <a:xfrm>
                                  <a:off x="367093" y="2072322"/>
                                  <a:ext cx="3965575" cy="1270"/>
                                </a:xfrm>
                                <a:custGeom>
                                  <a:rect b="b" l="l" r="r" t="t"/>
                                  <a:pathLst>
                                    <a:path extrusionOk="0" h="120000" w="3965575">
                                      <a:moveTo>
                                        <a:pt x="0" y="0"/>
                                      </a:moveTo>
                                      <a:lnTo>
                                        <a:pt x="3965194" y="0"/>
                                      </a:lnTo>
                                    </a:path>
                                  </a:pathLst>
                                </a:custGeom>
                                <a:noFill/>
                                <a:ln cap="flat" cmpd="sng" w="9525">
                                  <a:solidFill>
                                    <a:srgbClr val="D9D9D9"/>
                                  </a:solidFill>
                                  <a:prstDash val="solid"/>
                                  <a:round/>
                                  <a:headEnd len="sm" w="sm" type="none"/>
                                  <a:tailEnd len="sm" w="sm" type="none"/>
                                </a:ln>
                              </wps:spPr>
                              <wps:bodyPr anchorCtr="0" anchor="ctr" bIns="91425" lIns="91425" spcFirstLastPara="1" rIns="91425" wrap="square" tIns="91425">
                                <a:noAutofit/>
                              </wps:bodyPr>
                            </wps:wsp>
                            <wps:wsp>
                              <wps:cNvSpPr/>
                              <wps:cNvPr id="15" name="Shape 15"/>
                              <wps:spPr>
                                <a:xfrm>
                                  <a:off x="4762" y="4762"/>
                                  <a:ext cx="4467225" cy="2362200"/>
                                </a:xfrm>
                                <a:custGeom>
                                  <a:rect b="b" l="l" r="r" t="t"/>
                                  <a:pathLst>
                                    <a:path extrusionOk="0" h="2362200" w="4467225">
                                      <a:moveTo>
                                        <a:pt x="0" y="2362200"/>
                                      </a:moveTo>
                                      <a:lnTo>
                                        <a:pt x="4467225" y="2362200"/>
                                      </a:lnTo>
                                      <a:lnTo>
                                        <a:pt x="4467225" y="0"/>
                                      </a:lnTo>
                                      <a:lnTo>
                                        <a:pt x="0" y="0"/>
                                      </a:lnTo>
                                      <a:lnTo>
                                        <a:pt x="0" y="2362200"/>
                                      </a:lnTo>
                                      <a:close/>
                                    </a:path>
                                  </a:pathLst>
                                </a:custGeom>
                                <a:noFill/>
                                <a:ln cap="flat" cmpd="sng" w="9525">
                                  <a:solidFill>
                                    <a:srgbClr val="D9D9D9"/>
                                  </a:solidFill>
                                  <a:prstDash val="solid"/>
                                  <a:round/>
                                  <a:headEnd len="sm" w="sm" type="none"/>
                                  <a:tailEnd len="sm" w="sm" type="none"/>
                                </a:ln>
                              </wps:spPr>
                              <wps:bodyPr anchorCtr="0" anchor="ctr" bIns="91425" lIns="91425" spcFirstLastPara="1" rIns="91425" wrap="square" tIns="91425">
                                <a:noAutofit/>
                              </wps:bodyPr>
                            </wps:wsp>
                            <wps:wsp>
                              <wps:cNvSpPr/>
                              <wps:cNvPr id="16" name="Shape 16"/>
                              <wps:spPr>
                                <a:xfrm>
                                  <a:off x="1047178" y="82359"/>
                                  <a:ext cx="2414270" cy="340233"/>
                                </a:xfrm>
                                <a:prstGeom prst="rect">
                                  <a:avLst/>
                                </a:prstGeom>
                                <a:noFill/>
                                <a:ln>
                                  <a:noFill/>
                                </a:ln>
                              </wps:spPr>
                              <wps:txbx>
                                <w:txbxContent>
                                  <w:p w:rsidR="00000000" w:rsidDel="00000000" w:rsidP="00000000" w:rsidRDefault="00000000" w:rsidRPr="00000000">
                                    <w:pPr>
                                      <w:spacing w:after="160" w:before="0" w:line="281.00000381469727"/>
                                      <w:ind w:left="0" w:right="0" w:firstLine="0"/>
                                      <w:jc w:val="center"/>
                                      <w:textDirection w:val="btLr"/>
                                    </w:pPr>
                                    <w:r w:rsidDel="00000000" w:rsidR="00000000" w:rsidRPr="00000000">
                                      <w:rPr>
                                        <w:rFonts w:ascii="Calibri" w:cs="Calibri" w:eastAsia="Calibri" w:hAnsi="Calibri"/>
                                        <w:b w:val="0"/>
                                        <w:i w:val="0"/>
                                        <w:smallCaps w:val="0"/>
                                        <w:strike w:val="0"/>
                                        <w:color w:val="000000"/>
                                        <w:sz w:val="24"/>
                                        <w:vertAlign w:val="baseline"/>
                                      </w:rPr>
                                      <w:t xml:space="preserve">Data of Students with Functional Illiteracy</w:t>
                                    </w:r>
                                  </w:p>
                                </w:txbxContent>
                              </wps:txbx>
                              <wps:bodyPr anchorCtr="0" anchor="t" bIns="0" lIns="0" spcFirstLastPara="1" rIns="0" wrap="square" tIns="0">
                                <a:noAutofit/>
                              </wps:bodyPr>
                            </wps:wsp>
                            <wps:wsp>
                              <wps:cNvSpPr/>
                              <wps:cNvPr id="17" name="Shape 17"/>
                              <wps:spPr>
                                <a:xfrm>
                                  <a:off x="87693" y="422592"/>
                                  <a:ext cx="186690" cy="1711325"/>
                                </a:xfrm>
                                <a:prstGeom prst="rect">
                                  <a:avLst/>
                                </a:prstGeom>
                                <a:noFill/>
                                <a:ln>
                                  <a:noFill/>
                                </a:ln>
                              </wps:spPr>
                              <wps:txbx>
                                <w:txbxContent>
                                  <w:p w:rsidR="00000000" w:rsidDel="00000000" w:rsidP="00000000" w:rsidRDefault="00000000" w:rsidRPr="00000000">
                                    <w:pPr>
                                      <w:spacing w:after="160" w:before="0" w:line="182.0000123977661"/>
                                      <w:ind w:left="0" w:right="17.000000476837158" w:firstLine="0"/>
                                      <w:jc w:val="right"/>
                                      <w:textDirection w:val="btLr"/>
                                    </w:pPr>
                                    <w:r w:rsidDel="00000000" w:rsidR="00000000" w:rsidRPr="00000000">
                                      <w:rPr>
                                        <w:rFonts w:ascii="Calibri" w:cs="Calibri" w:eastAsia="Calibri" w:hAnsi="Calibri"/>
                                        <w:b w:val="0"/>
                                        <w:i w:val="0"/>
                                        <w:smallCaps w:val="0"/>
                                        <w:strike w:val="0"/>
                                        <w:color w:val="585858"/>
                                        <w:sz w:val="18"/>
                                        <w:vertAlign w:val="baseline"/>
                                      </w:rPr>
                                      <w:t xml:space="preserve">700</w:t>
                                    </w:r>
                                  </w:p>
                                  <w:p w:rsidR="00000000" w:rsidDel="00000000" w:rsidP="00000000" w:rsidRDefault="00000000" w:rsidRPr="00000000">
                                    <w:pPr>
                                      <w:spacing w:after="160" w:before="138.00000190734863" w:line="258.0000114440918"/>
                                      <w:ind w:left="0" w:right="0" w:firstLine="0"/>
                                      <w:jc w:val="left"/>
                                      <w:textDirection w:val="btLr"/>
                                    </w:pPr>
                                    <w:r w:rsidDel="00000000" w:rsidR="00000000" w:rsidRPr="00000000">
                                      <w:rPr>
                                        <w:rFonts w:ascii="Calibri" w:cs="Calibri" w:eastAsia="Calibri" w:hAnsi="Calibri"/>
                                        <w:b w:val="0"/>
                                        <w:i w:val="0"/>
                                        <w:smallCaps w:val="0"/>
                                        <w:strike w:val="0"/>
                                        <w:color w:val="585858"/>
                                        <w:sz w:val="18"/>
                                        <w:vertAlign w:val="baseline"/>
                                      </w:rPr>
                                    </w:r>
                                    <w:r w:rsidDel="00000000" w:rsidR="00000000" w:rsidRPr="00000000">
                                      <w:rPr>
                                        <w:rFonts w:ascii="Calibri" w:cs="Calibri" w:eastAsia="Calibri" w:hAnsi="Calibri"/>
                                        <w:b w:val="0"/>
                                        <w:i w:val="0"/>
                                        <w:smallCaps w:val="0"/>
                                        <w:strike w:val="0"/>
                                        <w:color w:val="585858"/>
                                        <w:sz w:val="18"/>
                                        <w:vertAlign w:val="baseline"/>
                                      </w:rPr>
                                      <w:t xml:space="preserve">600</w:t>
                                    </w:r>
                                  </w:p>
                                  <w:p w:rsidR="00000000" w:rsidDel="00000000" w:rsidP="00000000" w:rsidRDefault="00000000" w:rsidRPr="00000000">
                                    <w:pPr>
                                      <w:spacing w:after="160" w:before="138.00000190734863" w:line="258.0000114440918"/>
                                      <w:ind w:left="0" w:right="0" w:firstLine="0"/>
                                      <w:jc w:val="left"/>
                                      <w:textDirection w:val="btLr"/>
                                    </w:pPr>
                                    <w:r w:rsidDel="00000000" w:rsidR="00000000" w:rsidRPr="00000000">
                                      <w:rPr>
                                        <w:rFonts w:ascii="Calibri" w:cs="Calibri" w:eastAsia="Calibri" w:hAnsi="Calibri"/>
                                        <w:b w:val="0"/>
                                        <w:i w:val="0"/>
                                        <w:smallCaps w:val="0"/>
                                        <w:strike w:val="0"/>
                                        <w:color w:val="585858"/>
                                        <w:sz w:val="18"/>
                                        <w:vertAlign w:val="baseline"/>
                                      </w:rPr>
                                    </w:r>
                                    <w:r w:rsidDel="00000000" w:rsidR="00000000" w:rsidRPr="00000000">
                                      <w:rPr>
                                        <w:rFonts w:ascii="Calibri" w:cs="Calibri" w:eastAsia="Calibri" w:hAnsi="Calibri"/>
                                        <w:b w:val="0"/>
                                        <w:i w:val="0"/>
                                        <w:smallCaps w:val="0"/>
                                        <w:strike w:val="0"/>
                                        <w:color w:val="585858"/>
                                        <w:sz w:val="18"/>
                                        <w:vertAlign w:val="baseline"/>
                                      </w:rPr>
                                      <w:t xml:space="preserve">500</w:t>
                                    </w:r>
                                  </w:p>
                                  <w:p w:rsidR="00000000" w:rsidDel="00000000" w:rsidP="00000000" w:rsidRDefault="00000000" w:rsidRPr="00000000">
                                    <w:pPr>
                                      <w:spacing w:after="160" w:before="140" w:line="258.0000114440918"/>
                                      <w:ind w:left="0" w:right="0" w:firstLine="0"/>
                                      <w:jc w:val="left"/>
                                      <w:textDirection w:val="btLr"/>
                                    </w:pPr>
                                    <w:r w:rsidDel="00000000" w:rsidR="00000000" w:rsidRPr="00000000">
                                      <w:rPr>
                                        <w:rFonts w:ascii="Calibri" w:cs="Calibri" w:eastAsia="Calibri" w:hAnsi="Calibri"/>
                                        <w:b w:val="0"/>
                                        <w:i w:val="0"/>
                                        <w:smallCaps w:val="0"/>
                                        <w:strike w:val="0"/>
                                        <w:color w:val="585858"/>
                                        <w:sz w:val="18"/>
                                        <w:vertAlign w:val="baseline"/>
                                      </w:rPr>
                                    </w:r>
                                    <w:r w:rsidDel="00000000" w:rsidR="00000000" w:rsidRPr="00000000">
                                      <w:rPr>
                                        <w:rFonts w:ascii="Calibri" w:cs="Calibri" w:eastAsia="Calibri" w:hAnsi="Calibri"/>
                                        <w:b w:val="0"/>
                                        <w:i w:val="0"/>
                                        <w:smallCaps w:val="0"/>
                                        <w:strike w:val="0"/>
                                        <w:color w:val="585858"/>
                                        <w:sz w:val="18"/>
                                        <w:vertAlign w:val="baseline"/>
                                      </w:rPr>
                                      <w:t xml:space="preserve">400</w:t>
                                    </w:r>
                                  </w:p>
                                  <w:p w:rsidR="00000000" w:rsidDel="00000000" w:rsidP="00000000" w:rsidRDefault="00000000" w:rsidRPr="00000000">
                                    <w:pPr>
                                      <w:spacing w:after="160" w:before="138.00000190734863" w:line="258.0000114440918"/>
                                      <w:ind w:left="0" w:right="0" w:firstLine="0"/>
                                      <w:jc w:val="left"/>
                                      <w:textDirection w:val="btLr"/>
                                    </w:pPr>
                                    <w:r w:rsidDel="00000000" w:rsidR="00000000" w:rsidRPr="00000000">
                                      <w:rPr>
                                        <w:rFonts w:ascii="Calibri" w:cs="Calibri" w:eastAsia="Calibri" w:hAnsi="Calibri"/>
                                        <w:b w:val="0"/>
                                        <w:i w:val="0"/>
                                        <w:smallCaps w:val="0"/>
                                        <w:strike w:val="0"/>
                                        <w:color w:val="585858"/>
                                        <w:sz w:val="18"/>
                                        <w:vertAlign w:val="baseline"/>
                                      </w:rPr>
                                    </w:r>
                                    <w:r w:rsidDel="00000000" w:rsidR="00000000" w:rsidRPr="00000000">
                                      <w:rPr>
                                        <w:rFonts w:ascii="Calibri" w:cs="Calibri" w:eastAsia="Calibri" w:hAnsi="Calibri"/>
                                        <w:b w:val="0"/>
                                        <w:i w:val="0"/>
                                        <w:smallCaps w:val="0"/>
                                        <w:strike w:val="0"/>
                                        <w:color w:val="585858"/>
                                        <w:sz w:val="18"/>
                                        <w:vertAlign w:val="baseline"/>
                                      </w:rPr>
                                      <w:t xml:space="preserve">300</w:t>
                                    </w:r>
                                  </w:p>
                                  <w:p w:rsidR="00000000" w:rsidDel="00000000" w:rsidP="00000000" w:rsidRDefault="00000000" w:rsidRPr="00000000">
                                    <w:pPr>
                                      <w:spacing w:after="160" w:before="140" w:line="258.0000114440918"/>
                                      <w:ind w:left="0" w:right="0" w:firstLine="0"/>
                                      <w:jc w:val="left"/>
                                      <w:textDirection w:val="btLr"/>
                                    </w:pPr>
                                    <w:r w:rsidDel="00000000" w:rsidR="00000000" w:rsidRPr="00000000">
                                      <w:rPr>
                                        <w:rFonts w:ascii="Calibri" w:cs="Calibri" w:eastAsia="Calibri" w:hAnsi="Calibri"/>
                                        <w:b w:val="0"/>
                                        <w:i w:val="0"/>
                                        <w:smallCaps w:val="0"/>
                                        <w:strike w:val="0"/>
                                        <w:color w:val="585858"/>
                                        <w:sz w:val="18"/>
                                        <w:vertAlign w:val="baseline"/>
                                      </w:rPr>
                                    </w:r>
                                    <w:r w:rsidDel="00000000" w:rsidR="00000000" w:rsidRPr="00000000">
                                      <w:rPr>
                                        <w:rFonts w:ascii="Calibri" w:cs="Calibri" w:eastAsia="Calibri" w:hAnsi="Calibri"/>
                                        <w:b w:val="0"/>
                                        <w:i w:val="0"/>
                                        <w:smallCaps w:val="0"/>
                                        <w:strike w:val="0"/>
                                        <w:color w:val="585858"/>
                                        <w:sz w:val="18"/>
                                        <w:vertAlign w:val="baseline"/>
                                      </w:rPr>
                                      <w:t xml:space="preserve">200</w:t>
                                    </w:r>
                                  </w:p>
                                  <w:p w:rsidR="00000000" w:rsidDel="00000000" w:rsidP="00000000" w:rsidRDefault="00000000" w:rsidRPr="00000000">
                                    <w:pPr>
                                      <w:spacing w:after="160" w:before="140" w:line="258.0000114440918"/>
                                      <w:ind w:left="0" w:right="0" w:firstLine="0"/>
                                      <w:jc w:val="left"/>
                                      <w:textDirection w:val="btLr"/>
                                    </w:pPr>
                                    <w:r w:rsidDel="00000000" w:rsidR="00000000" w:rsidRPr="00000000">
                                      <w:rPr>
                                        <w:rFonts w:ascii="Calibri" w:cs="Calibri" w:eastAsia="Calibri" w:hAnsi="Calibri"/>
                                        <w:b w:val="0"/>
                                        <w:i w:val="0"/>
                                        <w:smallCaps w:val="0"/>
                                        <w:strike w:val="0"/>
                                        <w:color w:val="585858"/>
                                        <w:sz w:val="18"/>
                                        <w:vertAlign w:val="baseline"/>
                                      </w:rPr>
                                    </w:r>
                                    <w:r w:rsidDel="00000000" w:rsidR="00000000" w:rsidRPr="00000000">
                                      <w:rPr>
                                        <w:rFonts w:ascii="Calibri" w:cs="Calibri" w:eastAsia="Calibri" w:hAnsi="Calibri"/>
                                        <w:b w:val="0"/>
                                        <w:i w:val="0"/>
                                        <w:smallCaps w:val="0"/>
                                        <w:strike w:val="0"/>
                                        <w:color w:val="585858"/>
                                        <w:sz w:val="18"/>
                                        <w:vertAlign w:val="baseline"/>
                                      </w:rPr>
                                      <w:t xml:space="preserve">100</w:t>
                                    </w:r>
                                  </w:p>
                                  <w:p w:rsidR="00000000" w:rsidDel="00000000" w:rsidP="00000000" w:rsidRDefault="00000000" w:rsidRPr="00000000">
                                    <w:pPr>
                                      <w:spacing w:after="160" w:before="138.00000190734863" w:line="215.00000953674316"/>
                                      <w:ind w:left="0" w:right="17.000000476837158" w:firstLine="0"/>
                                      <w:jc w:val="right"/>
                                      <w:textDirection w:val="btLr"/>
                                    </w:pPr>
                                    <w:r w:rsidDel="00000000" w:rsidR="00000000" w:rsidRPr="00000000">
                                      <w:rPr>
                                        <w:rFonts w:ascii="Calibri" w:cs="Calibri" w:eastAsia="Calibri" w:hAnsi="Calibri"/>
                                        <w:b w:val="0"/>
                                        <w:i w:val="0"/>
                                        <w:smallCaps w:val="0"/>
                                        <w:strike w:val="0"/>
                                        <w:color w:val="585858"/>
                                        <w:sz w:val="18"/>
                                        <w:vertAlign w:val="baseline"/>
                                      </w:rPr>
                                    </w:r>
                                    <w:r w:rsidDel="00000000" w:rsidR="00000000" w:rsidRPr="00000000">
                                      <w:rPr>
                                        <w:rFonts w:ascii="Calibri" w:cs="Calibri" w:eastAsia="Calibri" w:hAnsi="Calibri"/>
                                        <w:b w:val="0"/>
                                        <w:i w:val="0"/>
                                        <w:smallCaps w:val="0"/>
                                        <w:strike w:val="0"/>
                                        <w:color w:val="585858"/>
                                        <w:sz w:val="18"/>
                                        <w:vertAlign w:val="baseline"/>
                                      </w:rPr>
                                      <w:t xml:space="preserve">0</w:t>
                                    </w:r>
                                  </w:p>
                                </w:txbxContent>
                              </wps:txbx>
                              <wps:bodyPr anchorCtr="0" anchor="t" bIns="0" lIns="0" spcFirstLastPara="1" rIns="0" wrap="square" tIns="0">
                                <a:noAutofit/>
                              </wps:bodyPr>
                            </wps:wsp>
                            <wps:wsp>
                              <wps:cNvSpPr/>
                              <wps:cNvPr id="18" name="Shape 18"/>
                              <wps:spPr>
                                <a:xfrm>
                                  <a:off x="820102" y="2167826"/>
                                  <a:ext cx="1371269" cy="114300"/>
                                </a:xfrm>
                                <a:prstGeom prst="rect">
                                  <a:avLst/>
                                </a:prstGeom>
                                <a:noFill/>
                                <a:ln>
                                  <a:noFill/>
                                </a:ln>
                              </wps:spPr>
                              <wps:txbx>
                                <w:txbxContent>
                                  <w:p w:rsidR="00000000" w:rsidDel="00000000" w:rsidP="00000000" w:rsidRDefault="00000000" w:rsidRPr="00000000">
                                    <w:pPr>
                                      <w:spacing w:after="16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Functional Illiteracy</w:t>
                                    </w:r>
                                  </w:p>
                                </w:txbxContent>
                              </wps:txbx>
                              <wps:bodyPr anchorCtr="0" anchor="t" bIns="0" lIns="0" spcFirstLastPara="1" rIns="0" wrap="square" tIns="0">
                                <a:noAutofit/>
                              </wps:bodyPr>
                            </wps:wsp>
                            <wps:wsp>
                              <wps:cNvSpPr/>
                              <wps:cNvPr id="19" name="Shape 19"/>
                              <wps:spPr>
                                <a:xfrm>
                                  <a:off x="2693098" y="2167826"/>
                                  <a:ext cx="1565612" cy="114300"/>
                                </a:xfrm>
                                <a:prstGeom prst="rect">
                                  <a:avLst/>
                                </a:prstGeom>
                                <a:noFill/>
                                <a:ln>
                                  <a:noFill/>
                                </a:ln>
                              </wps:spPr>
                              <wps:txbx>
                                <w:txbxContent>
                                  <w:p w:rsidR="00000000" w:rsidDel="00000000" w:rsidP="00000000" w:rsidRDefault="00000000" w:rsidRPr="00000000">
                                    <w:pPr>
                                      <w:spacing w:after="160" w:before="0" w:line="180"/>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Non Functional Illiteracy</w:t>
                                    </w:r>
                                  </w:p>
                                </w:txbxContent>
                              </wps:txbx>
                              <wps:bodyPr anchorCtr="0" anchor="t" bIns="0" lIns="0" spcFirstLastPara="1" rIns="0" wrap="square" tIns="0">
                                <a:noAutofit/>
                              </wps:bodyPr>
                            </wps:wsp>
                          </wpg:grpSp>
                        </wpg:grpSp>
                      </wpg:grpSp>
                    </wpg:wgp>
                  </a:graphicData>
                </a:graphic>
              </wp:inline>
            </w:drawing>
          </mc:Choice>
          <mc:Fallback>
            <w:drawing>
              <wp:inline distB="0" distT="0" distL="114300" distR="114300">
                <wp:extent cx="4467225" cy="2266950"/>
                <wp:effectExtent b="0" l="0" r="0" t="0"/>
                <wp:docPr id="5"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4467225" cy="22669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after="0" w:line="240" w:lineRule="auto"/>
        <w:ind w:left="426" w:firstLine="0"/>
        <w:jc w:val="center"/>
        <w:rPr/>
      </w:pPr>
      <w:r w:rsidDel="00000000" w:rsidR="00000000" w:rsidRPr="00000000">
        <w:rPr>
          <w:rtl w:val="0"/>
        </w:rPr>
        <w:t xml:space="preserve">Source: Author’s Research, 2026</w:t>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after="0" w:line="240" w:lineRule="auto"/>
        <w:ind w:left="426" w:firstLine="0"/>
        <w:jc w:val="center"/>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after="0" w:line="240" w:lineRule="auto"/>
        <w:ind w:firstLine="567"/>
        <w:jc w:val="both"/>
        <w:rPr/>
      </w:pPr>
      <w:r w:rsidDel="00000000" w:rsidR="00000000" w:rsidRPr="00000000">
        <w:rPr>
          <w:rtl w:val="0"/>
        </w:rPr>
        <w:t xml:space="preserve">The preliminary field data clearly shows that out of a total of 679 students, 20 students, or approximately 2.95%, were categorized as functionally illiterate. This baseline snapshot of 20 students was taken before intensive GSJM implementation.</w:t>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after="0" w:line="240" w:lineRule="auto"/>
        <w:ind w:firstLine="567"/>
        <w:jc w:val="both"/>
        <w:rPr/>
      </w:pPr>
      <w:r w:rsidDel="00000000" w:rsidR="00000000" w:rsidRPr="00000000">
        <w:rPr>
          <w:rtl w:val="0"/>
        </w:rPr>
        <w:t xml:space="preserve">Based on the theoretical gap and the real field phenomenon described, this research is structured to further explore library literacy interventions. The main objective of this study is to analyze the contribution of the SMP Negeri 1 Pancur Batu library in eradicating functional illiteracy through the implementation of GSJM. This paper also seeks to identify the determinant factors that support or hinder the program's achievement in the field. Findings from this research are expected to provide tactical contributions and serve as an empirical reference model for other schools. Secondary educational institutions can adopt a similar framework to design more essential library literacy strategies.</w:t>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after="0" w:line="240" w:lineRule="auto"/>
        <w:ind w:firstLine="567"/>
        <w:jc w:val="both"/>
        <w:rPr/>
      </w:pPr>
      <w:r w:rsidDel="00000000" w:rsidR="00000000" w:rsidRPr="00000000">
        <w:rPr>
          <w:rtl w:val="0"/>
        </w:rPr>
      </w:r>
    </w:p>
    <w:p w:rsidR="00000000" w:rsidDel="00000000" w:rsidP="00000000" w:rsidRDefault="00000000" w:rsidRPr="00000000" w14:paraId="00000046">
      <w:pPr>
        <w:spacing w:after="0" w:line="240" w:lineRule="auto"/>
        <w:jc w:val="both"/>
        <w:rPr>
          <w:b w:val="1"/>
          <w:bCs w:val="1"/>
        </w:rPr>
      </w:pPr>
      <w:r w:rsidDel="00000000" w:rsidR="00000000" w:rsidRPr="00000000">
        <w:rPr>
          <w:b w:val="1"/>
          <w:bCs w:val="1"/>
          <w:rtl w:val="0"/>
        </w:rPr>
        <w:t xml:space="preserve">2. METHODS</w:t>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after="0" w:line="240" w:lineRule="auto"/>
        <w:ind w:firstLine="567"/>
        <w:jc w:val="both"/>
        <w:rPr/>
      </w:pPr>
      <w:r w:rsidDel="00000000" w:rsidR="00000000" w:rsidRPr="00000000">
        <w:rPr>
          <w:rtl w:val="0"/>
        </w:rPr>
        <w:t xml:space="preserve">This study employed a qualitative approach utilizing a case study design to gain an in-depth understanding of the library's role in eradicating functional illiteracy. Fieldwork was conducted intensively over a period of two months, spanning from February to March 2026, at the SMP Negeri 1 Pancur Batu Library in North Sumatra. This site was selected because it actively implements the GSJM program for students with comprehension difficulties. Qualitative case studies allow researchers to capture the complexity of literacy interventions within their natural educational settings comprehensively (Fadli, 2021). </w:t>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0" w:line="240" w:lineRule="auto"/>
        <w:ind w:firstLine="567"/>
        <w:jc w:val="both"/>
        <w:rPr/>
      </w:pPr>
      <w:r w:rsidDel="00000000" w:rsidR="00000000" w:rsidRPr="00000000">
        <w:rPr>
          <w:rtl w:val="0"/>
        </w:rPr>
        <w:t xml:space="preserve">The researcher acted as the primary instrument for data collection, carefully selecting informants through purposive sampling based on specific involvement criteria. The participants consisted of one head librarian, two homeroom teachers actively facilitating the program, and five students specifically identified as experiencing functional illiteracy. Student selection relied heavily on preliminary reading test scores indicating a clear gap between mechanical reading and actual text comprehension. Prior to any data collection, all adult participants and the students' parents provided formal informed consent, ensuring strict adherence to research ethics protocols (Campbell et al., 2020). </w:t>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0" w:line="240" w:lineRule="auto"/>
        <w:ind w:firstLine="567"/>
        <w:jc w:val="both"/>
        <w:rPr/>
      </w:pPr>
      <w:r w:rsidDel="00000000" w:rsidR="00000000" w:rsidRPr="00000000">
        <w:rPr>
          <w:rtl w:val="0"/>
        </w:rPr>
        <w:t xml:space="preserve">Data were gathered comprehensively through semi-structured interviews, direct observations, and document analysis. Interviews lasted approximately 15 to 20 minutes per session, utilizing flexible guides focused on program implementation and individual student progress. Observations were directed by specific indicators, including student engagement levels during read-aloud sessions, interaction with learning materials, letter recognition, and peer discussions. Documentation sources encompassed student attendance records, library visitation logs, daily reading progress journals, and the school's official literacy program guidelines. </w:t>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after="0" w:line="240" w:lineRule="auto"/>
        <w:ind w:firstLine="567"/>
        <w:jc w:val="both"/>
        <w:rPr/>
      </w:pPr>
      <w:r w:rsidDel="00000000" w:rsidR="00000000" w:rsidRPr="00000000">
        <w:rPr>
          <w:rtl w:val="0"/>
        </w:rPr>
        <w:t xml:space="preserve">The collected data underwent a systematic interactive analysis model comprising data reduction, data display, and conclusion drawing. Raw transcripts from interviews and observational field notes were filtered to isolate information directly relevant to the GSJM program's impact. The refined data were structured into descriptive narratives to capture the nuanced progression of the students' functional literacy skills accurately. Interpretations were systematically drawn from these organized displays to formulate coherent conclusions regarding the library's strategic role. </w:t>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after="0" w:line="240" w:lineRule="auto"/>
        <w:ind w:firstLine="567"/>
        <w:jc w:val="both"/>
        <w:rPr/>
      </w:pPr>
      <w:r w:rsidDel="00000000" w:rsidR="00000000" w:rsidRPr="00000000">
        <w:rPr>
          <w:rtl w:val="0"/>
        </w:rPr>
        <w:t xml:space="preserve">To ensure the credibility and validity of the findings, the study implemented rigorous methodological and source triangulation. Interview statements from teachers were cross-verified against library attendance logs and direct observations of student behavior during reading sessions. Whenever minor discrepancies emerged between student claims and teacher assessments, the researcher conducted follow-up observations to contextualize the variations. The trustworthiness of the qualitative data was firmly solidified through member checking, where preliminary interview transcripts were shared back with adult participants to verify the accuracy of their recorded perspectives (Amin et al., 2020).</w:t>
      </w:r>
    </w:p>
    <w:p w:rsidR="00000000" w:rsidDel="00000000" w:rsidP="00000000" w:rsidRDefault="00000000" w:rsidRPr="00000000" w14:paraId="0000004C">
      <w:pPr>
        <w:spacing w:after="0" w:line="240" w:lineRule="auto"/>
        <w:ind w:firstLine="274"/>
        <w:jc w:val="both"/>
        <w:rPr/>
      </w:pPr>
      <w:r w:rsidDel="00000000" w:rsidR="00000000" w:rsidRPr="00000000">
        <w:rPr>
          <w:rtl w:val="0"/>
        </w:rPr>
      </w:r>
    </w:p>
    <w:p w:rsidR="00000000" w:rsidDel="00000000" w:rsidP="00000000" w:rsidRDefault="00000000" w:rsidRPr="00000000" w14:paraId="0000004D">
      <w:pPr>
        <w:spacing w:after="0" w:line="240" w:lineRule="auto"/>
        <w:jc w:val="both"/>
        <w:rPr/>
      </w:pPr>
      <w:bookmarkStart w:colFirst="0" w:colLast="0" w:name="_heading=h.30j0zll" w:id="1"/>
      <w:bookmarkEnd w:id="1"/>
      <w:r w:rsidDel="00000000" w:rsidR="00000000" w:rsidRPr="00000000">
        <w:rPr>
          <w:b w:val="1"/>
          <w:bCs w:val="1"/>
          <w:rtl w:val="0"/>
        </w:rPr>
        <w:t xml:space="preserve">3. RESULTS AND DISCUSSION</w:t>
      </w:r>
      <w:r w:rsidDel="00000000" w:rsidR="00000000" w:rsidRPr="00000000">
        <w:rPr>
          <w:rtl w:val="0"/>
        </w:rPr>
      </w:r>
    </w:p>
    <w:p w:rsidR="00000000" w:rsidDel="00000000" w:rsidP="00000000" w:rsidRDefault="00000000" w:rsidRPr="00000000" w14:paraId="0000004E">
      <w:pPr>
        <w:spacing w:after="0" w:line="240" w:lineRule="auto"/>
        <w:jc w:val="both"/>
        <w:rPr>
          <w:b w:val="1"/>
          <w:bCs w:val="1"/>
        </w:rPr>
      </w:pPr>
      <w:r w:rsidDel="00000000" w:rsidR="00000000" w:rsidRPr="00000000">
        <w:rPr>
          <w:b w:val="1"/>
          <w:bCs w:val="1"/>
          <w:color w:val="0e101a"/>
          <w:rtl w:val="0"/>
        </w:rPr>
        <w:t xml:space="preserve">3.1. </w:t>
      </w:r>
      <w:r w:rsidDel="00000000" w:rsidR="00000000" w:rsidRPr="00000000">
        <w:rPr>
          <w:b w:val="1"/>
          <w:bCs w:val="1"/>
          <w:rtl w:val="0"/>
        </w:rPr>
        <w:t xml:space="preserve">The Role of the SMP Negeri 1 Pancur Batu Library in Eradicating Functional Illiteracy</w:t>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0" w:line="240" w:lineRule="auto"/>
        <w:ind w:firstLine="567"/>
        <w:jc w:val="both"/>
        <w:rPr/>
      </w:pPr>
      <w:r w:rsidDel="00000000" w:rsidR="00000000" w:rsidRPr="00000000">
        <w:rPr>
          <w:rtl w:val="0"/>
        </w:rPr>
        <w:t xml:space="preserve">In January 2025, 20 students (2.95%) experienced functional illiteracy. They recognized the alphabet mechanically but failed to extract meaningful information from texts. This specific gap clearly distinguishes functional illiteracy from absolute illiteracy, emphasizing the cognitive disconnect between decoding symbols and actual text comprehension. Addressing this cognitive gap requires targeted interventions that actively train reading comprehension strategies. Libraries serve as an ideal environment for this intensive remediation by providing diverse, leveled texts tailored to individual abilities (Sari &amp; Suryana, 2022).</w:t>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after="0" w:line="240" w:lineRule="auto"/>
        <w:ind w:firstLine="567"/>
        <w:jc w:val="both"/>
        <w:rPr/>
      </w:pPr>
      <w:r w:rsidDel="00000000" w:rsidR="00000000" w:rsidRPr="00000000">
        <w:rPr>
          <w:rtl w:val="0"/>
        </w:rPr>
        <w:t xml:space="preserve">The Gerakan Satu Jam Membaca (GSJM) program directly tackles this comprehension deficit by implementing a structured, progressive mentoring approach. Librarians and teachers collaborate to facilitate guided reading sessions where students must articulate the core message of the text rather than just reading aloud. This guided approach proves highly effective because it interrupts the habit of passively skimming symbols. The mechanism driving this cognitive shift relies on immediate, interactive feedback. When a student struggles with a word or misinterprets a sentence, the facilitator intervenes instantly to correct the decoding error and prompts analytical questions. "We do not only teach students to read, but also ask them to explain the content... for students unable to recognize letters, we first teach them spelling" (Informant I, March 3, 2026). This continuous cycle of reading, questioning, and direct correction forces active cognitive engagement, gradually rewiring how students process written information and helping learners build their own understanding. Active meaning-making transforms passive readers into critical thinkers capable of analyzing information (Wiguna et al., 2021).</w:t>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0" w:line="240" w:lineRule="auto"/>
        <w:ind w:firstLine="567"/>
        <w:jc w:val="both"/>
        <w:rPr/>
      </w:pPr>
      <w:r w:rsidDel="00000000" w:rsidR="00000000" w:rsidRPr="00000000">
        <w:rPr>
          <w:rtl w:val="0"/>
        </w:rPr>
        <w:t xml:space="preserve">Beyond the structured program, the physical and psychological environment of the school library significantly influences student literacy behavior. A well-organized, comfortable reading space lowers the affective filter of students who typically feel anxious when facing complex texts in formal classrooms. Observations show that students linger in the library study area, use the whiteboard provided, and read the simple learning books provided to facilitate reading. The availability of accessible, age-appropriate materials encourages self-directed learning and gradually rebuilds their academic confidence over time. Providing a safe, non-judgmental space operates as a critical determinant in sustaining long-term reading habits for struggling learners (Pratama &amp; Rofiq, 2023).</w:t>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0" w:line="240" w:lineRule="auto"/>
        <w:ind w:firstLine="567"/>
        <w:jc w:val="both"/>
        <w:rPr/>
      </w:pPr>
      <w:r w:rsidDel="00000000" w:rsidR="00000000" w:rsidRPr="00000000">
        <w:rPr>
          <w:rtl w:val="0"/>
        </w:rPr>
      </w:r>
    </w:p>
    <w:p w:rsidR="00000000" w:rsidDel="00000000" w:rsidP="00000000" w:rsidRDefault="00000000" w:rsidRPr="00000000" w14:paraId="00000053">
      <w:pPr>
        <w:spacing w:after="0" w:line="240" w:lineRule="auto"/>
        <w:ind w:firstLine="426"/>
        <w:jc w:val="center"/>
        <w:rPr>
          <w:b w:val="1"/>
          <w:bCs w:val="1"/>
        </w:rPr>
      </w:pPr>
      <w:r w:rsidDel="00000000" w:rsidR="00000000" w:rsidRPr="00000000">
        <w:rPr/>
        <w:drawing>
          <wp:inline distB="0" distT="0" distL="114300" distR="114300">
            <wp:extent cx="3441562" cy="2417246"/>
            <wp:effectExtent b="0" l="0" r="0" t="0"/>
            <wp:docPr id="8" name="image1.jpg"/>
            <a:graphic>
              <a:graphicData uri="http://schemas.openxmlformats.org/drawingml/2006/picture">
                <pic:pic>
                  <pic:nvPicPr>
                    <pic:cNvPr id="0" name="image1.jpg"/>
                    <pic:cNvPicPr preferRelativeResize="0"/>
                  </pic:nvPicPr>
                  <pic:blipFill>
                    <a:blip r:embed="rId19"/>
                    <a:srcRect b="26320" l="0" r="0" t="34162"/>
                    <a:stretch>
                      <a:fillRect/>
                    </a:stretch>
                  </pic:blipFill>
                  <pic:spPr>
                    <a:xfrm>
                      <a:off x="0" y="0"/>
                      <a:ext cx="3441562" cy="2417246"/>
                    </a:xfrm>
                    <a:prstGeom prst="rect"/>
                    <a:ln/>
                  </pic:spPr>
                </pic:pic>
              </a:graphicData>
            </a:graphic>
          </wp:inline>
        </w:drawing>
      </w:r>
      <w:r w:rsidDel="00000000" w:rsidR="00000000" w:rsidRPr="00000000">
        <w:rPr>
          <w:rtl w:val="0"/>
        </w:rPr>
      </w:r>
    </w:p>
    <w:p w:rsidR="00000000" w:rsidDel="00000000" w:rsidP="00000000" w:rsidRDefault="00000000" w:rsidRPr="00000000" w14:paraId="00000054">
      <w:pPr>
        <w:spacing w:after="0" w:line="240" w:lineRule="auto"/>
        <w:ind w:left="567" w:firstLine="0"/>
        <w:jc w:val="center"/>
        <w:rPr/>
      </w:pPr>
      <w:r w:rsidDel="00000000" w:rsidR="00000000" w:rsidRPr="00000000">
        <w:rPr>
          <w:b w:val="1"/>
          <w:bCs w:val="1"/>
          <w:rtl w:val="0"/>
        </w:rPr>
        <w:t xml:space="preserve">Figure 2.</w:t>
      </w:r>
      <w:r w:rsidDel="00000000" w:rsidR="00000000" w:rsidRPr="00000000">
        <w:rPr>
          <w:rtl w:val="0"/>
        </w:rPr>
        <w:t xml:space="preserve"> GSJM Activities in the School Library</w:t>
      </w:r>
    </w:p>
    <w:p w:rsidR="00000000" w:rsidDel="00000000" w:rsidP="00000000" w:rsidRDefault="00000000" w:rsidRPr="00000000" w14:paraId="00000055">
      <w:pPr>
        <w:spacing w:after="0" w:line="240" w:lineRule="auto"/>
        <w:ind w:left="567" w:firstLine="0"/>
        <w:jc w:val="center"/>
        <w:rPr/>
      </w:pPr>
      <w:r w:rsidDel="00000000" w:rsidR="00000000" w:rsidRPr="00000000">
        <w:rPr>
          <w:rtl w:val="0"/>
        </w:rPr>
        <w:t xml:space="preserve">Source: Researcher’s documentation, 2026.</w:t>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0" w:line="240" w:lineRule="auto"/>
        <w:ind w:firstLine="567"/>
        <w:jc w:val="both"/>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0" w:line="240" w:lineRule="auto"/>
        <w:ind w:firstLine="567"/>
        <w:jc w:val="both"/>
        <w:rPr/>
      </w:pPr>
      <w:r w:rsidDel="00000000" w:rsidR="00000000" w:rsidRPr="00000000">
        <w:rPr>
          <w:rtl w:val="0"/>
        </w:rPr>
        <w:t xml:space="preserve">The implementation of GSJM triggered a positive shift in student engagement, evidenced by a drastic increase in voluntary library visits and book borrowing frequencies. Clarifying previous baseline records, longitudinal observation data demonstrated a consistent, gradual decline in the number of functionally illiterate students. The initial baseline of 20 students progressively decreased to 5 students as participants successfully transitioned into proficient readers capable of independent comprehension. This measurable progress proves that habitual, mentored reading significantly accelerates the acquisition of functional literacy skills. Continuous, personalized assistance proves far more effective than generalized, school-wide reading campaigns (Rahmawati &amp; Khoiruddin, 2022).</w:t>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0" w:line="240" w:lineRule="auto"/>
        <w:ind w:firstLine="567"/>
        <w:jc w:val="both"/>
        <w:rPr/>
      </w:pPr>
      <w:r w:rsidDel="00000000" w:rsidR="00000000" w:rsidRPr="00000000">
        <w:rPr>
          <w:rtl w:val="0"/>
        </w:rPr>
        <w:t xml:space="preserve">These findings enrich the existing literature by highlighting the absolute necessity of intensive, personalized interventions within school libraries. Previous studies often emphasized mere facility improvements or mandated silent reading, which rarely improved actual text comprehension for slow readers. The GSJM model demonstrates that a library's true value lies in its active programming and the collaborative pedagogical efforts between librarians and subject teachers. Integrating various literacy activities, such as writing and reading comprehension, and ensure the holistic development of cognitive processing skills.This proactive library model serves as a robust framework for schools aiming to eradicate functional illiteracy comprehensively (Kurniawan &amp; Hidayat, 2021).</w:t>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0" w:line="240" w:lineRule="auto"/>
        <w:ind w:firstLine="567"/>
        <w:jc w:val="both"/>
        <w:rPr/>
      </w:pPr>
      <w:r w:rsidDel="00000000" w:rsidR="00000000" w:rsidRPr="00000000">
        <w:rPr>
          <w:rtl w:val="0"/>
        </w:rPr>
      </w:r>
    </w:p>
    <w:p w:rsidR="00000000" w:rsidDel="00000000" w:rsidP="00000000" w:rsidRDefault="00000000" w:rsidRPr="00000000" w14:paraId="0000005A">
      <w:pPr>
        <w:tabs>
          <w:tab w:val="left" w:leader="none" w:pos="1490"/>
        </w:tabs>
        <w:spacing w:after="0" w:line="240" w:lineRule="auto"/>
        <w:jc w:val="both"/>
        <w:rPr>
          <w:b w:val="1"/>
          <w:bCs w:val="1"/>
          <w:color w:val="0e101a"/>
        </w:rPr>
      </w:pPr>
      <w:r w:rsidDel="00000000" w:rsidR="00000000" w:rsidRPr="00000000">
        <w:rPr>
          <w:b w:val="1"/>
          <w:bCs w:val="1"/>
          <w:color w:val="0e101a"/>
          <w:rtl w:val="0"/>
        </w:rPr>
        <w:t xml:space="preserve">3.2. </w:t>
      </w:r>
      <w:r w:rsidDel="00000000" w:rsidR="00000000" w:rsidRPr="00000000">
        <w:rPr>
          <w:b w:val="1"/>
          <w:bCs w:val="1"/>
          <w:rtl w:val="0"/>
        </w:rPr>
        <w:t xml:space="preserve">Supporting Factors in Efforts to Eradicate Functional Illiteracy</w:t>
      </w:r>
      <w:r w:rsidDel="00000000" w:rsidR="00000000" w:rsidRPr="00000000">
        <w:rPr>
          <w:b w:val="1"/>
          <w:bCs w:val="1"/>
          <w:color w:val="0e101a"/>
          <w:rtl w:val="0"/>
        </w:rPr>
        <w:tab/>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0" w:line="240" w:lineRule="auto"/>
        <w:ind w:firstLine="567"/>
        <w:jc w:val="both"/>
        <w:rPr/>
      </w:pPr>
      <w:r w:rsidDel="00000000" w:rsidR="00000000" w:rsidRPr="00000000">
        <w:rPr>
          <w:rtl w:val="0"/>
        </w:rPr>
        <w:t xml:space="preserve">The success of the GSJM program fundamentally relies on the structured collaboration between classroom teachers and librarians. Teachers function as active facilitators providing direct pedagogical guidance, while librarians curate specific reading materials tailored to individual cognitive levels. This integrated support system significantly lowers the learning barrier for struggling students. Joint pedagogical efforts create a cohesive learning environment where students feel continuously guided rather than abandoned with difficult texts. Such collaborative scaffolding actively reinforces basic reading mechanics before advancing to complex text analysis (Heriyanto et al., 2021).</w:t>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0" w:line="240" w:lineRule="auto"/>
        <w:ind w:firstLine="567"/>
        <w:jc w:val="both"/>
        <w:rPr/>
      </w:pPr>
      <w:r w:rsidDel="00000000" w:rsidR="00000000" w:rsidRPr="00000000">
        <w:rPr>
          <w:rtl w:val="0"/>
        </w:rPr>
        <w:t xml:space="preserve">Informant 3 highlighted this targeted approach during the March 3 interview, emphasizing personalized assistance starting from basic letter recognition. This gradual mentoring effectively translates conceptual learning theories into practical library interventions without requiring formal curriculum overhauls. Students reconstruct their understanding of phonics and vocabulary step-by-step under close supervision. Intrinsic motivation naturally emerges as learners experience small, consistent victories in decoding previously incomprehensible words. Building foundational competence directly influences a student's willingness to engage in more demanding comprehension exercises later (Nugraha &amp; Octavianah, 2020).</w:t>
      </w:r>
    </w:p>
    <w:tbl>
      <w:tblPr>
        <w:tblStyle w:val="Table3"/>
        <w:tblpPr w:leftFromText="180" w:rightFromText="180" w:topFromText="0" w:bottomFromText="0" w:vertAnchor="text" w:horzAnchor="text" w:tblpX="401" w:tblpY="595"/>
        <w:tblW w:w="822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2"/>
        <w:gridCol w:w="1179"/>
        <w:gridCol w:w="1771"/>
        <w:gridCol w:w="1568"/>
        <w:gridCol w:w="2712"/>
        <w:tblGridChange w:id="0">
          <w:tblGrid>
            <w:gridCol w:w="992"/>
            <w:gridCol w:w="1179"/>
            <w:gridCol w:w="1771"/>
            <w:gridCol w:w="1568"/>
            <w:gridCol w:w="2712"/>
          </w:tblGrid>
        </w:tblGridChange>
      </w:tblGrid>
      <w:tr>
        <w:trPr>
          <w:cantSplit w:val="0"/>
          <w:trHeight w:val="57" w:hRule="atLeast"/>
          <w:tblHeader w:val="0"/>
        </w:trPr>
        <w:tc>
          <w:tcPr>
            <w:tcBorders>
              <w:top w:color="bfbfbf" w:space="0" w:sz="4" w:val="single"/>
              <w:left w:color="000000" w:space="0" w:sz="0" w:val="nil"/>
              <w:right w:color="000000" w:space="0" w:sz="0" w:val="nil"/>
            </w:tcBorders>
            <w:vAlign w:val="center"/>
          </w:tcPr>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spacing w:after="0" w:line="275" w:lineRule="auto"/>
              <w:ind w:left="7" w:firstLine="0"/>
              <w:jc w:val="center"/>
              <w:rPr>
                <w:b w:val="1"/>
                <w:bCs w:val="1"/>
                <w:color w:val="000000"/>
                <w:sz w:val="21"/>
                <w:szCs w:val="21"/>
              </w:rPr>
            </w:pPr>
            <w:r w:rsidDel="00000000" w:rsidR="00000000" w:rsidRPr="00000000">
              <w:rPr>
                <w:b w:val="1"/>
                <w:bCs w:val="1"/>
                <w:color w:val="000000"/>
                <w:sz w:val="21"/>
                <w:szCs w:val="21"/>
                <w:rtl w:val="0"/>
              </w:rPr>
              <w:t xml:space="preserve">Year</w:t>
            </w:r>
          </w:p>
        </w:tc>
        <w:tc>
          <w:tcPr>
            <w:tcBorders>
              <w:top w:color="bfbfbf" w:space="0" w:sz="4" w:val="single"/>
              <w:left w:color="000000" w:space="0" w:sz="0" w:val="nil"/>
              <w:right w:color="000000" w:space="0" w:sz="0" w:val="nil"/>
            </w:tcBorders>
            <w:vAlign w:val="center"/>
          </w:tcPr>
          <w:p w:rsidR="00000000" w:rsidDel="00000000" w:rsidP="00000000" w:rsidRDefault="00000000" w:rsidRPr="00000000" w14:paraId="0000005E">
            <w:pPr>
              <w:widowControl w:val="0"/>
              <w:pBdr>
                <w:top w:space="0" w:sz="0" w:val="nil"/>
                <w:left w:space="0" w:sz="0" w:val="nil"/>
                <w:bottom w:space="0" w:sz="0" w:val="nil"/>
                <w:right w:space="0" w:sz="0" w:val="nil"/>
                <w:between w:space="0" w:sz="0" w:val="nil"/>
              </w:pBdr>
              <w:spacing w:after="0" w:line="275" w:lineRule="auto"/>
              <w:jc w:val="center"/>
              <w:rPr>
                <w:b w:val="1"/>
                <w:bCs w:val="1"/>
                <w:color w:val="000000"/>
                <w:sz w:val="21"/>
                <w:szCs w:val="21"/>
              </w:rPr>
            </w:pPr>
            <w:r w:rsidDel="00000000" w:rsidR="00000000" w:rsidRPr="00000000">
              <w:rPr>
                <w:b w:val="1"/>
                <w:bCs w:val="1"/>
                <w:color w:val="000000"/>
                <w:sz w:val="21"/>
                <w:szCs w:val="21"/>
                <w:rtl w:val="0"/>
              </w:rPr>
              <w:t xml:space="preserve">Month</w:t>
            </w:r>
          </w:p>
        </w:tc>
        <w:tc>
          <w:tcPr>
            <w:tcBorders>
              <w:top w:color="bfbfbf" w:space="0" w:sz="4" w:val="single"/>
              <w:left w:color="000000" w:space="0" w:sz="0" w:val="nil"/>
              <w:right w:color="000000" w:space="0" w:sz="0" w:val="nil"/>
            </w:tcBorders>
            <w:vAlign w:val="center"/>
          </w:tcPr>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spacing w:after="0" w:line="275" w:lineRule="auto"/>
              <w:ind w:left="11" w:right="3" w:firstLine="0"/>
              <w:jc w:val="center"/>
              <w:rPr>
                <w:b w:val="1"/>
                <w:bCs w:val="1"/>
                <w:color w:val="000000"/>
                <w:sz w:val="21"/>
                <w:szCs w:val="21"/>
              </w:rPr>
            </w:pPr>
            <w:r w:rsidDel="00000000" w:rsidR="00000000" w:rsidRPr="00000000">
              <w:rPr>
                <w:b w:val="1"/>
                <w:bCs w:val="1"/>
                <w:color w:val="000000"/>
                <w:sz w:val="21"/>
                <w:szCs w:val="21"/>
                <w:rtl w:val="0"/>
              </w:rPr>
              <w:t xml:space="preserve">Number of Students Not Yet Able to Read</w:t>
            </w:r>
          </w:p>
        </w:tc>
        <w:tc>
          <w:tcPr>
            <w:tcBorders>
              <w:top w:color="bfbfbf" w:space="0" w:sz="4" w:val="single"/>
              <w:left w:color="000000" w:space="0" w:sz="0" w:val="nil"/>
              <w:right w:color="000000" w:space="0" w:sz="0" w:val="nil"/>
            </w:tcBorders>
            <w:vAlign w:val="center"/>
          </w:tcPr>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spacing w:after="0" w:line="275" w:lineRule="auto"/>
              <w:ind w:left="12" w:right="4" w:firstLine="0"/>
              <w:jc w:val="center"/>
              <w:rPr>
                <w:b w:val="1"/>
                <w:bCs w:val="1"/>
                <w:color w:val="000000"/>
                <w:sz w:val="21"/>
                <w:szCs w:val="21"/>
              </w:rPr>
            </w:pPr>
            <w:r w:rsidDel="00000000" w:rsidR="00000000" w:rsidRPr="00000000">
              <w:rPr>
                <w:b w:val="1"/>
                <w:bCs w:val="1"/>
                <w:color w:val="000000"/>
                <w:sz w:val="21"/>
                <w:szCs w:val="21"/>
                <w:rtl w:val="0"/>
              </w:rPr>
              <w:t xml:space="preserve">The Number of Students Has Increased</w:t>
            </w:r>
          </w:p>
        </w:tc>
        <w:tc>
          <w:tcPr>
            <w:tcBorders>
              <w:top w:color="bfbfbf" w:space="0" w:sz="4" w:val="single"/>
              <w:left w:color="000000" w:space="0" w:sz="0" w:val="nil"/>
              <w:right w:color="000000" w:space="0" w:sz="0" w:val="nil"/>
            </w:tcBorders>
            <w:vAlign w:val="center"/>
          </w:tcPr>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spacing w:after="0" w:line="275" w:lineRule="auto"/>
              <w:ind w:left="12" w:right="4" w:firstLine="0"/>
              <w:jc w:val="center"/>
              <w:rPr>
                <w:b w:val="1"/>
                <w:bCs w:val="1"/>
                <w:color w:val="000000"/>
                <w:sz w:val="21"/>
                <w:szCs w:val="21"/>
              </w:rPr>
            </w:pPr>
            <w:r w:rsidDel="00000000" w:rsidR="00000000" w:rsidRPr="00000000">
              <w:rPr>
                <w:b w:val="1"/>
                <w:bCs w:val="1"/>
                <w:color w:val="000000"/>
                <w:sz w:val="21"/>
                <w:szCs w:val="21"/>
                <w:rtl w:val="0"/>
              </w:rPr>
              <w:t xml:space="preserve">Not on Progress</w:t>
            </w:r>
          </w:p>
        </w:tc>
      </w:tr>
      <w:tr>
        <w:trPr>
          <w:cantSplit w:val="0"/>
          <w:trHeight w:val="57" w:hRule="atLeast"/>
          <w:tblHeader w:val="0"/>
        </w:trPr>
        <w:tc>
          <w:tcPr>
            <w:tcBorders>
              <w:left w:color="000000" w:space="0" w:sz="0" w:val="nil"/>
              <w:bottom w:color="000000" w:space="0" w:sz="0" w:val="nil"/>
              <w:right w:color="000000" w:space="0" w:sz="0" w:val="nil"/>
            </w:tcBorders>
            <w:vAlign w:val="center"/>
          </w:tcPr>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spacing w:after="0" w:line="276" w:lineRule="auto"/>
              <w:ind w:left="107" w:firstLine="0"/>
              <w:jc w:val="center"/>
              <w:rPr>
                <w:color w:val="000000"/>
                <w:sz w:val="21"/>
                <w:szCs w:val="21"/>
              </w:rPr>
            </w:pPr>
            <w:r w:rsidDel="00000000" w:rsidR="00000000" w:rsidRPr="00000000">
              <w:rPr>
                <w:color w:val="000000"/>
                <w:sz w:val="21"/>
                <w:szCs w:val="21"/>
                <w:rtl w:val="0"/>
              </w:rPr>
              <w:t xml:space="preserve">2025</w:t>
            </w:r>
          </w:p>
        </w:tc>
        <w:tc>
          <w:tcPr>
            <w:tcBorders>
              <w:left w:color="000000" w:space="0" w:sz="0" w:val="nil"/>
              <w:bottom w:color="000000" w:space="0" w:sz="0" w:val="nil"/>
              <w:right w:color="000000" w:space="0" w:sz="0" w:val="nil"/>
            </w:tcBorders>
            <w:vAlign w:val="center"/>
          </w:tcPr>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spacing w:after="0" w:line="240" w:lineRule="auto"/>
              <w:ind w:left="108" w:firstLine="0"/>
              <w:rPr>
                <w:color w:val="000000"/>
                <w:sz w:val="21"/>
                <w:szCs w:val="21"/>
              </w:rPr>
            </w:pPr>
            <w:r w:rsidDel="00000000" w:rsidR="00000000" w:rsidRPr="00000000">
              <w:rPr>
                <w:color w:val="000000"/>
                <w:sz w:val="21"/>
                <w:szCs w:val="21"/>
                <w:rtl w:val="0"/>
              </w:rPr>
              <w:t xml:space="preserve">January</w:t>
            </w:r>
          </w:p>
        </w:tc>
        <w:tc>
          <w:tcPr>
            <w:tcBorders>
              <w:left w:color="000000" w:space="0" w:sz="0" w:val="nil"/>
              <w:bottom w:color="000000" w:space="0" w:sz="0" w:val="nil"/>
              <w:right w:color="000000" w:space="0" w:sz="0" w:val="nil"/>
            </w:tcBorders>
            <w:vAlign w:val="center"/>
          </w:tcPr>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spacing w:after="0" w:line="276" w:lineRule="auto"/>
              <w:ind w:left="11" w:firstLine="0"/>
              <w:jc w:val="center"/>
              <w:rPr>
                <w:color w:val="000000"/>
                <w:sz w:val="21"/>
                <w:szCs w:val="21"/>
              </w:rPr>
            </w:pPr>
            <w:r w:rsidDel="00000000" w:rsidR="00000000" w:rsidRPr="00000000">
              <w:rPr>
                <w:color w:val="000000"/>
                <w:sz w:val="21"/>
                <w:szCs w:val="21"/>
                <w:rtl w:val="0"/>
              </w:rPr>
              <w:t xml:space="preserve">20</w:t>
            </w:r>
          </w:p>
        </w:tc>
        <w:tc>
          <w:tcPr>
            <w:tcBorders>
              <w:left w:color="000000" w:space="0" w:sz="0" w:val="nil"/>
              <w:bottom w:color="000000" w:space="0" w:sz="0" w:val="nil"/>
              <w:right w:color="000000" w:space="0" w:sz="0" w:val="nil"/>
            </w:tcBorders>
            <w:vAlign w:val="center"/>
          </w:tcPr>
          <w:p w:rsidR="00000000" w:rsidDel="00000000" w:rsidP="00000000" w:rsidRDefault="00000000" w:rsidRPr="00000000" w14:paraId="00000065">
            <w:pPr>
              <w:widowControl w:val="0"/>
              <w:pBdr>
                <w:top w:space="0" w:sz="0" w:val="nil"/>
                <w:left w:space="0" w:sz="0" w:val="nil"/>
                <w:bottom w:space="0" w:sz="0" w:val="nil"/>
                <w:right w:space="0" w:sz="0" w:val="nil"/>
                <w:between w:space="0" w:sz="0" w:val="nil"/>
              </w:pBdr>
              <w:spacing w:after="0" w:line="276" w:lineRule="auto"/>
              <w:ind w:left="12" w:firstLine="0"/>
              <w:jc w:val="center"/>
              <w:rPr>
                <w:color w:val="000000"/>
                <w:sz w:val="21"/>
                <w:szCs w:val="21"/>
              </w:rPr>
            </w:pPr>
            <w:r w:rsidDel="00000000" w:rsidR="00000000" w:rsidRPr="00000000">
              <w:rPr>
                <w:color w:val="000000"/>
                <w:sz w:val="21"/>
                <w:szCs w:val="21"/>
                <w:rtl w:val="0"/>
              </w:rPr>
              <w:t xml:space="preserve">0</w:t>
            </w:r>
          </w:p>
        </w:tc>
        <w:tc>
          <w:tcPr>
            <w:tcBorders>
              <w:left w:color="000000" w:space="0" w:sz="0" w:val="nil"/>
              <w:bottom w:color="000000" w:space="0" w:sz="0" w:val="nil"/>
              <w:right w:color="000000" w:space="0" w:sz="0" w:val="nil"/>
            </w:tcBorders>
          </w:tcPr>
          <w:p w:rsidR="00000000" w:rsidDel="00000000" w:rsidP="00000000" w:rsidRDefault="00000000" w:rsidRPr="00000000" w14:paraId="00000066">
            <w:pPr>
              <w:widowControl w:val="0"/>
              <w:pBdr>
                <w:top w:space="0" w:sz="0" w:val="nil"/>
                <w:left w:space="0" w:sz="0" w:val="nil"/>
                <w:bottom w:space="0" w:sz="0" w:val="nil"/>
                <w:right w:space="0" w:sz="0" w:val="nil"/>
                <w:between w:space="0" w:sz="0" w:val="nil"/>
              </w:pBdr>
              <w:spacing w:after="0" w:line="276" w:lineRule="auto"/>
              <w:ind w:left="12" w:firstLine="0"/>
              <w:jc w:val="center"/>
              <w:rPr>
                <w:color w:val="000000"/>
                <w:sz w:val="21"/>
                <w:szCs w:val="21"/>
              </w:rPr>
            </w:pPr>
            <w:r w:rsidDel="00000000" w:rsidR="00000000" w:rsidRPr="00000000">
              <w:rPr>
                <w:color w:val="000000"/>
                <w:sz w:val="21"/>
                <w:szCs w:val="21"/>
                <w:rtl w:val="0"/>
              </w:rPr>
              <w:t xml:space="preserve">Initial Data</w:t>
            </w:r>
          </w:p>
        </w:tc>
      </w:tr>
      <w:tr>
        <w:trPr>
          <w:cantSplit w:val="0"/>
          <w:trHeight w:val="57"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spacing w:after="0" w:line="276" w:lineRule="auto"/>
              <w:ind w:left="107" w:firstLine="0"/>
              <w:jc w:val="center"/>
              <w:rPr>
                <w:color w:val="000000"/>
                <w:sz w:val="21"/>
                <w:szCs w:val="21"/>
              </w:rPr>
            </w:pPr>
            <w:r w:rsidDel="00000000" w:rsidR="00000000" w:rsidRPr="00000000">
              <w:rPr>
                <w:color w:val="000000"/>
                <w:sz w:val="21"/>
                <w:szCs w:val="21"/>
                <w:rtl w:val="0"/>
              </w:rPr>
              <w:t xml:space="preserve">2025</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spacing w:after="0" w:line="275" w:lineRule="auto"/>
              <w:ind w:left="108" w:firstLine="0"/>
              <w:rPr>
                <w:color w:val="000000"/>
                <w:sz w:val="21"/>
                <w:szCs w:val="21"/>
              </w:rPr>
            </w:pPr>
            <w:r w:rsidDel="00000000" w:rsidR="00000000" w:rsidRPr="00000000">
              <w:rPr>
                <w:color w:val="000000"/>
                <w:sz w:val="21"/>
                <w:szCs w:val="21"/>
                <w:rtl w:val="0"/>
              </w:rPr>
              <w:t xml:space="preserve">February</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spacing w:after="0" w:line="276" w:lineRule="auto"/>
              <w:ind w:left="11" w:firstLine="0"/>
              <w:jc w:val="center"/>
              <w:rPr>
                <w:color w:val="000000"/>
                <w:sz w:val="21"/>
                <w:szCs w:val="21"/>
              </w:rPr>
            </w:pPr>
            <w:r w:rsidDel="00000000" w:rsidR="00000000" w:rsidRPr="00000000">
              <w:rPr>
                <w:color w:val="000000"/>
                <w:sz w:val="21"/>
                <w:szCs w:val="21"/>
                <w:rtl w:val="0"/>
              </w:rPr>
              <w:t xml:space="preserve">18</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spacing w:after="0" w:line="276" w:lineRule="auto"/>
              <w:ind w:left="12" w:right="2" w:firstLine="0"/>
              <w:jc w:val="center"/>
              <w:rPr>
                <w:color w:val="000000"/>
                <w:sz w:val="21"/>
                <w:szCs w:val="21"/>
              </w:rPr>
            </w:pPr>
            <w:r w:rsidDel="00000000" w:rsidR="00000000" w:rsidRPr="00000000">
              <w:rPr>
                <w:color w:val="000000"/>
                <w:sz w:val="21"/>
                <w:szCs w:val="21"/>
                <w:rtl w:val="0"/>
              </w:rPr>
              <w:t xml:space="preserve">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spacing w:after="0" w:line="276" w:lineRule="auto"/>
              <w:ind w:left="12" w:right="2" w:firstLine="0"/>
              <w:jc w:val="center"/>
              <w:rPr>
                <w:color w:val="000000"/>
                <w:sz w:val="21"/>
                <w:szCs w:val="21"/>
              </w:rPr>
            </w:pPr>
            <w:r w:rsidDel="00000000" w:rsidR="00000000" w:rsidRPr="00000000">
              <w:rPr>
                <w:color w:val="000000"/>
                <w:sz w:val="21"/>
                <w:szCs w:val="21"/>
                <w:rtl w:val="0"/>
              </w:rPr>
              <w:t xml:space="preserve">2 Student Became Proficient</w:t>
            </w:r>
          </w:p>
        </w:tc>
      </w:tr>
      <w:tr>
        <w:trPr>
          <w:cantSplit w:val="0"/>
          <w:trHeight w:val="57"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spacing w:after="0" w:line="276" w:lineRule="auto"/>
              <w:ind w:left="107" w:firstLine="0"/>
              <w:jc w:val="center"/>
              <w:rPr>
                <w:color w:val="000000"/>
                <w:sz w:val="21"/>
                <w:szCs w:val="21"/>
              </w:rPr>
            </w:pPr>
            <w:r w:rsidDel="00000000" w:rsidR="00000000" w:rsidRPr="00000000">
              <w:rPr>
                <w:color w:val="000000"/>
                <w:sz w:val="21"/>
                <w:szCs w:val="21"/>
                <w:rtl w:val="0"/>
              </w:rPr>
              <w:t xml:space="preserve">2025</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spacing w:after="0" w:line="240" w:lineRule="auto"/>
              <w:ind w:left="108" w:firstLine="0"/>
              <w:rPr>
                <w:color w:val="000000"/>
                <w:sz w:val="21"/>
                <w:szCs w:val="21"/>
              </w:rPr>
            </w:pPr>
            <w:r w:rsidDel="00000000" w:rsidR="00000000" w:rsidRPr="00000000">
              <w:rPr>
                <w:color w:val="000000"/>
                <w:sz w:val="21"/>
                <w:szCs w:val="21"/>
                <w:rtl w:val="0"/>
              </w:rPr>
              <w:t xml:space="preserve">March</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spacing w:after="0" w:line="276" w:lineRule="auto"/>
              <w:ind w:left="11" w:firstLine="0"/>
              <w:jc w:val="center"/>
              <w:rPr>
                <w:color w:val="000000"/>
                <w:sz w:val="21"/>
                <w:szCs w:val="21"/>
              </w:rPr>
            </w:pPr>
            <w:r w:rsidDel="00000000" w:rsidR="00000000" w:rsidRPr="00000000">
              <w:rPr>
                <w:color w:val="000000"/>
                <w:sz w:val="21"/>
                <w:szCs w:val="21"/>
                <w:rtl w:val="0"/>
              </w:rPr>
              <w:t xml:space="preserve">15</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spacing w:after="0" w:line="276" w:lineRule="auto"/>
              <w:ind w:left="12" w:firstLine="0"/>
              <w:jc w:val="center"/>
              <w:rPr>
                <w:color w:val="000000"/>
                <w:sz w:val="21"/>
                <w:szCs w:val="21"/>
              </w:rPr>
            </w:pPr>
            <w:r w:rsidDel="00000000" w:rsidR="00000000" w:rsidRPr="00000000">
              <w:rPr>
                <w:color w:val="000000"/>
                <w:sz w:val="21"/>
                <w:szCs w:val="21"/>
                <w:rtl w:val="0"/>
              </w:rPr>
              <w:t xml:space="preserve">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spacing w:after="0" w:line="276" w:lineRule="auto"/>
              <w:ind w:left="12" w:firstLine="0"/>
              <w:jc w:val="center"/>
              <w:rPr>
                <w:color w:val="000000"/>
                <w:sz w:val="21"/>
                <w:szCs w:val="21"/>
              </w:rPr>
            </w:pPr>
            <w:r w:rsidDel="00000000" w:rsidR="00000000" w:rsidRPr="00000000">
              <w:rPr>
                <w:color w:val="000000"/>
                <w:sz w:val="21"/>
                <w:szCs w:val="21"/>
                <w:rtl w:val="0"/>
              </w:rPr>
              <w:t xml:space="preserve">Gradual Improvement</w:t>
            </w:r>
          </w:p>
        </w:tc>
      </w:tr>
      <w:tr>
        <w:trPr>
          <w:cantSplit w:val="0"/>
          <w:trHeight w:val="57"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spacing w:after="0" w:line="276" w:lineRule="auto"/>
              <w:ind w:left="107" w:firstLine="0"/>
              <w:jc w:val="center"/>
              <w:rPr>
                <w:color w:val="000000"/>
                <w:sz w:val="21"/>
                <w:szCs w:val="21"/>
              </w:rPr>
            </w:pPr>
            <w:r w:rsidDel="00000000" w:rsidR="00000000" w:rsidRPr="00000000">
              <w:rPr>
                <w:color w:val="000000"/>
                <w:sz w:val="21"/>
                <w:szCs w:val="21"/>
                <w:rtl w:val="0"/>
              </w:rPr>
              <w:t xml:space="preserve">2025</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spacing w:after="0" w:line="276" w:lineRule="auto"/>
              <w:ind w:left="108" w:firstLine="0"/>
              <w:rPr>
                <w:color w:val="000000"/>
                <w:sz w:val="21"/>
                <w:szCs w:val="21"/>
              </w:rPr>
            </w:pPr>
            <w:r w:rsidDel="00000000" w:rsidR="00000000" w:rsidRPr="00000000">
              <w:rPr>
                <w:color w:val="000000"/>
                <w:sz w:val="21"/>
                <w:szCs w:val="21"/>
                <w:rtl w:val="0"/>
              </w:rPr>
              <w:t xml:space="preserve">April</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spacing w:after="0" w:line="276" w:lineRule="auto"/>
              <w:ind w:left="11" w:right="1" w:firstLine="0"/>
              <w:jc w:val="center"/>
              <w:rPr>
                <w:color w:val="000000"/>
                <w:sz w:val="21"/>
                <w:szCs w:val="21"/>
              </w:rPr>
            </w:pPr>
            <w:r w:rsidDel="00000000" w:rsidR="00000000" w:rsidRPr="00000000">
              <w:rPr>
                <w:color w:val="000000"/>
                <w:sz w:val="21"/>
                <w:szCs w:val="21"/>
                <w:rtl w:val="0"/>
              </w:rPr>
              <w:t xml:space="preserve">12</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spacing w:after="0" w:line="276" w:lineRule="auto"/>
              <w:ind w:left="12" w:firstLine="0"/>
              <w:jc w:val="center"/>
              <w:rPr>
                <w:color w:val="000000"/>
                <w:sz w:val="21"/>
                <w:szCs w:val="21"/>
              </w:rPr>
            </w:pPr>
            <w:r w:rsidDel="00000000" w:rsidR="00000000" w:rsidRPr="00000000">
              <w:rPr>
                <w:color w:val="000000"/>
                <w:sz w:val="21"/>
                <w:szCs w:val="21"/>
                <w:rtl w:val="0"/>
              </w:rPr>
              <w:t xml:space="preserve">8</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spacing w:after="0" w:line="276" w:lineRule="auto"/>
              <w:ind w:left="12" w:firstLine="0"/>
              <w:jc w:val="center"/>
              <w:rPr>
                <w:color w:val="000000"/>
                <w:sz w:val="21"/>
                <w:szCs w:val="21"/>
              </w:rPr>
            </w:pPr>
            <w:r w:rsidDel="00000000" w:rsidR="00000000" w:rsidRPr="00000000">
              <w:rPr>
                <w:color w:val="000000"/>
                <w:sz w:val="21"/>
                <w:szCs w:val="21"/>
                <w:rtl w:val="0"/>
              </w:rPr>
              <w:t xml:space="preserve">Program Becoming Effective</w:t>
            </w:r>
          </w:p>
        </w:tc>
      </w:tr>
      <w:tr>
        <w:trPr>
          <w:cantSplit w:val="0"/>
          <w:trHeight w:val="57"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spacing w:after="0" w:line="276" w:lineRule="auto"/>
              <w:ind w:left="107" w:firstLine="0"/>
              <w:jc w:val="center"/>
              <w:rPr>
                <w:color w:val="000000"/>
                <w:sz w:val="21"/>
                <w:szCs w:val="21"/>
              </w:rPr>
            </w:pPr>
            <w:r w:rsidDel="00000000" w:rsidR="00000000" w:rsidRPr="00000000">
              <w:rPr>
                <w:color w:val="000000"/>
                <w:sz w:val="21"/>
                <w:szCs w:val="21"/>
                <w:rtl w:val="0"/>
              </w:rPr>
              <w:t xml:space="preserve">2025</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spacing w:after="0" w:line="240" w:lineRule="auto"/>
              <w:ind w:left="108" w:firstLine="0"/>
              <w:rPr>
                <w:color w:val="000000"/>
                <w:sz w:val="21"/>
                <w:szCs w:val="21"/>
              </w:rPr>
            </w:pPr>
            <w:r w:rsidDel="00000000" w:rsidR="00000000" w:rsidRPr="00000000">
              <w:rPr>
                <w:color w:val="000000"/>
                <w:sz w:val="21"/>
                <w:szCs w:val="21"/>
                <w:rtl w:val="0"/>
              </w:rPr>
              <w:t xml:space="preserve">May</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spacing w:after="0" w:line="276" w:lineRule="auto"/>
              <w:ind w:left="11" w:right="2" w:firstLine="0"/>
              <w:jc w:val="center"/>
              <w:rPr>
                <w:color w:val="000000"/>
                <w:sz w:val="21"/>
                <w:szCs w:val="21"/>
              </w:rPr>
            </w:pPr>
            <w:r w:rsidDel="00000000" w:rsidR="00000000" w:rsidRPr="00000000">
              <w:rPr>
                <w:color w:val="000000"/>
                <w:sz w:val="21"/>
                <w:szCs w:val="21"/>
                <w:rtl w:val="0"/>
              </w:rPr>
              <w:t xml:space="preserve">8</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spacing w:after="0" w:line="276" w:lineRule="auto"/>
              <w:ind w:left="12" w:firstLine="0"/>
              <w:jc w:val="center"/>
              <w:rPr>
                <w:color w:val="000000"/>
                <w:sz w:val="21"/>
                <w:szCs w:val="21"/>
              </w:rPr>
            </w:pPr>
            <w:r w:rsidDel="00000000" w:rsidR="00000000" w:rsidRPr="00000000">
              <w:rPr>
                <w:color w:val="000000"/>
                <w:sz w:val="21"/>
                <w:szCs w:val="21"/>
                <w:rtl w:val="0"/>
              </w:rPr>
              <w:t xml:space="preserve">12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A">
            <w:pPr>
              <w:widowControl w:val="0"/>
              <w:pBdr>
                <w:top w:space="0" w:sz="0" w:val="nil"/>
                <w:left w:space="0" w:sz="0" w:val="nil"/>
                <w:bottom w:space="0" w:sz="0" w:val="nil"/>
                <w:right w:space="0" w:sz="0" w:val="nil"/>
                <w:between w:space="0" w:sz="0" w:val="nil"/>
              </w:pBdr>
              <w:spacing w:after="0" w:line="276" w:lineRule="auto"/>
              <w:ind w:left="12" w:firstLine="0"/>
              <w:jc w:val="center"/>
              <w:rPr>
                <w:color w:val="000000"/>
                <w:sz w:val="21"/>
                <w:szCs w:val="21"/>
              </w:rPr>
            </w:pPr>
            <w:r w:rsidDel="00000000" w:rsidR="00000000" w:rsidRPr="00000000">
              <w:rPr>
                <w:color w:val="000000"/>
                <w:sz w:val="21"/>
                <w:szCs w:val="21"/>
                <w:rtl w:val="0"/>
              </w:rPr>
              <w:t xml:space="preserve">Majority Proficient</w:t>
            </w:r>
          </w:p>
        </w:tc>
      </w:tr>
      <w:tr>
        <w:trPr>
          <w:cantSplit w:val="0"/>
          <w:trHeight w:val="57" w:hRule="atLeast"/>
          <w:tblHeader w:val="0"/>
        </w:trPr>
        <w:tc>
          <w:tcPr>
            <w:tcBorders>
              <w:top w:color="000000" w:space="0" w:sz="0" w:val="nil"/>
              <w:left w:color="000000" w:space="0" w:sz="0" w:val="nil"/>
              <w:right w:color="000000" w:space="0" w:sz="0" w:val="nil"/>
            </w:tcBorders>
            <w:vAlign w:val="center"/>
          </w:tcPr>
          <w:p w:rsidR="00000000" w:rsidDel="00000000" w:rsidP="00000000" w:rsidRDefault="00000000" w:rsidRPr="00000000" w14:paraId="0000007B">
            <w:pPr>
              <w:widowControl w:val="0"/>
              <w:pBdr>
                <w:top w:space="0" w:sz="0" w:val="nil"/>
                <w:left w:space="0" w:sz="0" w:val="nil"/>
                <w:bottom w:space="0" w:sz="0" w:val="nil"/>
                <w:right w:space="0" w:sz="0" w:val="nil"/>
                <w:between w:space="0" w:sz="0" w:val="nil"/>
              </w:pBdr>
              <w:spacing w:after="0" w:line="276" w:lineRule="auto"/>
              <w:ind w:left="107" w:firstLine="0"/>
              <w:jc w:val="center"/>
              <w:rPr>
                <w:color w:val="000000"/>
                <w:sz w:val="21"/>
                <w:szCs w:val="21"/>
              </w:rPr>
            </w:pPr>
            <w:r w:rsidDel="00000000" w:rsidR="00000000" w:rsidRPr="00000000">
              <w:rPr>
                <w:color w:val="000000"/>
                <w:sz w:val="21"/>
                <w:szCs w:val="21"/>
                <w:rtl w:val="0"/>
              </w:rPr>
              <w:t xml:space="preserve">2025</w:t>
            </w:r>
          </w:p>
        </w:tc>
        <w:tc>
          <w:tcPr>
            <w:tcBorders>
              <w:top w:color="000000" w:space="0" w:sz="0" w:val="nil"/>
              <w:left w:color="000000" w:space="0" w:sz="0" w:val="nil"/>
              <w:right w:color="000000" w:space="0" w:sz="0" w:val="nil"/>
            </w:tcBorders>
            <w:vAlign w:val="center"/>
          </w:tcPr>
          <w:p w:rsidR="00000000" w:rsidDel="00000000" w:rsidP="00000000" w:rsidRDefault="00000000" w:rsidRPr="00000000" w14:paraId="0000007C">
            <w:pPr>
              <w:widowControl w:val="0"/>
              <w:pBdr>
                <w:top w:space="0" w:sz="0" w:val="nil"/>
                <w:left w:space="0" w:sz="0" w:val="nil"/>
                <w:bottom w:space="0" w:sz="0" w:val="nil"/>
                <w:right w:space="0" w:sz="0" w:val="nil"/>
                <w:between w:space="0" w:sz="0" w:val="nil"/>
              </w:pBdr>
              <w:spacing w:after="0" w:line="240" w:lineRule="auto"/>
              <w:ind w:left="108" w:firstLine="0"/>
              <w:rPr>
                <w:color w:val="000000"/>
                <w:sz w:val="21"/>
                <w:szCs w:val="21"/>
              </w:rPr>
            </w:pPr>
            <w:r w:rsidDel="00000000" w:rsidR="00000000" w:rsidRPr="00000000">
              <w:rPr>
                <w:color w:val="000000"/>
                <w:sz w:val="21"/>
                <w:szCs w:val="21"/>
                <w:rtl w:val="0"/>
              </w:rPr>
              <w:t xml:space="preserve">June</w:t>
            </w:r>
          </w:p>
        </w:tc>
        <w:tc>
          <w:tcPr>
            <w:tcBorders>
              <w:top w:color="000000" w:space="0" w:sz="0" w:val="nil"/>
              <w:left w:color="000000" w:space="0" w:sz="0" w:val="nil"/>
              <w:right w:color="000000" w:space="0" w:sz="0" w:val="nil"/>
            </w:tcBorders>
            <w:vAlign w:val="center"/>
          </w:tcPr>
          <w:p w:rsidR="00000000" w:rsidDel="00000000" w:rsidP="00000000" w:rsidRDefault="00000000" w:rsidRPr="00000000" w14:paraId="0000007D">
            <w:pPr>
              <w:widowControl w:val="0"/>
              <w:pBdr>
                <w:top w:space="0" w:sz="0" w:val="nil"/>
                <w:left w:space="0" w:sz="0" w:val="nil"/>
                <w:bottom w:space="0" w:sz="0" w:val="nil"/>
                <w:right w:space="0" w:sz="0" w:val="nil"/>
                <w:between w:space="0" w:sz="0" w:val="nil"/>
              </w:pBdr>
              <w:spacing w:after="0" w:line="276" w:lineRule="auto"/>
              <w:ind w:left="11" w:right="2" w:firstLine="0"/>
              <w:jc w:val="center"/>
              <w:rPr>
                <w:color w:val="000000"/>
                <w:sz w:val="21"/>
                <w:szCs w:val="21"/>
              </w:rPr>
            </w:pPr>
            <w:r w:rsidDel="00000000" w:rsidR="00000000" w:rsidRPr="00000000">
              <w:rPr>
                <w:color w:val="000000"/>
                <w:sz w:val="21"/>
                <w:szCs w:val="21"/>
                <w:rtl w:val="0"/>
              </w:rPr>
              <w:t xml:space="preserve">5 </w:t>
            </w:r>
          </w:p>
        </w:tc>
        <w:tc>
          <w:tcPr>
            <w:tcBorders>
              <w:top w:color="000000" w:space="0" w:sz="0" w:val="nil"/>
              <w:left w:color="000000" w:space="0" w:sz="0" w:val="nil"/>
              <w:right w:color="000000" w:space="0" w:sz="0" w:val="nil"/>
            </w:tcBorders>
            <w:vAlign w:val="center"/>
          </w:tcPr>
          <w:p w:rsidR="00000000" w:rsidDel="00000000" w:rsidP="00000000" w:rsidRDefault="00000000" w:rsidRPr="00000000" w14:paraId="0000007E">
            <w:pPr>
              <w:widowControl w:val="0"/>
              <w:pBdr>
                <w:top w:space="0" w:sz="0" w:val="nil"/>
                <w:left w:space="0" w:sz="0" w:val="nil"/>
                <w:bottom w:space="0" w:sz="0" w:val="nil"/>
                <w:right w:space="0" w:sz="0" w:val="nil"/>
                <w:between w:space="0" w:sz="0" w:val="nil"/>
              </w:pBdr>
              <w:spacing w:after="0" w:line="276" w:lineRule="auto"/>
              <w:ind w:left="12" w:firstLine="0"/>
              <w:jc w:val="center"/>
              <w:rPr>
                <w:color w:val="000000"/>
                <w:sz w:val="21"/>
                <w:szCs w:val="21"/>
              </w:rPr>
            </w:pPr>
            <w:r w:rsidDel="00000000" w:rsidR="00000000" w:rsidRPr="00000000">
              <w:rPr>
                <w:color w:val="000000"/>
                <w:sz w:val="21"/>
                <w:szCs w:val="21"/>
                <w:rtl w:val="0"/>
              </w:rPr>
              <w:t xml:space="preserve">15</w:t>
            </w:r>
          </w:p>
        </w:tc>
        <w:tc>
          <w:tcPr>
            <w:tcBorders>
              <w:top w:color="000000" w:space="0" w:sz="0" w:val="nil"/>
              <w:left w:color="000000" w:space="0" w:sz="0" w:val="nil"/>
              <w:right w:color="000000" w:space="0" w:sz="0" w:val="nil"/>
            </w:tcBorders>
          </w:tcPr>
          <w:p w:rsidR="00000000" w:rsidDel="00000000" w:rsidP="00000000" w:rsidRDefault="00000000" w:rsidRPr="00000000" w14:paraId="0000007F">
            <w:pPr>
              <w:widowControl w:val="0"/>
              <w:pBdr>
                <w:top w:space="0" w:sz="0" w:val="nil"/>
                <w:left w:space="0" w:sz="0" w:val="nil"/>
                <w:bottom w:space="0" w:sz="0" w:val="nil"/>
                <w:right w:space="0" w:sz="0" w:val="nil"/>
                <w:between w:space="0" w:sz="0" w:val="nil"/>
              </w:pBdr>
              <w:spacing w:after="0" w:line="276" w:lineRule="auto"/>
              <w:ind w:left="12" w:firstLine="0"/>
              <w:jc w:val="center"/>
              <w:rPr>
                <w:color w:val="000000"/>
                <w:sz w:val="21"/>
                <w:szCs w:val="21"/>
              </w:rPr>
            </w:pPr>
            <w:r w:rsidDel="00000000" w:rsidR="00000000" w:rsidRPr="00000000">
              <w:rPr>
                <w:color w:val="000000"/>
                <w:sz w:val="21"/>
                <w:szCs w:val="21"/>
                <w:rtl w:val="0"/>
              </w:rPr>
              <w:t xml:space="preserve">Nearly All Proficient</w:t>
            </w:r>
          </w:p>
        </w:tc>
      </w:tr>
    </w:tbl>
    <w:p w:rsidR="00000000" w:rsidDel="00000000" w:rsidP="00000000" w:rsidRDefault="00000000" w:rsidRPr="00000000" w14:paraId="00000080">
      <w:pPr>
        <w:spacing w:after="280" w:before="280" w:line="240" w:lineRule="auto"/>
        <w:jc w:val="center"/>
        <w:rPr/>
      </w:pPr>
      <w:r w:rsidDel="00000000" w:rsidR="00000000" w:rsidRPr="00000000">
        <w:rPr>
          <w:b w:val="1"/>
          <w:bCs w:val="1"/>
          <w:rtl w:val="0"/>
        </w:rPr>
        <w:t xml:space="preserve">Table 2.</w:t>
      </w:r>
      <w:r w:rsidDel="00000000" w:rsidR="00000000" w:rsidRPr="00000000">
        <w:rPr>
          <w:rtl w:val="0"/>
        </w:rPr>
        <w:t xml:space="preserve"> Longitudinal Progress of Student Literacy Skills (January – June 2025)</w:t>
      </w:r>
    </w:p>
    <w:p w:rsidR="00000000" w:rsidDel="00000000" w:rsidP="00000000" w:rsidRDefault="00000000" w:rsidRPr="00000000" w14:paraId="00000081">
      <w:pPr>
        <w:spacing w:after="0" w:line="281" w:lineRule="auto"/>
        <w:jc w:val="center"/>
        <w:rPr/>
      </w:pPr>
      <w:r w:rsidDel="00000000" w:rsidR="00000000" w:rsidRPr="00000000">
        <w:rPr>
          <w:rtl w:val="0"/>
        </w:rPr>
        <w:t xml:space="preserve">Source: Author’s Research, 2026</w:t>
      </w:r>
    </w:p>
    <w:p w:rsidR="00000000" w:rsidDel="00000000" w:rsidP="00000000" w:rsidRDefault="00000000" w:rsidRPr="00000000" w14:paraId="00000082">
      <w:pPr>
        <w:spacing w:after="0" w:line="281" w:lineRule="auto"/>
        <w:jc w:val="center"/>
        <w:rPr/>
      </w:pP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after="0" w:line="240" w:lineRule="auto"/>
        <w:ind w:firstLine="567"/>
        <w:jc w:val="both"/>
        <w:rPr/>
      </w:pPr>
      <w:r w:rsidDel="00000000" w:rsidR="00000000" w:rsidRPr="00000000">
        <w:rPr>
          <w:rtl w:val="0"/>
        </w:rPr>
        <w:t xml:space="preserve">The longitudinal data collected spanning January to June 2025 definitively clarifies the program's measurable impact over time. Initially, twenty students completely lacked functional comprehension skills during the program's inception. A consistent, month-by-month reduction occurred, leaving only five students struggling by the end of the semester. These remaining five students did not experience the same progressive trajectory primarily due to severe external socio-economic pressures that constantly disrupted their learning consistency. Field observations and interviews revealed that these specific individuals face a high burden of domestic responsibilities, routinely assisting parents with economic survival immediately after school hours. The physical and cognitive fatigue resulting from these daily obligations leaves them with minimal mental bandwidth to absorb or retain the literacy skills introduced during the library sessions. Sustained interventions distinctly prove that functional illiteracy requires long-term, patient remediation rather than brief, intensive workshops, especially for students battling systemic barriers at home.  (Mustafa et al., 2022).</w:t>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after="0" w:line="240" w:lineRule="auto"/>
        <w:ind w:firstLine="567"/>
        <w:jc w:val="both"/>
        <w:rPr/>
      </w:pPr>
      <w:r w:rsidDel="00000000" w:rsidR="00000000" w:rsidRPr="00000000">
        <w:rPr>
          <w:rtl w:val="0"/>
        </w:rPr>
        <w:t xml:space="preserve">Informant 2 confirmed the visible enthusiasm among participants attending the targeted after-school sessions. The informant noted that students eagerly participated in recognizing letters and understanding simple texts, specifically during the scheduled Tuesday through Thursday sessions.</w:t>
      </w:r>
    </w:p>
    <w:p w:rsidR="00000000" w:rsidDel="00000000" w:rsidP="00000000" w:rsidRDefault="00000000" w:rsidRPr="00000000" w14:paraId="00000085">
      <w:pPr>
        <w:pBdr>
          <w:top w:space="0" w:sz="0" w:val="nil"/>
          <w:left w:space="0" w:sz="0" w:val="nil"/>
          <w:bottom w:space="0" w:sz="0" w:val="nil"/>
          <w:right w:space="0" w:sz="0" w:val="nil"/>
          <w:between w:space="0" w:sz="0" w:val="nil"/>
        </w:pBdr>
        <w:spacing w:after="0" w:line="240" w:lineRule="auto"/>
        <w:ind w:firstLine="567"/>
        <w:jc w:val="both"/>
        <w:rPr/>
      </w:pPr>
      <w:r w:rsidDel="00000000" w:rsidR="00000000" w:rsidRPr="00000000">
        <w:rPr>
          <w:rtl w:val="0"/>
        </w:rPr>
      </w:r>
    </w:p>
    <w:p w:rsidR="00000000" w:rsidDel="00000000" w:rsidP="00000000" w:rsidRDefault="00000000" w:rsidRPr="00000000" w14:paraId="00000086">
      <w:pPr>
        <w:spacing w:after="0" w:line="240" w:lineRule="auto"/>
        <w:ind w:left="284" w:hanging="141"/>
        <w:jc w:val="center"/>
        <w:rPr/>
      </w:pPr>
      <w:r w:rsidDel="00000000" w:rsidR="00000000" w:rsidRPr="00000000">
        <w:rPr>
          <w:b w:val="1"/>
          <w:bCs w:val="1"/>
          <w:rtl w:val="0"/>
        </w:rPr>
        <w:t xml:space="preserve">Table 3.</w:t>
      </w:r>
      <w:r w:rsidDel="00000000" w:rsidR="00000000" w:rsidRPr="00000000">
        <w:rPr>
          <w:rtl w:val="0"/>
        </w:rPr>
        <w:t xml:space="preserve"> Implementation Schedule of the GSJM Program at SMP Negeri 1 Pancur Batu Library</w:t>
      </w:r>
    </w:p>
    <w:tbl>
      <w:tblPr>
        <w:tblStyle w:val="Table4"/>
        <w:tblpPr w:leftFromText="180" w:rightFromText="180" w:topFromText="0" w:bottomFromText="0" w:vertAnchor="text" w:horzAnchor="text" w:tblpX="333" w:tblpY="0"/>
        <w:tblW w:w="835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26"/>
        <w:gridCol w:w="6632"/>
        <w:tblGridChange w:id="0">
          <w:tblGrid>
            <w:gridCol w:w="1726"/>
            <w:gridCol w:w="6632"/>
          </w:tblGrid>
        </w:tblGridChange>
      </w:tblGrid>
      <w:tr>
        <w:trPr>
          <w:cantSplit w:val="0"/>
          <w:trHeight w:val="316" w:hRule="atLeast"/>
          <w:tblHeader w:val="0"/>
        </w:trPr>
        <w:tc>
          <w:tcPr>
            <w:tcBorders>
              <w:top w:color="d0cece" w:space="0" w:sz="4" w:val="single"/>
              <w:left w:color="000000" w:space="0" w:sz="0" w:val="nil"/>
              <w:right w:color="000000" w:space="0" w:sz="0" w:val="nil"/>
            </w:tcBorders>
          </w:tcPr>
          <w:p w:rsidR="00000000" w:rsidDel="00000000" w:rsidP="00000000" w:rsidRDefault="00000000" w:rsidRPr="00000000" w14:paraId="00000087">
            <w:pPr>
              <w:widowControl w:val="0"/>
              <w:pBdr>
                <w:top w:space="0" w:sz="0" w:val="nil"/>
                <w:left w:space="0" w:sz="0" w:val="nil"/>
                <w:bottom w:space="0" w:sz="0" w:val="nil"/>
                <w:right w:space="0" w:sz="0" w:val="nil"/>
                <w:between w:space="0" w:sz="0" w:val="nil"/>
              </w:pBdr>
              <w:spacing w:after="0" w:line="275" w:lineRule="auto"/>
              <w:ind w:left="107" w:firstLine="0"/>
              <w:jc w:val="center"/>
              <w:rPr>
                <w:b w:val="1"/>
                <w:bCs w:val="1"/>
                <w:color w:val="000000"/>
                <w:sz w:val="21"/>
                <w:szCs w:val="21"/>
              </w:rPr>
            </w:pPr>
            <w:r w:rsidDel="00000000" w:rsidR="00000000" w:rsidRPr="00000000">
              <w:rPr>
                <w:b w:val="1"/>
                <w:bCs w:val="1"/>
                <w:color w:val="000000"/>
                <w:sz w:val="21"/>
                <w:szCs w:val="21"/>
                <w:rtl w:val="0"/>
              </w:rPr>
              <w:t xml:space="preserve">Category</w:t>
            </w:r>
          </w:p>
        </w:tc>
        <w:tc>
          <w:tcPr>
            <w:tcBorders>
              <w:top w:color="d0cece" w:space="0" w:sz="4" w:val="single"/>
              <w:left w:color="000000" w:space="0" w:sz="0" w:val="nil"/>
              <w:right w:color="000000" w:space="0" w:sz="0" w:val="nil"/>
            </w:tcBorders>
          </w:tcPr>
          <w:p w:rsidR="00000000" w:rsidDel="00000000" w:rsidP="00000000" w:rsidRDefault="00000000" w:rsidRPr="00000000" w14:paraId="00000088">
            <w:pPr>
              <w:widowControl w:val="0"/>
              <w:pBdr>
                <w:top w:space="0" w:sz="0" w:val="nil"/>
                <w:left w:space="0" w:sz="0" w:val="nil"/>
                <w:bottom w:space="0" w:sz="0" w:val="nil"/>
                <w:right w:space="0" w:sz="0" w:val="nil"/>
                <w:between w:space="0" w:sz="0" w:val="nil"/>
              </w:pBdr>
              <w:spacing w:after="0" w:line="275" w:lineRule="auto"/>
              <w:ind w:left="107" w:firstLine="0"/>
              <w:jc w:val="center"/>
              <w:rPr>
                <w:b w:val="1"/>
                <w:bCs w:val="1"/>
                <w:color w:val="000000"/>
                <w:sz w:val="21"/>
                <w:szCs w:val="21"/>
              </w:rPr>
            </w:pPr>
            <w:r w:rsidDel="00000000" w:rsidR="00000000" w:rsidRPr="00000000">
              <w:rPr>
                <w:b w:val="1"/>
                <w:bCs w:val="1"/>
                <w:color w:val="000000"/>
                <w:sz w:val="21"/>
                <w:szCs w:val="21"/>
                <w:rtl w:val="0"/>
              </w:rPr>
              <w:t xml:space="preserve">Description</w:t>
            </w:r>
          </w:p>
        </w:tc>
      </w:tr>
      <w:tr>
        <w:trPr>
          <w:cantSplit w:val="0"/>
          <w:trHeight w:val="316" w:hRule="atLeast"/>
          <w:tblHeader w:val="0"/>
        </w:trPr>
        <w:tc>
          <w:tcPr>
            <w:tcBorders>
              <w:left w:color="000000" w:space="0" w:sz="0" w:val="nil"/>
              <w:bottom w:color="000000" w:space="0" w:sz="0" w:val="nil"/>
              <w:right w:color="000000" w:space="0" w:sz="0" w:val="nil"/>
            </w:tcBorders>
          </w:tcPr>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spacing w:after="0" w:line="275" w:lineRule="auto"/>
              <w:ind w:left="107" w:firstLine="0"/>
              <w:rPr>
                <w:color w:val="000000"/>
                <w:sz w:val="21"/>
                <w:szCs w:val="21"/>
              </w:rPr>
            </w:pPr>
            <w:r w:rsidDel="00000000" w:rsidR="00000000" w:rsidRPr="00000000">
              <w:rPr>
                <w:color w:val="000000"/>
                <w:sz w:val="21"/>
                <w:szCs w:val="21"/>
                <w:rtl w:val="0"/>
              </w:rPr>
              <w:t xml:space="preserve">Day</w:t>
            </w:r>
          </w:p>
        </w:tc>
        <w:tc>
          <w:tcPr>
            <w:tcBorders>
              <w:left w:color="000000" w:space="0" w:sz="0" w:val="nil"/>
              <w:bottom w:color="000000" w:space="0" w:sz="0" w:val="nil"/>
              <w:right w:color="000000" w:space="0" w:sz="0" w:val="nil"/>
            </w:tcBorders>
          </w:tcPr>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spacing w:after="0" w:line="275" w:lineRule="auto"/>
              <w:ind w:left="107" w:firstLine="0"/>
              <w:jc w:val="center"/>
              <w:rPr>
                <w:color w:val="000000"/>
                <w:sz w:val="21"/>
                <w:szCs w:val="21"/>
              </w:rPr>
            </w:pPr>
            <w:r w:rsidDel="00000000" w:rsidR="00000000" w:rsidRPr="00000000">
              <w:rPr>
                <w:color w:val="000000"/>
                <w:sz w:val="21"/>
                <w:szCs w:val="21"/>
                <w:rtl w:val="0"/>
              </w:rPr>
              <w:t xml:space="preserve">Tuesday, Wednesday, and Thursday</w:t>
            </w:r>
          </w:p>
        </w:tc>
      </w:tr>
      <w:tr>
        <w:trPr>
          <w:cantSplit w:val="0"/>
          <w:trHeight w:val="316"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B">
            <w:pPr>
              <w:widowControl w:val="0"/>
              <w:pBdr>
                <w:top w:space="0" w:sz="0" w:val="nil"/>
                <w:left w:space="0" w:sz="0" w:val="nil"/>
                <w:bottom w:space="0" w:sz="0" w:val="nil"/>
                <w:right w:space="0" w:sz="0" w:val="nil"/>
                <w:between w:space="0" w:sz="0" w:val="nil"/>
              </w:pBdr>
              <w:spacing w:after="0" w:line="275" w:lineRule="auto"/>
              <w:ind w:left="107" w:firstLine="0"/>
              <w:rPr>
                <w:color w:val="000000"/>
                <w:sz w:val="21"/>
                <w:szCs w:val="21"/>
              </w:rPr>
            </w:pPr>
            <w:r w:rsidDel="00000000" w:rsidR="00000000" w:rsidRPr="00000000">
              <w:rPr>
                <w:color w:val="000000"/>
                <w:sz w:val="21"/>
                <w:szCs w:val="21"/>
                <w:rtl w:val="0"/>
              </w:rPr>
              <w:t xml:space="preserve">Participants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C">
            <w:pPr>
              <w:widowControl w:val="0"/>
              <w:pBdr>
                <w:top w:space="0" w:sz="0" w:val="nil"/>
                <w:left w:space="0" w:sz="0" w:val="nil"/>
                <w:bottom w:space="0" w:sz="0" w:val="nil"/>
                <w:right w:space="0" w:sz="0" w:val="nil"/>
                <w:between w:space="0" w:sz="0" w:val="nil"/>
              </w:pBdr>
              <w:spacing w:after="0" w:line="275" w:lineRule="auto"/>
              <w:ind w:left="107" w:firstLine="0"/>
              <w:jc w:val="center"/>
              <w:rPr>
                <w:color w:val="000000"/>
                <w:sz w:val="21"/>
                <w:szCs w:val="21"/>
              </w:rPr>
            </w:pPr>
            <w:r w:rsidDel="00000000" w:rsidR="00000000" w:rsidRPr="00000000">
              <w:rPr>
                <w:color w:val="000000"/>
                <w:sz w:val="21"/>
                <w:szCs w:val="21"/>
                <w:rtl w:val="0"/>
              </w:rPr>
              <w:t xml:space="preserve">All Students Experiencing Functional illiteracy (20 Student)</w:t>
            </w:r>
          </w:p>
        </w:tc>
      </w:tr>
      <w:tr>
        <w:trPr>
          <w:cantSplit w:val="0"/>
          <w:trHeight w:val="316"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spacing w:after="0" w:line="275" w:lineRule="auto"/>
              <w:ind w:left="107" w:firstLine="0"/>
              <w:rPr>
                <w:color w:val="000000"/>
                <w:sz w:val="21"/>
                <w:szCs w:val="21"/>
              </w:rPr>
            </w:pPr>
            <w:r w:rsidDel="00000000" w:rsidR="00000000" w:rsidRPr="00000000">
              <w:rPr>
                <w:color w:val="000000"/>
                <w:sz w:val="21"/>
                <w:szCs w:val="21"/>
                <w:rtl w:val="0"/>
              </w:rPr>
              <w:t xml:space="preserve">Time</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spacing w:after="0" w:line="275" w:lineRule="auto"/>
              <w:ind w:left="107" w:firstLine="0"/>
              <w:jc w:val="center"/>
              <w:rPr>
                <w:color w:val="000000"/>
                <w:sz w:val="21"/>
                <w:szCs w:val="21"/>
              </w:rPr>
            </w:pPr>
            <w:r w:rsidDel="00000000" w:rsidR="00000000" w:rsidRPr="00000000">
              <w:rPr>
                <w:color w:val="000000"/>
                <w:sz w:val="21"/>
                <w:szCs w:val="21"/>
                <w:rtl w:val="0"/>
              </w:rPr>
              <w:t xml:space="preserve">14.00-15.00 WIB</w:t>
            </w:r>
          </w:p>
        </w:tc>
      </w:tr>
      <w:tr>
        <w:trPr>
          <w:cantSplit w:val="0"/>
          <w:trHeight w:val="314"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spacing w:after="0" w:line="275" w:lineRule="auto"/>
              <w:rPr>
                <w:color w:val="000000"/>
                <w:sz w:val="21"/>
                <w:szCs w:val="21"/>
              </w:rPr>
            </w:pPr>
            <w:r w:rsidDel="00000000" w:rsidR="00000000" w:rsidRPr="00000000">
              <w:rPr>
                <w:color w:val="000000"/>
                <w:sz w:val="21"/>
                <w:szCs w:val="21"/>
                <w:rtl w:val="0"/>
              </w:rPr>
              <w:t xml:space="preserve">  Location</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spacing w:after="0" w:line="275" w:lineRule="auto"/>
              <w:ind w:left="107" w:firstLine="0"/>
              <w:jc w:val="center"/>
              <w:rPr>
                <w:color w:val="000000"/>
                <w:sz w:val="21"/>
                <w:szCs w:val="21"/>
              </w:rPr>
            </w:pPr>
            <w:r w:rsidDel="00000000" w:rsidR="00000000" w:rsidRPr="00000000">
              <w:rPr>
                <w:color w:val="000000"/>
                <w:sz w:val="21"/>
                <w:szCs w:val="21"/>
                <w:rtl w:val="0"/>
              </w:rPr>
              <w:t xml:space="preserve">Scholl Library</w:t>
            </w:r>
          </w:p>
        </w:tc>
      </w:tr>
      <w:tr>
        <w:trPr>
          <w:cantSplit w:val="0"/>
          <w:trHeight w:val="316" w:hRule="atLeast"/>
          <w:tblHeader w:val="0"/>
        </w:trPr>
        <w:tc>
          <w:tcPr>
            <w:tcBorders>
              <w:top w:color="000000" w:space="0" w:sz="0" w:val="nil"/>
              <w:left w:color="000000" w:space="0" w:sz="0" w:val="nil"/>
              <w:right w:color="000000" w:space="0" w:sz="0" w:val="nil"/>
            </w:tcBorders>
          </w:tcPr>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spacing w:after="0" w:line="275" w:lineRule="auto"/>
              <w:rPr>
                <w:color w:val="000000"/>
                <w:sz w:val="21"/>
                <w:szCs w:val="21"/>
              </w:rPr>
            </w:pPr>
            <w:r w:rsidDel="00000000" w:rsidR="00000000" w:rsidRPr="00000000">
              <w:rPr>
                <w:color w:val="000000"/>
                <w:sz w:val="21"/>
                <w:szCs w:val="21"/>
                <w:rtl w:val="0"/>
              </w:rPr>
              <w:t xml:space="preserve">  Facilitator</w:t>
            </w:r>
          </w:p>
        </w:tc>
        <w:tc>
          <w:tcPr>
            <w:tcBorders>
              <w:top w:color="000000" w:space="0" w:sz="0" w:val="nil"/>
              <w:left w:color="000000" w:space="0" w:sz="0" w:val="nil"/>
              <w:right w:color="000000" w:space="0" w:sz="0" w:val="nil"/>
            </w:tcBorders>
          </w:tcPr>
          <w:p w:rsidR="00000000" w:rsidDel="00000000" w:rsidP="00000000" w:rsidRDefault="00000000" w:rsidRPr="00000000" w14:paraId="00000092">
            <w:pPr>
              <w:widowControl w:val="0"/>
              <w:pBdr>
                <w:top w:space="0" w:sz="0" w:val="nil"/>
                <w:left w:space="0" w:sz="0" w:val="nil"/>
                <w:bottom w:space="0" w:sz="0" w:val="nil"/>
                <w:right w:space="0" w:sz="0" w:val="nil"/>
                <w:between w:space="0" w:sz="0" w:val="nil"/>
              </w:pBdr>
              <w:spacing w:after="0" w:line="275" w:lineRule="auto"/>
              <w:ind w:left="107" w:firstLine="0"/>
              <w:jc w:val="center"/>
              <w:rPr>
                <w:color w:val="000000"/>
                <w:sz w:val="21"/>
                <w:szCs w:val="21"/>
              </w:rPr>
            </w:pPr>
            <w:r w:rsidDel="00000000" w:rsidR="00000000" w:rsidRPr="00000000">
              <w:rPr>
                <w:color w:val="000000"/>
                <w:sz w:val="21"/>
                <w:szCs w:val="21"/>
                <w:rtl w:val="0"/>
              </w:rPr>
              <w:t xml:space="preserve">Homeroom Teachers and Librarian</w:t>
            </w:r>
          </w:p>
        </w:tc>
      </w:tr>
    </w:tbl>
    <w:p w:rsidR="00000000" w:rsidDel="00000000" w:rsidP="00000000" w:rsidRDefault="00000000" w:rsidRPr="00000000" w14:paraId="00000093">
      <w:pPr>
        <w:spacing w:after="0" w:line="281" w:lineRule="auto"/>
        <w:ind w:left="142" w:firstLine="0"/>
        <w:jc w:val="center"/>
        <w:rPr/>
      </w:pPr>
      <w:r w:rsidDel="00000000" w:rsidR="00000000" w:rsidRPr="00000000">
        <w:rPr>
          <w:rtl w:val="0"/>
        </w:rPr>
        <w:t xml:space="preserve">Source: Author’s Research, 2026</w:t>
      </w:r>
    </w:p>
    <w:p w:rsidR="00000000" w:rsidDel="00000000" w:rsidP="00000000" w:rsidRDefault="00000000" w:rsidRPr="00000000" w14:paraId="00000094">
      <w:pPr>
        <w:spacing w:after="0" w:line="281" w:lineRule="auto"/>
        <w:ind w:left="142" w:firstLine="0"/>
        <w:jc w:val="center"/>
        <w:rPr/>
      </w:pPr>
      <w:r w:rsidDel="00000000" w:rsidR="00000000" w:rsidRPr="00000000">
        <w:rPr>
          <w:rtl w:val="0"/>
        </w:rPr>
      </w:r>
    </w:p>
    <w:p w:rsidR="00000000" w:rsidDel="00000000" w:rsidP="00000000" w:rsidRDefault="00000000" w:rsidRPr="00000000" w14:paraId="00000095">
      <w:pPr>
        <w:pBdr>
          <w:top w:space="0" w:sz="0" w:val="nil"/>
          <w:left w:space="0" w:sz="0" w:val="nil"/>
          <w:bottom w:space="0" w:sz="0" w:val="nil"/>
          <w:right w:space="0" w:sz="0" w:val="nil"/>
          <w:between w:space="0" w:sz="0" w:val="nil"/>
        </w:pBdr>
        <w:spacing w:after="0" w:line="240" w:lineRule="auto"/>
        <w:ind w:firstLine="567"/>
        <w:jc w:val="both"/>
        <w:rPr/>
      </w:pPr>
      <w:r w:rsidDel="00000000" w:rsidR="00000000" w:rsidRPr="00000000">
        <w:rPr>
          <w:rtl w:val="0"/>
        </w:rPr>
        <w:t xml:space="preserve">Dedicating specific hours exclusively for remedial literacy strips away the social stigma often associated with reading difficulties in regular classrooms. The fixed schedule establishes a comforting routine, allowing students to mentally prepare for the cognitive effort required. Consistent engagement in a safe environment dramatically accelerates the transition from hesitant decoding to confident reading. Structured time allocation forms the backbone of habituation processes necessary for permanent skill acquisition (Rahim et al., 2023).</w:t>
      </w:r>
    </w:p>
    <w:p w:rsidR="00000000" w:rsidDel="00000000" w:rsidP="00000000" w:rsidRDefault="00000000" w:rsidRPr="00000000" w14:paraId="00000096">
      <w:pPr>
        <w:pBdr>
          <w:top w:space="0" w:sz="0" w:val="nil"/>
          <w:left w:space="0" w:sz="0" w:val="nil"/>
          <w:bottom w:space="0" w:sz="0" w:val="nil"/>
          <w:right w:space="0" w:sz="0" w:val="nil"/>
          <w:between w:space="0" w:sz="0" w:val="nil"/>
        </w:pBdr>
        <w:spacing w:after="0" w:line="240" w:lineRule="auto"/>
        <w:ind w:firstLine="567"/>
        <w:jc w:val="both"/>
        <w:rPr/>
      </w:pPr>
      <w:r w:rsidDel="00000000" w:rsidR="00000000" w:rsidRPr="00000000">
        <w:rPr>
          <w:rtl w:val="0"/>
        </w:rPr>
        <w:t xml:space="preserve">The physical provision of leveled children's books and interactive whiteboards acts as a crucial catalyst for cognitive development. Informant 1 noted that these accessible tools directly support interactive learning sessions outside the rigid classroom structure. A welcoming spatial arrangement invites reluctant readers to explore texts without the pressure of immediate academic assessment. Matching text complexity perfectly with a student's current developmental stage prevents frustration and subsequent academic withdrawal. Strategic collection development ultimately transforms the library from a passive archive into an active literacy incubator (Suryani &amp; Argawati, 2021).</w:t>
      </w:r>
    </w:p>
    <w:p w:rsidR="00000000" w:rsidDel="00000000" w:rsidP="00000000" w:rsidRDefault="00000000" w:rsidRPr="00000000" w14:paraId="00000097">
      <w:pPr>
        <w:pBdr>
          <w:top w:space="0" w:sz="0" w:val="nil"/>
          <w:left w:space="0" w:sz="0" w:val="nil"/>
          <w:bottom w:space="0" w:sz="0" w:val="nil"/>
          <w:right w:space="0" w:sz="0" w:val="nil"/>
          <w:between w:space="0" w:sz="0" w:val="nil"/>
        </w:pBdr>
        <w:spacing w:after="0" w:line="240" w:lineRule="auto"/>
        <w:ind w:firstLine="567"/>
        <w:jc w:val="both"/>
        <w:rPr/>
      </w:pPr>
      <w:r w:rsidDel="00000000" w:rsidR="00000000" w:rsidRPr="00000000">
        <w:rPr>
          <w:rtl w:val="0"/>
        </w:rPr>
        <w:t xml:space="preserve">Implementing mandatory library visitation policies ensures equitable access to these carefully curated literacy environments. Scheduled class visits guarantee that even completely unmotivated students interact with reading materials regularly. Frequent, low-stakes exposure gradually normalizes the act of reading, shifting it from an academic chore to an expected daily activity. Peer influence during these communal visits also gently pressures reluctant students to participate in book discussions. Institutionalizing reading time secures the longevity of the school's reading culture beyond the lifespan of the specific GSJM intervention. For this upward trajectory in functional literacy to remain sustainable in the long term, the external motivation provided by scheduled sessions must successfully transition into spontaneous reading habits. This sustainability heavily depends on the library's capacity to continuously refresh its collection with relevant, leveled texts and the school's commitment to making the collaborative mentoring structure between librarians and teachers a permanent element of their pedagogical culture.  (Wahyuni et al., 2022).</w:t>
      </w:r>
    </w:p>
    <w:p w:rsidR="00000000" w:rsidDel="00000000" w:rsidP="00000000" w:rsidRDefault="00000000" w:rsidRPr="00000000" w14:paraId="00000098">
      <w:pPr>
        <w:pBdr>
          <w:top w:space="0" w:sz="0" w:val="nil"/>
          <w:left w:space="0" w:sz="0" w:val="nil"/>
          <w:bottom w:space="0" w:sz="0" w:val="nil"/>
          <w:right w:space="0" w:sz="0" w:val="nil"/>
          <w:between w:space="0" w:sz="0" w:val="nil"/>
        </w:pBdr>
        <w:spacing w:after="0" w:line="240" w:lineRule="auto"/>
        <w:ind w:firstLine="567"/>
        <w:jc w:val="both"/>
        <w:rPr/>
      </w:pPr>
      <w:r w:rsidDel="00000000" w:rsidR="00000000" w:rsidRPr="00000000">
        <w:rPr>
          <w:rtl w:val="0"/>
        </w:rPr>
      </w:r>
    </w:p>
    <w:p w:rsidR="00000000" w:rsidDel="00000000" w:rsidP="00000000" w:rsidRDefault="00000000" w:rsidRPr="00000000" w14:paraId="00000099">
      <w:pPr>
        <w:spacing w:after="0" w:before="0" w:line="240" w:lineRule="auto"/>
        <w:jc w:val="both"/>
        <w:rPr/>
      </w:pPr>
      <w:r w:rsidDel="00000000" w:rsidR="00000000" w:rsidRPr="00000000">
        <w:rPr>
          <w:b w:val="1"/>
          <w:bCs w:val="1"/>
          <w:rtl w:val="0"/>
        </w:rPr>
        <w:t xml:space="preserve">3.3 Inhibiting Factors in the Eradication of Functional Illiteracy</w:t>
      </w:r>
      <w:r w:rsidDel="00000000" w:rsidR="00000000" w:rsidRPr="00000000">
        <w:rPr>
          <w:rtl w:val="0"/>
        </w:rPr>
      </w:r>
    </w:p>
    <w:p w:rsidR="00000000" w:rsidDel="00000000" w:rsidP="00000000" w:rsidRDefault="00000000" w:rsidRPr="00000000" w14:paraId="0000009A">
      <w:pPr>
        <w:pBdr>
          <w:top w:space="0" w:sz="0" w:val="nil"/>
          <w:left w:space="0" w:sz="0" w:val="nil"/>
          <w:bottom w:space="0" w:sz="0" w:val="nil"/>
          <w:right w:space="0" w:sz="0" w:val="nil"/>
          <w:between w:space="0" w:sz="0" w:val="nil"/>
        </w:pBdr>
        <w:spacing w:after="0" w:line="240" w:lineRule="auto"/>
        <w:ind w:firstLine="567"/>
        <w:jc w:val="both"/>
        <w:rPr/>
      </w:pPr>
      <w:r w:rsidDel="00000000" w:rsidR="00000000" w:rsidRPr="00000000">
        <w:rPr>
          <w:rtl w:val="0"/>
        </w:rPr>
        <w:t xml:space="preserve">Internal motivation heavily dictates the success of literacy interventions, yet it constantly competes with external digital distractions. Students exhibit extreme reluctance to participate in sustained reading activities when their cognitive habits are shaped by the rapid entertainment cycles of social media and smartphones. This technological immersion severely diminishes the attention span required to process and comprehend complex written texts. Passive classroom environments and monotonous teaching methods exacerbate this disengagement, making traditional reading appear obsolete and tedious to modern learners. Reversing this trend demands highly interactive library programming that can rival the visual stimulation of digital platforms, shifting students' perceptions of reading into a dynamic activity (Kusuma &amp; Supriyadi, 2022). </w:t>
      </w:r>
    </w:p>
    <w:p w:rsidR="00000000" w:rsidDel="00000000" w:rsidP="00000000" w:rsidRDefault="00000000" w:rsidRPr="00000000" w14:paraId="0000009B">
      <w:pPr>
        <w:pBdr>
          <w:top w:space="0" w:sz="0" w:val="nil"/>
          <w:left w:space="0" w:sz="0" w:val="nil"/>
          <w:bottom w:space="0" w:sz="0" w:val="nil"/>
          <w:right w:space="0" w:sz="0" w:val="nil"/>
          <w:between w:space="0" w:sz="0" w:val="nil"/>
        </w:pBdr>
        <w:spacing w:after="0" w:line="240" w:lineRule="auto"/>
        <w:ind w:firstLine="567"/>
        <w:jc w:val="both"/>
        <w:rPr/>
      </w:pPr>
      <w:r w:rsidDel="00000000" w:rsidR="00000000" w:rsidRPr="00000000">
        <w:rPr>
          <w:rtl w:val="0"/>
        </w:rPr>
        <w:t xml:space="preserve">Socio-economic realities also construct significant barriers outside school hours. Many functionally illiterate students must assist their families financially, reducing their time for study. "I prefer to go home early so I can play with my friends. Sometimes my mother asks me to come home quickly to help her sell things at home". This statement explicitly illustrates how immediate economic obligations inevitably eclipse long-term academic investments in marginalized households. Literacy ceases to be a priority when basic survival needs and fatigue dominate the daily familial routine (Wibowo &amp; Purwanto, 2023). </w:t>
      </w:r>
    </w:p>
    <w:p w:rsidR="00000000" w:rsidDel="00000000" w:rsidP="00000000" w:rsidRDefault="00000000" w:rsidRPr="00000000" w14:paraId="0000009C">
      <w:pPr>
        <w:pBdr>
          <w:top w:space="0" w:sz="0" w:val="nil"/>
          <w:left w:space="0" w:sz="0" w:val="nil"/>
          <w:bottom w:space="0" w:sz="0" w:val="nil"/>
          <w:right w:space="0" w:sz="0" w:val="nil"/>
          <w:between w:space="0" w:sz="0" w:val="nil"/>
        </w:pBdr>
        <w:spacing w:after="0" w:line="240" w:lineRule="auto"/>
        <w:ind w:firstLine="567"/>
        <w:jc w:val="both"/>
        <w:rPr/>
      </w:pPr>
      <w:r w:rsidDel="00000000" w:rsidR="00000000" w:rsidRPr="00000000">
        <w:rPr>
          <w:rtl w:val="0"/>
        </w:rPr>
        <w:t xml:space="preserve">The absence of parental scaffolding actively neutralizes the reading progress achieved during library interventions like the GSJM. A functionally illiterate student requires continuous environmental reinforcement; without books or intellectual encouragement at home, newly acquired comprehension skills quickly atrophy. "There is, but only sometimes, and even then no one really pays attention when I study at home. More often I’m asked to help my parents rather than to study". Educational apathy within low-income families fundamentally stifles the cognitive curiosity necessary to decode meaning from texts. Schools must structurally bridge this gap by functioning as the primary, and sometimes only, literate environment for these vulnerable demographics (Nugroho &amp; Suryawati, 2021). </w:t>
      </w:r>
    </w:p>
    <w:p w:rsidR="00000000" w:rsidDel="00000000" w:rsidP="00000000" w:rsidRDefault="00000000" w:rsidRPr="00000000" w14:paraId="0000009D">
      <w:pPr>
        <w:pBdr>
          <w:top w:space="0" w:sz="0" w:val="nil"/>
          <w:left w:space="0" w:sz="0" w:val="nil"/>
          <w:bottom w:space="0" w:sz="0" w:val="nil"/>
          <w:right w:space="0" w:sz="0" w:val="nil"/>
          <w:between w:space="0" w:sz="0" w:val="nil"/>
        </w:pBdr>
        <w:spacing w:after="0" w:line="240" w:lineRule="auto"/>
        <w:ind w:firstLine="567"/>
        <w:jc w:val="both"/>
        <w:rPr/>
      </w:pPr>
      <w:r w:rsidDel="00000000" w:rsidR="00000000" w:rsidRPr="00000000">
        <w:rPr>
          <w:rtl w:val="0"/>
        </w:rPr>
        <w:t xml:space="preserve">Addressing these systemic barriers necessitates a fundamental shift in how educational institutions perceive the eradication of functional illiteracy. Programs cannot operate in isolation from the students' socio-economic realities; they must integrate compensatory mechanisms to offset the lack of domestic academic support. Building functional literacy is inherently a socio-cultural endeavor requiring synergistic community outreach to slowly alter parental perceptions of education. The findings strongly suggest that reading interventions will plateau unless schools actively negotiate the competing demands of digital entertainment and economic survival. Comprehensive policy frameworks must provide extended, safe learning spaces that shield students from these external pressures during critical developmental phases (Setiawan &amp; Yuliana, 2022). </w:t>
      </w:r>
    </w:p>
    <w:p w:rsidR="00000000" w:rsidDel="00000000" w:rsidP="00000000" w:rsidRDefault="00000000" w:rsidRPr="00000000" w14:paraId="0000009E">
      <w:pPr>
        <w:pBdr>
          <w:top w:space="0" w:sz="0" w:val="nil"/>
          <w:left w:space="0" w:sz="0" w:val="nil"/>
          <w:bottom w:space="0" w:sz="0" w:val="nil"/>
          <w:right w:space="0" w:sz="0" w:val="nil"/>
          <w:between w:space="0" w:sz="0" w:val="nil"/>
        </w:pBdr>
        <w:spacing w:after="0" w:line="240" w:lineRule="auto"/>
        <w:ind w:firstLine="567"/>
        <w:jc w:val="both"/>
        <w:rPr/>
      </w:pPr>
      <w:r w:rsidDel="00000000" w:rsidR="00000000" w:rsidRPr="00000000">
        <w:rPr>
          <w:rtl w:val="0"/>
        </w:rPr>
      </w:r>
    </w:p>
    <w:p w:rsidR="00000000" w:rsidDel="00000000" w:rsidP="00000000" w:rsidRDefault="00000000" w:rsidRPr="00000000" w14:paraId="0000009F">
      <w:pPr>
        <w:spacing w:after="0" w:line="240" w:lineRule="auto"/>
        <w:jc w:val="both"/>
        <w:rPr>
          <w:b w:val="1"/>
          <w:bCs w:val="1"/>
        </w:rPr>
      </w:pPr>
      <w:r w:rsidDel="00000000" w:rsidR="00000000" w:rsidRPr="00000000">
        <w:rPr>
          <w:b w:val="1"/>
          <w:bCs w:val="1"/>
          <w:rtl w:val="0"/>
        </w:rPr>
        <w:t xml:space="preserve">4. CONCLUSION</w:t>
      </w:r>
    </w:p>
    <w:p w:rsidR="00000000" w:rsidDel="00000000" w:rsidP="00000000" w:rsidRDefault="00000000" w:rsidRPr="00000000" w14:paraId="000000A0">
      <w:pPr>
        <w:pBdr>
          <w:top w:space="0" w:sz="0" w:val="nil"/>
          <w:left w:space="0" w:sz="0" w:val="nil"/>
          <w:bottom w:space="0" w:sz="0" w:val="nil"/>
          <w:right w:space="0" w:sz="0" w:val="nil"/>
          <w:between w:space="0" w:sz="0" w:val="nil"/>
        </w:pBdr>
        <w:spacing w:after="0" w:line="240" w:lineRule="auto"/>
        <w:ind w:firstLine="567"/>
        <w:jc w:val="both"/>
        <w:rPr/>
      </w:pPr>
      <w:r w:rsidDel="00000000" w:rsidR="00000000" w:rsidRPr="00000000">
        <w:rPr>
          <w:rtl w:val="0"/>
        </w:rPr>
        <w:t xml:space="preserve">The research findings indicate that the library of SMP Negeri 1 Pancur Batu plays a fairly significant role in efforts to eradicate students’ functional illiteracy. This role is reflected in the implementation of structured and sustainable literacy programs, particularly through the One Hour Reading Movement (GSJM). This program does not merely focus on reading activities but also includes guided reading, read-aloud sessions, writing summaries, and comprehension activities through simple discussions. The learning pattern applied is adjusted to students’ ability levels, thereby supporting both beginners and those who are already capable of understanding texts.</w:t>
      </w:r>
    </w:p>
    <w:p w:rsidR="00000000" w:rsidDel="00000000" w:rsidP="00000000" w:rsidRDefault="00000000" w:rsidRPr="00000000" w14:paraId="000000A1">
      <w:pPr>
        <w:pBdr>
          <w:top w:space="0" w:sz="0" w:val="nil"/>
          <w:left w:space="0" w:sz="0" w:val="nil"/>
          <w:bottom w:space="0" w:sz="0" w:val="nil"/>
          <w:right w:space="0" w:sz="0" w:val="nil"/>
          <w:between w:space="0" w:sz="0" w:val="nil"/>
        </w:pBdr>
        <w:spacing w:after="0" w:line="240" w:lineRule="auto"/>
        <w:ind w:firstLine="567"/>
        <w:jc w:val="both"/>
        <w:rPr/>
      </w:pPr>
      <w:r w:rsidDel="00000000" w:rsidR="00000000" w:rsidRPr="00000000">
        <w:rPr>
          <w:rtl w:val="0"/>
        </w:rPr>
        <w:t xml:space="preserve">Supporting factors in the implementation of this program include collaboration between teachers and librarians, the availability of adequate library facilities, a diverse and leveled collection of books, and direct mentoring for students. In addition, students’ enthusiasm in participating in the activities serves as an important indicator of the program’s success. The comfortable library environment also contributes to creating a learning atmosphere that supports literacy activities.</w:t>
      </w:r>
    </w:p>
    <w:p w:rsidR="00000000" w:rsidDel="00000000" w:rsidP="00000000" w:rsidRDefault="00000000" w:rsidRPr="00000000" w14:paraId="000000A2">
      <w:pPr>
        <w:pBdr>
          <w:top w:space="0" w:sz="0" w:val="nil"/>
          <w:left w:space="0" w:sz="0" w:val="nil"/>
          <w:bottom w:space="0" w:sz="0" w:val="nil"/>
          <w:right w:space="0" w:sz="0" w:val="nil"/>
          <w:between w:space="0" w:sz="0" w:val="nil"/>
        </w:pBdr>
        <w:spacing w:after="0" w:line="240" w:lineRule="auto"/>
        <w:ind w:firstLine="567"/>
        <w:jc w:val="both"/>
        <w:rPr/>
      </w:pPr>
      <w:r w:rsidDel="00000000" w:rsidR="00000000" w:rsidRPr="00000000">
        <w:rPr>
          <w:rtl w:val="0"/>
        </w:rPr>
        <w:t xml:space="preserve">On the other hand, several inhibiting factors affect the sustainability of the program, such as low student motivation, a tendency to prefer non-academic activities, and limited support from the family environment. Economic conditions also play a role, as some students are required to help their parents, which limits their time for studying. This indicates that the success of literacy programs does not depend solely on the school, but also requires support from families and the surrounding environment to ensure that literacy development can be carried out optimally.</w:t>
      </w:r>
    </w:p>
    <w:p w:rsidR="00000000" w:rsidDel="00000000" w:rsidP="00000000" w:rsidRDefault="00000000" w:rsidRPr="00000000" w14:paraId="000000A3">
      <w:pPr>
        <w:spacing w:after="0" w:line="240" w:lineRule="auto"/>
        <w:ind w:firstLine="272"/>
        <w:jc w:val="both"/>
        <w:rPr/>
      </w:pPr>
      <w:r w:rsidDel="00000000" w:rsidR="00000000" w:rsidRPr="00000000">
        <w:rPr>
          <w:rtl w:val="0"/>
        </w:rPr>
      </w:r>
    </w:p>
    <w:p w:rsidR="00000000" w:rsidDel="00000000" w:rsidP="00000000" w:rsidRDefault="00000000" w:rsidRPr="00000000" w14:paraId="000000A4">
      <w:pPr>
        <w:spacing w:after="0" w:line="240" w:lineRule="auto"/>
        <w:jc w:val="both"/>
        <w:rPr/>
      </w:pPr>
      <w:r w:rsidDel="00000000" w:rsidR="00000000" w:rsidRPr="00000000">
        <w:rPr>
          <w:b w:val="1"/>
          <w:bCs w:val="1"/>
          <w:rtl w:val="0"/>
        </w:rPr>
        <w:t xml:space="preserve">5. AUTHORS’ NOTE</w:t>
      </w:r>
      <w:r w:rsidDel="00000000" w:rsidR="00000000" w:rsidRPr="00000000">
        <w:rPr>
          <w:rtl w:val="0"/>
        </w:rPr>
      </w:r>
    </w:p>
    <w:p w:rsidR="00000000" w:rsidDel="00000000" w:rsidP="00000000" w:rsidRDefault="00000000" w:rsidRPr="00000000" w14:paraId="000000A5">
      <w:pPr>
        <w:pBdr>
          <w:top w:space="0" w:sz="0" w:val="nil"/>
          <w:left w:space="0" w:sz="0" w:val="nil"/>
          <w:bottom w:space="0" w:sz="0" w:val="nil"/>
          <w:right w:space="0" w:sz="0" w:val="nil"/>
          <w:between w:space="0" w:sz="0" w:val="nil"/>
        </w:pBdr>
        <w:spacing w:after="0" w:line="240" w:lineRule="auto"/>
        <w:ind w:firstLine="567"/>
        <w:jc w:val="both"/>
        <w:rPr>
          <w:color w:val="000000"/>
        </w:rPr>
      </w:pPr>
      <w:r w:rsidDel="00000000" w:rsidR="00000000" w:rsidRPr="00000000">
        <w:rPr>
          <w:rtl w:val="0"/>
        </w:rPr>
        <w:t xml:space="preserve"> </w:t>
      </w:r>
      <w:r w:rsidDel="00000000" w:rsidR="00000000" w:rsidRPr="00000000">
        <w:rPr>
          <w:color w:val="000000"/>
          <w:rtl w:val="0"/>
        </w:rPr>
        <w:t xml:space="preserve">The </w:t>
      </w:r>
      <w:r w:rsidDel="00000000" w:rsidR="00000000" w:rsidRPr="00000000">
        <w:rPr>
          <w:rtl w:val="0"/>
        </w:rPr>
        <w:t xml:space="preserve">authors</w:t>
      </w:r>
      <w:r w:rsidDel="00000000" w:rsidR="00000000" w:rsidRPr="00000000">
        <w:rPr>
          <w:color w:val="000000"/>
          <w:rtl w:val="0"/>
        </w:rPr>
        <w:t xml:space="preserve"> </w:t>
      </w:r>
      <w:r w:rsidDel="00000000" w:rsidR="00000000" w:rsidRPr="00000000">
        <w:rPr>
          <w:rtl w:val="0"/>
        </w:rPr>
        <w:t xml:space="preserve">declare</w:t>
      </w:r>
      <w:r w:rsidDel="00000000" w:rsidR="00000000" w:rsidRPr="00000000">
        <w:rPr>
          <w:color w:val="000000"/>
          <w:rtl w:val="0"/>
        </w:rPr>
        <w:t xml:space="preserve"> that there is no conflict of interest regarding the publication of this article. Authors confirmed that the paper was free of plagiarism.</w:t>
      </w:r>
    </w:p>
    <w:p w:rsidR="00000000" w:rsidDel="00000000" w:rsidP="00000000" w:rsidRDefault="00000000" w:rsidRPr="00000000" w14:paraId="000000A6">
      <w:pPr>
        <w:pBdr>
          <w:top w:space="0" w:sz="0" w:val="nil"/>
          <w:left w:space="0" w:sz="0" w:val="nil"/>
          <w:bottom w:space="0" w:sz="0" w:val="nil"/>
          <w:right w:space="0" w:sz="0" w:val="nil"/>
          <w:between w:space="0" w:sz="0" w:val="nil"/>
        </w:pBdr>
        <w:spacing w:after="0" w:line="240" w:lineRule="auto"/>
        <w:jc w:val="both"/>
        <w:rPr>
          <w:color w:val="000000"/>
        </w:rPr>
      </w:pPr>
      <w:r w:rsidDel="00000000" w:rsidR="00000000" w:rsidRPr="00000000">
        <w:rPr>
          <w:rtl w:val="0"/>
        </w:rPr>
      </w:r>
    </w:p>
    <w:p w:rsidR="00000000" w:rsidDel="00000000" w:rsidP="00000000" w:rsidRDefault="00000000" w:rsidRPr="00000000" w14:paraId="000000A7">
      <w:pPr>
        <w:pBdr>
          <w:top w:space="0" w:sz="0" w:val="nil"/>
          <w:left w:space="0" w:sz="0" w:val="nil"/>
          <w:bottom w:space="0" w:sz="0" w:val="nil"/>
          <w:right w:space="0" w:sz="0" w:val="nil"/>
          <w:between w:space="0" w:sz="0" w:val="nil"/>
        </w:pBdr>
        <w:spacing w:after="0" w:line="240" w:lineRule="auto"/>
        <w:jc w:val="both"/>
        <w:rPr>
          <w:b w:val="1"/>
          <w:bCs w:val="1"/>
          <w:color w:val="000000"/>
        </w:rPr>
      </w:pPr>
      <w:r w:rsidDel="00000000" w:rsidR="00000000" w:rsidRPr="00000000">
        <w:rPr>
          <w:b w:val="1"/>
          <w:bCs w:val="1"/>
          <w:rtl w:val="0"/>
        </w:rPr>
        <w:t xml:space="preserve">6</w:t>
      </w:r>
      <w:r w:rsidDel="00000000" w:rsidR="00000000" w:rsidRPr="00000000">
        <w:rPr>
          <w:b w:val="1"/>
          <w:bCs w:val="1"/>
          <w:color w:val="000000"/>
          <w:rtl w:val="0"/>
        </w:rPr>
        <w:t xml:space="preserve">. REFERENCES</w:t>
      </w:r>
    </w:p>
    <w:p w:rsidR="00000000" w:rsidDel="00000000" w:rsidP="00000000" w:rsidRDefault="00000000" w:rsidRPr="00000000" w14:paraId="000000A8">
      <w:pPr>
        <w:pBdr>
          <w:top w:space="0" w:sz="0" w:val="nil"/>
          <w:left w:space="0" w:sz="0" w:val="nil"/>
          <w:bottom w:space="0" w:sz="0" w:val="nil"/>
          <w:right w:space="0" w:sz="0" w:val="nil"/>
          <w:between w:space="0" w:sz="0" w:val="nil"/>
        </w:pBdr>
        <w:spacing w:after="0" w:line="240" w:lineRule="auto"/>
        <w:jc w:val="both"/>
        <w:rPr>
          <w:b w:val="1"/>
          <w:bCs w:val="1"/>
          <w:color w:val="000000"/>
        </w:rPr>
      </w:pPr>
      <w:r w:rsidDel="00000000" w:rsidR="00000000" w:rsidRPr="00000000">
        <w:rPr>
          <w:rtl w:val="0"/>
        </w:rPr>
      </w:r>
    </w:p>
    <w:p w:rsidR="00000000" w:rsidDel="00000000" w:rsidP="00000000" w:rsidRDefault="00000000" w:rsidRPr="00000000" w14:paraId="000000A9">
      <w:pPr>
        <w:pBdr>
          <w:top w:space="0" w:sz="0" w:val="nil"/>
          <w:left w:space="0" w:sz="0" w:val="nil"/>
          <w:bottom w:space="0" w:sz="0" w:val="nil"/>
          <w:right w:space="0" w:sz="0" w:val="nil"/>
          <w:between w:space="0" w:sz="0" w:val="nil"/>
        </w:pBdr>
        <w:spacing w:after="0" w:line="240" w:lineRule="auto"/>
        <w:ind w:left="720" w:hanging="720"/>
        <w:jc w:val="both"/>
        <w:rPr>
          <w:color w:val="000000"/>
        </w:rPr>
      </w:pPr>
      <w:r w:rsidDel="00000000" w:rsidR="00000000" w:rsidRPr="00000000">
        <w:rPr>
          <w:color w:val="000000"/>
          <w:rtl w:val="0"/>
        </w:rPr>
        <w:t xml:space="preserve">Amin, M. E., Norgaard, L. S., Cavaco et al.,. (2020). Establishing trustworthiness and authenticity in qualitative pharmacy research. </w:t>
      </w:r>
      <w:r w:rsidDel="00000000" w:rsidR="00000000" w:rsidRPr="00000000">
        <w:rPr>
          <w:i w:val="1"/>
          <w:iCs w:val="1"/>
          <w:color w:val="000000"/>
          <w:rtl w:val="0"/>
        </w:rPr>
        <w:t xml:space="preserve">Research in Social and Administrative Pharmacy</w:t>
      </w:r>
      <w:r w:rsidDel="00000000" w:rsidR="00000000" w:rsidRPr="00000000">
        <w:rPr>
          <w:color w:val="000000"/>
          <w:rtl w:val="0"/>
        </w:rPr>
        <w:t xml:space="preserve">, 16(10), 1472-1482. </w:t>
      </w:r>
      <w:hyperlink r:id="rId20">
        <w:r w:rsidDel="00000000" w:rsidR="00000000" w:rsidRPr="00000000">
          <w:rPr>
            <w:color w:val="0000ff"/>
            <w:u w:val="single"/>
            <w:rtl w:val="0"/>
          </w:rPr>
          <w:t xml:space="preserve">https://doi.org/10.1016/j.sapharm.2020.02.005</w:t>
        </w:r>
      </w:hyperlink>
      <w:r w:rsidDel="00000000" w:rsidR="00000000" w:rsidRPr="00000000">
        <w:rPr>
          <w:rtl w:val="0"/>
        </w:rPr>
      </w:r>
    </w:p>
    <w:p w:rsidR="00000000" w:rsidDel="00000000" w:rsidP="00000000" w:rsidRDefault="00000000" w:rsidRPr="00000000" w14:paraId="000000AA">
      <w:pPr>
        <w:pBdr>
          <w:top w:space="0" w:sz="0" w:val="nil"/>
          <w:left w:space="0" w:sz="0" w:val="nil"/>
          <w:bottom w:space="0" w:sz="0" w:val="nil"/>
          <w:right w:space="0" w:sz="0" w:val="nil"/>
          <w:between w:space="0" w:sz="0" w:val="nil"/>
        </w:pBdr>
        <w:spacing w:after="0" w:line="240" w:lineRule="auto"/>
        <w:ind w:left="720" w:hanging="720"/>
        <w:jc w:val="both"/>
        <w:rPr>
          <w:color w:val="000000"/>
        </w:rPr>
      </w:pPr>
      <w:r w:rsidDel="00000000" w:rsidR="00000000" w:rsidRPr="00000000">
        <w:rPr>
          <w:color w:val="000000"/>
          <w:rtl w:val="0"/>
        </w:rPr>
        <w:t xml:space="preserve">Andreani, S., Muniroh, S., Suharyadi, S., Astuti, U. P., &amp; Yulizar, Y. (2021). The contribution of genre awareness and reading habits towards students' reading comprehension. </w:t>
      </w:r>
      <w:r w:rsidDel="00000000" w:rsidR="00000000" w:rsidRPr="00000000">
        <w:rPr>
          <w:i w:val="1"/>
          <w:iCs w:val="1"/>
          <w:color w:val="000000"/>
          <w:rtl w:val="0"/>
        </w:rPr>
        <w:t xml:space="preserve">Indonesian Journal of Applied Linguistics</w:t>
      </w:r>
      <w:r w:rsidDel="00000000" w:rsidR="00000000" w:rsidRPr="00000000">
        <w:rPr>
          <w:color w:val="000000"/>
          <w:rtl w:val="0"/>
        </w:rPr>
        <w:t xml:space="preserve">, 11(2). </w:t>
      </w:r>
      <w:hyperlink r:id="rId21">
        <w:r w:rsidDel="00000000" w:rsidR="00000000" w:rsidRPr="00000000">
          <w:rPr>
            <w:color w:val="0000ff"/>
            <w:u w:val="single"/>
            <w:rtl w:val="0"/>
          </w:rPr>
          <w:t xml:space="preserve">https://doi.org/10.17509/ijal.v11i2.35260</w:t>
        </w:r>
      </w:hyperlink>
      <w:r w:rsidDel="00000000" w:rsidR="00000000" w:rsidRPr="00000000">
        <w:rPr>
          <w:rtl w:val="0"/>
        </w:rPr>
      </w:r>
    </w:p>
    <w:p w:rsidR="00000000" w:rsidDel="00000000" w:rsidP="00000000" w:rsidRDefault="00000000" w:rsidRPr="00000000" w14:paraId="000000AB">
      <w:pPr>
        <w:pBdr>
          <w:top w:space="0" w:sz="0" w:val="nil"/>
          <w:left w:space="0" w:sz="0" w:val="nil"/>
          <w:bottom w:space="0" w:sz="0" w:val="nil"/>
          <w:right w:space="0" w:sz="0" w:val="nil"/>
          <w:between w:space="0" w:sz="0" w:val="nil"/>
        </w:pBdr>
        <w:spacing w:after="0" w:line="240" w:lineRule="auto"/>
        <w:ind w:left="720" w:hanging="720"/>
        <w:jc w:val="both"/>
        <w:rPr>
          <w:color w:val="000000"/>
        </w:rPr>
      </w:pPr>
      <w:r w:rsidDel="00000000" w:rsidR="00000000" w:rsidRPr="00000000">
        <w:rPr>
          <w:color w:val="000000"/>
          <w:rtl w:val="0"/>
        </w:rPr>
        <w:t xml:space="preserve">Campbell, S., Greenwood, M., Prior, S., Shearer, T., Walkem, K., Young, S., ... &amp; Walker, K. (2020). Purposive sampling: complex or simple? Research case examples. </w:t>
      </w:r>
      <w:r w:rsidDel="00000000" w:rsidR="00000000" w:rsidRPr="00000000">
        <w:rPr>
          <w:i w:val="1"/>
          <w:iCs w:val="1"/>
          <w:color w:val="000000"/>
          <w:rtl w:val="0"/>
        </w:rPr>
        <w:t xml:space="preserve">Journal of Research in Nursing</w:t>
      </w:r>
      <w:r w:rsidDel="00000000" w:rsidR="00000000" w:rsidRPr="00000000">
        <w:rPr>
          <w:color w:val="000000"/>
          <w:rtl w:val="0"/>
        </w:rPr>
        <w:t xml:space="preserve">, 25(8), 652-661. </w:t>
      </w:r>
      <w:hyperlink r:id="rId22">
        <w:r w:rsidDel="00000000" w:rsidR="00000000" w:rsidRPr="00000000">
          <w:rPr>
            <w:color w:val="0000ff"/>
            <w:u w:val="single"/>
            <w:rtl w:val="0"/>
          </w:rPr>
          <w:t xml:space="preserve">https://doi.org/10.1177/1744987120927206</w:t>
        </w:r>
      </w:hyperlink>
      <w:r w:rsidDel="00000000" w:rsidR="00000000" w:rsidRPr="00000000">
        <w:rPr>
          <w:rtl w:val="0"/>
        </w:rPr>
      </w:r>
    </w:p>
    <w:p w:rsidR="00000000" w:rsidDel="00000000" w:rsidP="00000000" w:rsidRDefault="00000000" w:rsidRPr="00000000" w14:paraId="000000AC">
      <w:pPr>
        <w:pBdr>
          <w:top w:space="0" w:sz="0" w:val="nil"/>
          <w:left w:space="0" w:sz="0" w:val="nil"/>
          <w:bottom w:space="0" w:sz="0" w:val="nil"/>
          <w:right w:space="0" w:sz="0" w:val="nil"/>
          <w:between w:space="0" w:sz="0" w:val="nil"/>
        </w:pBdr>
        <w:spacing w:after="0" w:line="240" w:lineRule="auto"/>
        <w:ind w:left="720" w:hanging="720"/>
        <w:jc w:val="both"/>
        <w:rPr>
          <w:color w:val="000000"/>
        </w:rPr>
      </w:pPr>
      <w:r w:rsidDel="00000000" w:rsidR="00000000" w:rsidRPr="00000000">
        <w:rPr>
          <w:color w:val="000000"/>
          <w:rtl w:val="0"/>
        </w:rPr>
        <w:t xml:space="preserve">Fadli, M. R. (2021). Memahami desain metode penelitian kualitatif. </w:t>
      </w:r>
      <w:r w:rsidDel="00000000" w:rsidR="00000000" w:rsidRPr="00000000">
        <w:rPr>
          <w:i w:val="1"/>
          <w:iCs w:val="1"/>
          <w:color w:val="000000"/>
          <w:rtl w:val="0"/>
        </w:rPr>
        <w:t xml:space="preserve">Humanika, Kajian Ilmiah Mata Kuliah Umum</w:t>
      </w:r>
      <w:r w:rsidDel="00000000" w:rsidR="00000000" w:rsidRPr="00000000">
        <w:rPr>
          <w:color w:val="000000"/>
          <w:rtl w:val="0"/>
        </w:rPr>
        <w:t xml:space="preserve">, 21(1), 33-54. </w:t>
      </w:r>
      <w:hyperlink r:id="rId23">
        <w:r w:rsidDel="00000000" w:rsidR="00000000" w:rsidRPr="00000000">
          <w:rPr>
            <w:color w:val="0000ff"/>
            <w:u w:val="single"/>
            <w:rtl w:val="0"/>
          </w:rPr>
          <w:t xml:space="preserve">https://doi.org/10.21831/hum.v21i1.38075</w:t>
        </w:r>
      </w:hyperlink>
      <w:r w:rsidDel="00000000" w:rsidR="00000000" w:rsidRPr="00000000">
        <w:rPr>
          <w:rtl w:val="0"/>
        </w:rPr>
      </w:r>
    </w:p>
    <w:p w:rsidR="00000000" w:rsidDel="00000000" w:rsidP="00000000" w:rsidRDefault="00000000" w:rsidRPr="00000000" w14:paraId="000000AD">
      <w:pPr>
        <w:pBdr>
          <w:top w:space="0" w:sz="0" w:val="nil"/>
          <w:left w:space="0" w:sz="0" w:val="nil"/>
          <w:bottom w:space="0" w:sz="0" w:val="nil"/>
          <w:right w:space="0" w:sz="0" w:val="nil"/>
          <w:between w:space="0" w:sz="0" w:val="nil"/>
        </w:pBdr>
        <w:spacing w:after="0" w:line="240" w:lineRule="auto"/>
        <w:ind w:left="720" w:hanging="720"/>
        <w:jc w:val="both"/>
        <w:rPr>
          <w:color w:val="000000"/>
        </w:rPr>
      </w:pPr>
      <w:r w:rsidDel="00000000" w:rsidR="00000000" w:rsidRPr="00000000">
        <w:rPr>
          <w:color w:val="000000"/>
          <w:rtl w:val="0"/>
        </w:rPr>
        <w:t xml:space="preserve">Heriyanto, H., Rukiyah, R., &amp; Lusiana, E. (2021). Teacher-librarian collaboration in integrating information literacy into school curriculum. </w:t>
      </w:r>
      <w:r w:rsidDel="00000000" w:rsidR="00000000" w:rsidRPr="00000000">
        <w:rPr>
          <w:i w:val="1"/>
          <w:iCs w:val="1"/>
          <w:color w:val="000000"/>
          <w:rtl w:val="0"/>
        </w:rPr>
        <w:t xml:space="preserve">Library Philosophy and Practice (e-journal)</w:t>
      </w:r>
      <w:r w:rsidDel="00000000" w:rsidR="00000000" w:rsidRPr="00000000">
        <w:rPr>
          <w:color w:val="000000"/>
          <w:rtl w:val="0"/>
        </w:rPr>
        <w:t xml:space="preserve">, 5021. </w:t>
      </w:r>
      <w:hyperlink r:id="rId24">
        <w:r w:rsidDel="00000000" w:rsidR="00000000" w:rsidRPr="00000000">
          <w:rPr>
            <w:color w:val="0000ff"/>
            <w:u w:val="single"/>
            <w:rtl w:val="0"/>
          </w:rPr>
          <w:t xml:space="preserve">https://digitalcommons.unl.edu/libphilprac/5021/</w:t>
        </w:r>
      </w:hyperlink>
      <w:r w:rsidDel="00000000" w:rsidR="00000000" w:rsidRPr="00000000">
        <w:rPr>
          <w:rtl w:val="0"/>
        </w:rPr>
      </w:r>
    </w:p>
    <w:p w:rsidR="00000000" w:rsidDel="00000000" w:rsidP="00000000" w:rsidRDefault="00000000" w:rsidRPr="00000000" w14:paraId="000000AE">
      <w:pPr>
        <w:pBdr>
          <w:top w:space="0" w:sz="0" w:val="nil"/>
          <w:left w:space="0" w:sz="0" w:val="nil"/>
          <w:bottom w:space="0" w:sz="0" w:val="nil"/>
          <w:right w:space="0" w:sz="0" w:val="nil"/>
          <w:between w:space="0" w:sz="0" w:val="nil"/>
        </w:pBdr>
        <w:spacing w:after="0" w:line="240" w:lineRule="auto"/>
        <w:ind w:left="720" w:hanging="720"/>
        <w:jc w:val="both"/>
        <w:rPr>
          <w:color w:val="000000"/>
        </w:rPr>
      </w:pPr>
      <w:r w:rsidDel="00000000" w:rsidR="00000000" w:rsidRPr="00000000">
        <w:rPr>
          <w:color w:val="000000"/>
          <w:rtl w:val="0"/>
        </w:rPr>
        <w:t xml:space="preserve">Kurniawan, A., &amp; Hidayat, N. (2021). Transformasi layanan perpustakaan sekolah dalam mendukung gerakan literasi nasional. </w:t>
      </w:r>
      <w:r w:rsidDel="00000000" w:rsidR="00000000" w:rsidRPr="00000000">
        <w:rPr>
          <w:i w:val="1"/>
          <w:iCs w:val="1"/>
          <w:color w:val="000000"/>
          <w:rtl w:val="0"/>
        </w:rPr>
        <w:t xml:space="preserve">Lentera Pustaka: Jurnal Kajian Ilmu Perpustakaan, Informasi dan Kearsipan</w:t>
      </w:r>
      <w:r w:rsidDel="00000000" w:rsidR="00000000" w:rsidRPr="00000000">
        <w:rPr>
          <w:color w:val="000000"/>
          <w:rtl w:val="0"/>
        </w:rPr>
        <w:t xml:space="preserve">, 7(1), 45-58. </w:t>
      </w:r>
      <w:hyperlink r:id="rId25">
        <w:r w:rsidDel="00000000" w:rsidR="00000000" w:rsidRPr="00000000">
          <w:rPr>
            <w:color w:val="0000ff"/>
            <w:u w:val="single"/>
            <w:rtl w:val="0"/>
          </w:rPr>
          <w:t xml:space="preserve">https://ejournal.undip.ac.id/index.php/lpustaka/issue/view/2133</w:t>
        </w:r>
      </w:hyperlink>
      <w:r w:rsidDel="00000000" w:rsidR="00000000" w:rsidRPr="00000000">
        <w:rPr>
          <w:color w:val="000000"/>
          <w:rtl w:val="0"/>
        </w:rPr>
        <w:t xml:space="preserve"> </w:t>
      </w:r>
    </w:p>
    <w:p w:rsidR="00000000" w:rsidDel="00000000" w:rsidP="00000000" w:rsidRDefault="00000000" w:rsidRPr="00000000" w14:paraId="000000AF">
      <w:pPr>
        <w:pBdr>
          <w:top w:space="0" w:sz="0" w:val="nil"/>
          <w:left w:space="0" w:sz="0" w:val="nil"/>
          <w:bottom w:space="0" w:sz="0" w:val="nil"/>
          <w:right w:space="0" w:sz="0" w:val="nil"/>
          <w:between w:space="0" w:sz="0" w:val="nil"/>
        </w:pBdr>
        <w:spacing w:after="0" w:line="240" w:lineRule="auto"/>
        <w:ind w:left="720" w:hanging="720"/>
        <w:jc w:val="both"/>
        <w:rPr>
          <w:color w:val="000000"/>
        </w:rPr>
      </w:pPr>
      <w:r w:rsidDel="00000000" w:rsidR="00000000" w:rsidRPr="00000000">
        <w:rPr>
          <w:color w:val="000000"/>
          <w:rtl w:val="0"/>
        </w:rPr>
        <w:t xml:space="preserve">Kusuma, A. R., &amp; Supriyadi, E. (2022). Dampak penggunaan gawai terhadap penurunan rentang perhatian dan literasi membaca siswa menengah pertama. </w:t>
      </w:r>
      <w:r w:rsidDel="00000000" w:rsidR="00000000" w:rsidRPr="00000000">
        <w:rPr>
          <w:i w:val="1"/>
          <w:iCs w:val="1"/>
          <w:color w:val="000000"/>
          <w:rtl w:val="0"/>
        </w:rPr>
        <w:t xml:space="preserve">Jurnal Pendidikan dan Kebudayaan</w:t>
      </w:r>
      <w:r w:rsidDel="00000000" w:rsidR="00000000" w:rsidRPr="00000000">
        <w:rPr>
          <w:color w:val="000000"/>
          <w:rtl w:val="0"/>
        </w:rPr>
        <w:t xml:space="preserve">, 7(1), 88-101. </w:t>
      </w:r>
      <w:hyperlink r:id="rId26">
        <w:r w:rsidDel="00000000" w:rsidR="00000000" w:rsidRPr="00000000">
          <w:rPr>
            <w:color w:val="0000ff"/>
            <w:u w:val="single"/>
            <w:rtl w:val="0"/>
          </w:rPr>
          <w:t xml:space="preserve">https://doi.org/10.24832/jpnk.v7i1.2341</w:t>
        </w:r>
      </w:hyperlink>
      <w:r w:rsidDel="00000000" w:rsidR="00000000" w:rsidRPr="00000000">
        <w:rPr>
          <w:rtl w:val="0"/>
        </w:rPr>
      </w:r>
    </w:p>
    <w:p w:rsidR="00000000" w:rsidDel="00000000" w:rsidP="00000000" w:rsidRDefault="00000000" w:rsidRPr="00000000" w14:paraId="000000B0">
      <w:pPr>
        <w:pBdr>
          <w:top w:space="0" w:sz="0" w:val="nil"/>
          <w:left w:space="0" w:sz="0" w:val="nil"/>
          <w:bottom w:space="0" w:sz="0" w:val="nil"/>
          <w:right w:space="0" w:sz="0" w:val="nil"/>
          <w:between w:space="0" w:sz="0" w:val="nil"/>
        </w:pBdr>
        <w:spacing w:after="0" w:line="240" w:lineRule="auto"/>
        <w:ind w:left="720" w:hanging="720"/>
        <w:jc w:val="both"/>
        <w:rPr>
          <w:color w:val="000000"/>
        </w:rPr>
      </w:pPr>
      <w:r w:rsidDel="00000000" w:rsidR="00000000" w:rsidRPr="00000000">
        <w:rPr>
          <w:color w:val="000000"/>
          <w:rtl w:val="0"/>
        </w:rPr>
        <w:t xml:space="preserve">Mujahidin, I. A., Sunarsih, D., &amp; Toharudin, M. (2022). Peran perpustakaan sekolah dalam meningkatkan literasi membaca siswa kelas IV di SDN Sawojajar 01. </w:t>
      </w:r>
      <w:r w:rsidDel="00000000" w:rsidR="00000000" w:rsidRPr="00000000">
        <w:rPr>
          <w:i w:val="1"/>
          <w:iCs w:val="1"/>
          <w:color w:val="000000"/>
          <w:rtl w:val="0"/>
        </w:rPr>
        <w:t xml:space="preserve">Jurnal Ilmiah Wahana Pendidikan</w:t>
      </w:r>
      <w:r w:rsidDel="00000000" w:rsidR="00000000" w:rsidRPr="00000000">
        <w:rPr>
          <w:color w:val="000000"/>
          <w:rtl w:val="0"/>
        </w:rPr>
        <w:t xml:space="preserve">, 8(19), 182-199. </w:t>
      </w:r>
      <w:hyperlink r:id="rId27">
        <w:r w:rsidDel="00000000" w:rsidR="00000000" w:rsidRPr="00000000">
          <w:rPr>
            <w:color w:val="0000ff"/>
            <w:u w:val="single"/>
            <w:rtl w:val="0"/>
          </w:rPr>
          <w:t xml:space="preserve">https://doi.org/10.5281/zenodo.7165714</w:t>
        </w:r>
      </w:hyperlink>
      <w:r w:rsidDel="00000000" w:rsidR="00000000" w:rsidRPr="00000000">
        <w:rPr>
          <w:rtl w:val="0"/>
        </w:rPr>
      </w:r>
    </w:p>
    <w:p w:rsidR="00000000" w:rsidDel="00000000" w:rsidP="00000000" w:rsidRDefault="00000000" w:rsidRPr="00000000" w14:paraId="000000B1">
      <w:pPr>
        <w:pBdr>
          <w:top w:space="0" w:sz="0" w:val="nil"/>
          <w:left w:space="0" w:sz="0" w:val="nil"/>
          <w:bottom w:space="0" w:sz="0" w:val="nil"/>
          <w:right w:space="0" w:sz="0" w:val="nil"/>
          <w:between w:space="0" w:sz="0" w:val="nil"/>
        </w:pBdr>
        <w:spacing w:after="0" w:line="240" w:lineRule="auto"/>
        <w:ind w:left="720" w:hanging="720"/>
        <w:jc w:val="both"/>
        <w:rPr>
          <w:color w:val="000000"/>
        </w:rPr>
      </w:pPr>
      <w:r w:rsidDel="00000000" w:rsidR="00000000" w:rsidRPr="00000000">
        <w:rPr>
          <w:color w:val="000000"/>
          <w:rtl w:val="0"/>
        </w:rPr>
        <w:t xml:space="preserve">Munthe, I., Sari, N., Rambe, B., Ritonga, I., Aritonang, Y., &amp; Fauziah, R. (2024). Peningkatan literasi membaca melalui kolaborasi guru, orang tua, dan siswa di SD TPI Janji Rantauprapat. </w:t>
      </w:r>
      <w:r w:rsidDel="00000000" w:rsidR="00000000" w:rsidRPr="00000000">
        <w:rPr>
          <w:i w:val="1"/>
          <w:iCs w:val="1"/>
          <w:color w:val="000000"/>
          <w:rtl w:val="0"/>
        </w:rPr>
        <w:t xml:space="preserve">Jurnal Pengabdian Masyarakat: Pemberdayaan, Inovasi dan Perubahan</w:t>
      </w:r>
      <w:r w:rsidDel="00000000" w:rsidR="00000000" w:rsidRPr="00000000">
        <w:rPr>
          <w:color w:val="000000"/>
          <w:rtl w:val="0"/>
        </w:rPr>
        <w:t xml:space="preserve">, 4(6). </w:t>
      </w:r>
      <w:hyperlink r:id="rId28">
        <w:r w:rsidDel="00000000" w:rsidR="00000000" w:rsidRPr="00000000">
          <w:rPr>
            <w:color w:val="0000ff"/>
            <w:u w:val="single"/>
            <w:rtl w:val="0"/>
          </w:rPr>
          <w:t xml:space="preserve">https://doi.org/10.59818/jpm.v4i6.848</w:t>
        </w:r>
      </w:hyperlink>
      <w:r w:rsidDel="00000000" w:rsidR="00000000" w:rsidRPr="00000000">
        <w:rPr>
          <w:rtl w:val="0"/>
        </w:rPr>
      </w:r>
    </w:p>
    <w:p w:rsidR="00000000" w:rsidDel="00000000" w:rsidP="00000000" w:rsidRDefault="00000000" w:rsidRPr="00000000" w14:paraId="000000B2">
      <w:pPr>
        <w:pBdr>
          <w:top w:space="0" w:sz="0" w:val="nil"/>
          <w:left w:space="0" w:sz="0" w:val="nil"/>
          <w:bottom w:space="0" w:sz="0" w:val="nil"/>
          <w:right w:space="0" w:sz="0" w:val="nil"/>
          <w:between w:space="0" w:sz="0" w:val="nil"/>
        </w:pBdr>
        <w:spacing w:after="0" w:line="240" w:lineRule="auto"/>
        <w:ind w:left="720" w:hanging="720"/>
        <w:jc w:val="both"/>
        <w:rPr>
          <w:color w:val="000000"/>
        </w:rPr>
      </w:pPr>
      <w:r w:rsidDel="00000000" w:rsidR="00000000" w:rsidRPr="00000000">
        <w:rPr>
          <w:color w:val="000000"/>
          <w:rtl w:val="0"/>
        </w:rPr>
        <w:t xml:space="preserve">Mustafa, B., Subekti, I., &amp; Sujono, S. (2022). Long-term evaluation of remedial reading programs in Indonesian secondary schools. </w:t>
      </w:r>
      <w:r w:rsidDel="00000000" w:rsidR="00000000" w:rsidRPr="00000000">
        <w:rPr>
          <w:i w:val="1"/>
          <w:iCs w:val="1"/>
          <w:color w:val="000000"/>
          <w:rtl w:val="0"/>
        </w:rPr>
        <w:t xml:space="preserve">Journal of Education and Learning (EduLearn)</w:t>
      </w:r>
      <w:r w:rsidDel="00000000" w:rsidR="00000000" w:rsidRPr="00000000">
        <w:rPr>
          <w:color w:val="000000"/>
          <w:rtl w:val="0"/>
        </w:rPr>
        <w:t xml:space="preserve">, 16(4), 512-520. </w:t>
      </w:r>
      <w:hyperlink r:id="rId29">
        <w:r w:rsidDel="00000000" w:rsidR="00000000" w:rsidRPr="00000000">
          <w:rPr>
            <w:color w:val="0000ff"/>
            <w:u w:val="single"/>
            <w:rtl w:val="0"/>
          </w:rPr>
          <w:t xml:space="preserve">https://doi.org/10.11591/edulearn.v16i4.20512</w:t>
        </w:r>
      </w:hyperlink>
      <w:r w:rsidDel="00000000" w:rsidR="00000000" w:rsidRPr="00000000">
        <w:rPr>
          <w:rtl w:val="0"/>
        </w:rPr>
      </w:r>
    </w:p>
    <w:p w:rsidR="00000000" w:rsidDel="00000000" w:rsidP="00000000" w:rsidRDefault="00000000" w:rsidRPr="00000000" w14:paraId="000000B3">
      <w:pPr>
        <w:pBdr>
          <w:top w:space="0" w:sz="0" w:val="nil"/>
          <w:left w:space="0" w:sz="0" w:val="nil"/>
          <w:bottom w:space="0" w:sz="0" w:val="nil"/>
          <w:right w:space="0" w:sz="0" w:val="nil"/>
          <w:between w:space="0" w:sz="0" w:val="nil"/>
        </w:pBdr>
        <w:spacing w:after="0" w:line="240" w:lineRule="auto"/>
        <w:ind w:left="720" w:hanging="720"/>
        <w:jc w:val="both"/>
        <w:rPr>
          <w:color w:val="000000"/>
        </w:rPr>
      </w:pPr>
      <w:r w:rsidDel="00000000" w:rsidR="00000000" w:rsidRPr="00000000">
        <w:rPr>
          <w:color w:val="000000"/>
          <w:rtl w:val="0"/>
        </w:rPr>
        <w:t xml:space="preserve">Nugraha, D., &amp; Octavianah, D. (2020). The implementation of conceptual learning to improve early literacy skills. </w:t>
      </w:r>
      <w:r w:rsidDel="00000000" w:rsidR="00000000" w:rsidRPr="00000000">
        <w:rPr>
          <w:i w:val="1"/>
          <w:iCs w:val="1"/>
          <w:color w:val="000000"/>
          <w:rtl w:val="0"/>
        </w:rPr>
        <w:t xml:space="preserve">Jurnal Obsesi: Jurnal Pendidikan Anak Usia Dini</w:t>
      </w:r>
      <w:r w:rsidDel="00000000" w:rsidR="00000000" w:rsidRPr="00000000">
        <w:rPr>
          <w:color w:val="000000"/>
          <w:rtl w:val="0"/>
        </w:rPr>
        <w:t xml:space="preserve">, 4(2), 745-755. </w:t>
      </w:r>
      <w:hyperlink r:id="rId30">
        <w:r w:rsidDel="00000000" w:rsidR="00000000" w:rsidRPr="00000000">
          <w:rPr>
            <w:color w:val="0000ff"/>
            <w:u w:val="single"/>
            <w:rtl w:val="0"/>
          </w:rPr>
          <w:t xml:space="preserve">https://doi.org/10.31004/obsesi.v4i2.428</w:t>
        </w:r>
      </w:hyperlink>
      <w:r w:rsidDel="00000000" w:rsidR="00000000" w:rsidRPr="00000000">
        <w:rPr>
          <w:rtl w:val="0"/>
        </w:rPr>
      </w:r>
    </w:p>
    <w:p w:rsidR="00000000" w:rsidDel="00000000" w:rsidP="00000000" w:rsidRDefault="00000000" w:rsidRPr="00000000" w14:paraId="000000B4">
      <w:pPr>
        <w:pBdr>
          <w:top w:space="0" w:sz="0" w:val="nil"/>
          <w:left w:space="0" w:sz="0" w:val="nil"/>
          <w:bottom w:space="0" w:sz="0" w:val="nil"/>
          <w:right w:space="0" w:sz="0" w:val="nil"/>
          <w:between w:space="0" w:sz="0" w:val="nil"/>
        </w:pBdr>
        <w:spacing w:after="0" w:line="240" w:lineRule="auto"/>
        <w:ind w:left="720" w:hanging="720"/>
        <w:jc w:val="both"/>
        <w:rPr>
          <w:color w:val="000000"/>
        </w:rPr>
      </w:pPr>
      <w:r w:rsidDel="00000000" w:rsidR="00000000" w:rsidRPr="00000000">
        <w:rPr>
          <w:color w:val="000000"/>
          <w:rtl w:val="0"/>
        </w:rPr>
        <w:t xml:space="preserve">Nugroho, A., &amp; Suryawati, I. (2021). Keterlibatan orang tua dalam mengatasi kesulitan belajar membaca pemahaman pada anak usia sekolah. </w:t>
      </w:r>
      <w:r w:rsidDel="00000000" w:rsidR="00000000" w:rsidRPr="00000000">
        <w:rPr>
          <w:i w:val="1"/>
          <w:iCs w:val="1"/>
          <w:color w:val="000000"/>
          <w:rtl w:val="0"/>
        </w:rPr>
        <w:t xml:space="preserve">Jurnal Obsesi: Jurnal Pendidikan Anak Usia Dini</w:t>
      </w:r>
      <w:r w:rsidDel="00000000" w:rsidR="00000000" w:rsidRPr="00000000">
        <w:rPr>
          <w:color w:val="000000"/>
          <w:rtl w:val="0"/>
        </w:rPr>
        <w:t xml:space="preserve">, 5(2), 1215-1226. </w:t>
      </w:r>
      <w:hyperlink r:id="rId31">
        <w:r w:rsidDel="00000000" w:rsidR="00000000" w:rsidRPr="00000000">
          <w:rPr>
            <w:color w:val="0000ff"/>
            <w:u w:val="single"/>
            <w:rtl w:val="0"/>
          </w:rPr>
          <w:t xml:space="preserve">https://doi.org/10.31004/obsesi.v5i2.789</w:t>
        </w:r>
      </w:hyperlink>
      <w:r w:rsidDel="00000000" w:rsidR="00000000" w:rsidRPr="00000000">
        <w:rPr>
          <w:rtl w:val="0"/>
        </w:rPr>
      </w:r>
    </w:p>
    <w:p w:rsidR="00000000" w:rsidDel="00000000" w:rsidP="00000000" w:rsidRDefault="00000000" w:rsidRPr="00000000" w14:paraId="000000B5">
      <w:pPr>
        <w:pBdr>
          <w:top w:space="0" w:sz="0" w:val="nil"/>
          <w:left w:space="0" w:sz="0" w:val="nil"/>
          <w:bottom w:space="0" w:sz="0" w:val="nil"/>
          <w:right w:space="0" w:sz="0" w:val="nil"/>
          <w:between w:space="0" w:sz="0" w:val="nil"/>
        </w:pBdr>
        <w:spacing w:after="0" w:line="240" w:lineRule="auto"/>
        <w:ind w:left="720" w:hanging="720"/>
        <w:jc w:val="both"/>
        <w:rPr>
          <w:color w:val="000000"/>
        </w:rPr>
      </w:pPr>
      <w:r w:rsidDel="00000000" w:rsidR="00000000" w:rsidRPr="00000000">
        <w:rPr>
          <w:color w:val="000000"/>
          <w:rtl w:val="0"/>
        </w:rPr>
        <w:t xml:space="preserve">Pasande, P., Katelu, M., &amp; Tari, E. (2020). Peran sosial media terhadap masyarakat buta aksara. </w:t>
      </w:r>
      <w:r w:rsidDel="00000000" w:rsidR="00000000" w:rsidRPr="00000000">
        <w:rPr>
          <w:i w:val="1"/>
          <w:iCs w:val="1"/>
          <w:color w:val="000000"/>
          <w:rtl w:val="0"/>
        </w:rPr>
        <w:t xml:space="preserve">Edumaspul: Jurnal Pendidikan</w:t>
      </w:r>
      <w:r w:rsidDel="00000000" w:rsidR="00000000" w:rsidRPr="00000000">
        <w:rPr>
          <w:color w:val="000000"/>
          <w:rtl w:val="0"/>
        </w:rPr>
        <w:t xml:space="preserve">, 4(1), 236-243. </w:t>
      </w:r>
      <w:hyperlink r:id="rId32">
        <w:r w:rsidDel="00000000" w:rsidR="00000000" w:rsidRPr="00000000">
          <w:rPr>
            <w:color w:val="0000ff"/>
            <w:u w:val="single"/>
            <w:rtl w:val="0"/>
          </w:rPr>
          <w:t xml:space="preserve">https://doi.org/10.33487/edumaspul.v4i1.357</w:t>
        </w:r>
      </w:hyperlink>
      <w:r w:rsidDel="00000000" w:rsidR="00000000" w:rsidRPr="00000000">
        <w:rPr>
          <w:rtl w:val="0"/>
        </w:rPr>
      </w:r>
    </w:p>
    <w:p w:rsidR="00000000" w:rsidDel="00000000" w:rsidP="00000000" w:rsidRDefault="00000000" w:rsidRPr="00000000" w14:paraId="000000B6">
      <w:pPr>
        <w:pBdr>
          <w:top w:space="0" w:sz="0" w:val="nil"/>
          <w:left w:space="0" w:sz="0" w:val="nil"/>
          <w:bottom w:space="0" w:sz="0" w:val="nil"/>
          <w:right w:space="0" w:sz="0" w:val="nil"/>
          <w:between w:space="0" w:sz="0" w:val="nil"/>
        </w:pBdr>
        <w:spacing w:after="0" w:line="240" w:lineRule="auto"/>
        <w:ind w:left="720" w:hanging="720"/>
        <w:jc w:val="both"/>
        <w:rPr>
          <w:color w:val="000000"/>
        </w:rPr>
      </w:pPr>
      <w:r w:rsidDel="00000000" w:rsidR="00000000" w:rsidRPr="00000000">
        <w:rPr>
          <w:color w:val="000000"/>
          <w:rtl w:val="0"/>
        </w:rPr>
        <w:t xml:space="preserve">Pratama, R. A., &amp; Rofiq, A. (2023). Pengaruh lingkungan fisik perpustakaan terhadap minat baca siswa sekolah menengah pertama. </w:t>
      </w:r>
      <w:r w:rsidDel="00000000" w:rsidR="00000000" w:rsidRPr="00000000">
        <w:rPr>
          <w:i w:val="1"/>
          <w:iCs w:val="1"/>
          <w:color w:val="000000"/>
          <w:rtl w:val="0"/>
        </w:rPr>
        <w:t xml:space="preserve">Jurnal Kependidikan: Penelitian Inovasi Pembelajaran</w:t>
      </w:r>
      <w:r w:rsidDel="00000000" w:rsidR="00000000" w:rsidRPr="00000000">
        <w:rPr>
          <w:color w:val="000000"/>
          <w:rtl w:val="0"/>
        </w:rPr>
        <w:t xml:space="preserve">, 7(2), 112-125. </w:t>
      </w:r>
      <w:hyperlink r:id="rId33">
        <w:r w:rsidDel="00000000" w:rsidR="00000000" w:rsidRPr="00000000">
          <w:rPr>
            <w:color w:val="0000ff"/>
            <w:u w:val="single"/>
            <w:rtl w:val="0"/>
          </w:rPr>
          <w:t xml:space="preserve">https://doi.org/10.21831/jk.v7i2.48291</w:t>
        </w:r>
      </w:hyperlink>
      <w:r w:rsidDel="00000000" w:rsidR="00000000" w:rsidRPr="00000000">
        <w:rPr>
          <w:rtl w:val="0"/>
        </w:rPr>
      </w:r>
    </w:p>
    <w:p w:rsidR="00000000" w:rsidDel="00000000" w:rsidP="00000000" w:rsidRDefault="00000000" w:rsidRPr="00000000" w14:paraId="000000B7">
      <w:pPr>
        <w:pBdr>
          <w:top w:space="0" w:sz="0" w:val="nil"/>
          <w:left w:space="0" w:sz="0" w:val="nil"/>
          <w:bottom w:space="0" w:sz="0" w:val="nil"/>
          <w:right w:space="0" w:sz="0" w:val="nil"/>
          <w:between w:space="0" w:sz="0" w:val="nil"/>
        </w:pBdr>
        <w:spacing w:after="0" w:line="240" w:lineRule="auto"/>
        <w:ind w:left="720" w:hanging="720"/>
        <w:jc w:val="both"/>
        <w:rPr>
          <w:color w:val="000000"/>
        </w:rPr>
      </w:pPr>
      <w:r w:rsidDel="00000000" w:rsidR="00000000" w:rsidRPr="00000000">
        <w:rPr>
          <w:color w:val="000000"/>
          <w:rtl w:val="0"/>
        </w:rPr>
        <w:t xml:space="preserve">Rahim, N. A., Harun, H., &amp; Ahmad, S. (2023). Establishing reading habits through structured after-school interventions. </w:t>
      </w:r>
      <w:r w:rsidDel="00000000" w:rsidR="00000000" w:rsidRPr="00000000">
        <w:rPr>
          <w:i w:val="1"/>
          <w:iCs w:val="1"/>
          <w:color w:val="000000"/>
          <w:rtl w:val="0"/>
        </w:rPr>
        <w:t xml:space="preserve">International Journal of Academic Research in Progressive Education and Development</w:t>
      </w:r>
      <w:r w:rsidDel="00000000" w:rsidR="00000000" w:rsidRPr="00000000">
        <w:rPr>
          <w:color w:val="000000"/>
          <w:rtl w:val="0"/>
        </w:rPr>
        <w:t xml:space="preserve">, 12(1), 340-355. </w:t>
      </w:r>
      <w:hyperlink r:id="rId34">
        <w:r w:rsidDel="00000000" w:rsidR="00000000" w:rsidRPr="00000000">
          <w:rPr>
            <w:color w:val="0000ff"/>
            <w:u w:val="single"/>
            <w:rtl w:val="0"/>
          </w:rPr>
          <w:t xml:space="preserve">https://doi.org/10.6007/IJARPED/v12-i1/16142</w:t>
        </w:r>
      </w:hyperlink>
      <w:r w:rsidDel="00000000" w:rsidR="00000000" w:rsidRPr="00000000">
        <w:rPr>
          <w:rtl w:val="0"/>
        </w:rPr>
      </w:r>
    </w:p>
    <w:p w:rsidR="00000000" w:rsidDel="00000000" w:rsidP="00000000" w:rsidRDefault="00000000" w:rsidRPr="00000000" w14:paraId="000000B8">
      <w:pPr>
        <w:pBdr>
          <w:top w:space="0" w:sz="0" w:val="nil"/>
          <w:left w:space="0" w:sz="0" w:val="nil"/>
          <w:bottom w:space="0" w:sz="0" w:val="nil"/>
          <w:right w:space="0" w:sz="0" w:val="nil"/>
          <w:between w:space="0" w:sz="0" w:val="nil"/>
        </w:pBdr>
        <w:spacing w:after="0" w:line="240" w:lineRule="auto"/>
        <w:ind w:left="720" w:hanging="720"/>
        <w:jc w:val="both"/>
        <w:rPr>
          <w:color w:val="000000"/>
        </w:rPr>
      </w:pPr>
      <w:r w:rsidDel="00000000" w:rsidR="00000000" w:rsidRPr="00000000">
        <w:rPr>
          <w:color w:val="000000"/>
          <w:rtl w:val="0"/>
        </w:rPr>
        <w:t xml:space="preserve">Rahmawati, E., &amp; Khoiruddin, M. (2022). Efektivitas pendampingan literasi berkelanjutan terhadap kemampuan pemahaman membaca siswa. </w:t>
      </w:r>
      <w:r w:rsidDel="00000000" w:rsidR="00000000" w:rsidRPr="00000000">
        <w:rPr>
          <w:i w:val="1"/>
          <w:iCs w:val="1"/>
          <w:color w:val="000000"/>
          <w:rtl w:val="0"/>
        </w:rPr>
        <w:t xml:space="preserve">Jurnal Pendidikan Dasar Nusantara</w:t>
      </w:r>
      <w:r w:rsidDel="00000000" w:rsidR="00000000" w:rsidRPr="00000000">
        <w:rPr>
          <w:color w:val="000000"/>
          <w:rtl w:val="0"/>
        </w:rPr>
        <w:t xml:space="preserve">, 8(1), 89-102. </w:t>
      </w:r>
      <w:hyperlink r:id="rId35">
        <w:r w:rsidDel="00000000" w:rsidR="00000000" w:rsidRPr="00000000">
          <w:rPr>
            <w:color w:val="0000ff"/>
            <w:u w:val="single"/>
            <w:rtl w:val="0"/>
          </w:rPr>
          <w:t xml:space="preserve">https://doi.org/10.29407/jpdn.v8i1.15672</w:t>
        </w:r>
      </w:hyperlink>
      <w:r w:rsidDel="00000000" w:rsidR="00000000" w:rsidRPr="00000000">
        <w:rPr>
          <w:rtl w:val="0"/>
        </w:rPr>
      </w:r>
    </w:p>
    <w:p w:rsidR="00000000" w:rsidDel="00000000" w:rsidP="00000000" w:rsidRDefault="00000000" w:rsidRPr="00000000" w14:paraId="000000B9">
      <w:pPr>
        <w:pBdr>
          <w:top w:space="0" w:sz="0" w:val="nil"/>
          <w:left w:space="0" w:sz="0" w:val="nil"/>
          <w:bottom w:space="0" w:sz="0" w:val="nil"/>
          <w:right w:space="0" w:sz="0" w:val="nil"/>
          <w:between w:space="0" w:sz="0" w:val="nil"/>
        </w:pBdr>
        <w:spacing w:after="0" w:line="240" w:lineRule="auto"/>
        <w:ind w:left="720" w:hanging="720"/>
        <w:jc w:val="both"/>
        <w:rPr>
          <w:color w:val="000000"/>
        </w:rPr>
      </w:pPr>
      <w:r w:rsidDel="00000000" w:rsidR="00000000" w:rsidRPr="00000000">
        <w:rPr>
          <w:color w:val="000000"/>
          <w:rtl w:val="0"/>
        </w:rPr>
        <w:t xml:space="preserve">Sari, A. P., &amp; Suryana, Y. (2022). Analisis miskonsepsi buta aksara fungsional pada siswa menengah pertama di era digital. </w:t>
      </w:r>
      <w:r w:rsidDel="00000000" w:rsidR="00000000" w:rsidRPr="00000000">
        <w:rPr>
          <w:i w:val="1"/>
          <w:iCs w:val="1"/>
          <w:color w:val="000000"/>
          <w:rtl w:val="0"/>
        </w:rPr>
        <w:t xml:space="preserve">Jurnal Basicedu</w:t>
      </w:r>
      <w:r w:rsidDel="00000000" w:rsidR="00000000" w:rsidRPr="00000000">
        <w:rPr>
          <w:color w:val="000000"/>
          <w:rtl w:val="0"/>
        </w:rPr>
        <w:t xml:space="preserve">, 6(3), 4521-4530. </w:t>
      </w:r>
      <w:hyperlink r:id="rId36">
        <w:r w:rsidDel="00000000" w:rsidR="00000000" w:rsidRPr="00000000">
          <w:rPr>
            <w:color w:val="0000ff"/>
            <w:u w:val="single"/>
            <w:rtl w:val="0"/>
          </w:rPr>
          <w:t xml:space="preserve">https://doi.org/10.31004/basicedu.v6i3.2845</w:t>
        </w:r>
      </w:hyperlink>
      <w:r w:rsidDel="00000000" w:rsidR="00000000" w:rsidRPr="00000000">
        <w:rPr>
          <w:rtl w:val="0"/>
        </w:rPr>
      </w:r>
    </w:p>
    <w:p w:rsidR="00000000" w:rsidDel="00000000" w:rsidP="00000000" w:rsidRDefault="00000000" w:rsidRPr="00000000" w14:paraId="000000BA">
      <w:pPr>
        <w:pBdr>
          <w:top w:space="0" w:sz="0" w:val="nil"/>
          <w:left w:space="0" w:sz="0" w:val="nil"/>
          <w:bottom w:space="0" w:sz="0" w:val="nil"/>
          <w:right w:space="0" w:sz="0" w:val="nil"/>
          <w:between w:space="0" w:sz="0" w:val="nil"/>
        </w:pBdr>
        <w:spacing w:after="0" w:line="240" w:lineRule="auto"/>
        <w:ind w:left="720" w:hanging="720"/>
        <w:jc w:val="both"/>
        <w:rPr>
          <w:color w:val="000000"/>
        </w:rPr>
      </w:pPr>
      <w:r w:rsidDel="00000000" w:rsidR="00000000" w:rsidRPr="00000000">
        <w:rPr>
          <w:color w:val="000000"/>
          <w:rtl w:val="0"/>
        </w:rPr>
        <w:t xml:space="preserve">Setiawan, B., &amp; Yuliana, R. (2022). Kebijakan sekolah dalam mengembangkan ekosistem literasi di lingkungan masyarakat berpenghasilan rendah. </w:t>
      </w:r>
      <w:r w:rsidDel="00000000" w:rsidR="00000000" w:rsidRPr="00000000">
        <w:rPr>
          <w:i w:val="1"/>
          <w:iCs w:val="1"/>
          <w:color w:val="000000"/>
          <w:rtl w:val="0"/>
        </w:rPr>
        <w:t xml:space="preserve">Jurnal Administrasi Pendidikan</w:t>
      </w:r>
      <w:r w:rsidDel="00000000" w:rsidR="00000000" w:rsidRPr="00000000">
        <w:rPr>
          <w:color w:val="000000"/>
          <w:rtl w:val="0"/>
        </w:rPr>
        <w:t xml:space="preserve">, 29(1), 45-58. </w:t>
      </w:r>
      <w:hyperlink r:id="rId37">
        <w:r w:rsidDel="00000000" w:rsidR="00000000" w:rsidRPr="00000000">
          <w:rPr>
            <w:color w:val="0000ff"/>
            <w:u w:val="single"/>
            <w:rtl w:val="0"/>
          </w:rPr>
          <w:t xml:space="preserve">https://doi.org/10.17509/jap.v29i1.41250</w:t>
        </w:r>
      </w:hyperlink>
      <w:r w:rsidDel="00000000" w:rsidR="00000000" w:rsidRPr="00000000">
        <w:rPr>
          <w:rtl w:val="0"/>
        </w:rPr>
      </w:r>
    </w:p>
    <w:p w:rsidR="00000000" w:rsidDel="00000000" w:rsidP="00000000" w:rsidRDefault="00000000" w:rsidRPr="00000000" w14:paraId="000000BB">
      <w:pPr>
        <w:pBdr>
          <w:top w:space="0" w:sz="0" w:val="nil"/>
          <w:left w:space="0" w:sz="0" w:val="nil"/>
          <w:bottom w:space="0" w:sz="0" w:val="nil"/>
          <w:right w:space="0" w:sz="0" w:val="nil"/>
          <w:between w:space="0" w:sz="0" w:val="nil"/>
        </w:pBdr>
        <w:spacing w:after="0" w:line="240" w:lineRule="auto"/>
        <w:ind w:left="720" w:hanging="720"/>
        <w:jc w:val="both"/>
        <w:rPr>
          <w:color w:val="000000"/>
        </w:rPr>
      </w:pPr>
      <w:r w:rsidDel="00000000" w:rsidR="00000000" w:rsidRPr="00000000">
        <w:rPr>
          <w:color w:val="000000"/>
          <w:rtl w:val="0"/>
        </w:rPr>
        <w:t xml:space="preserve">Suryani, L., &amp; Argawati, N. O. (2021). The physical environment of school libraries and its impact on students' reading engagement. </w:t>
      </w:r>
      <w:r w:rsidDel="00000000" w:rsidR="00000000" w:rsidRPr="00000000">
        <w:rPr>
          <w:i w:val="1"/>
          <w:iCs w:val="1"/>
          <w:color w:val="000000"/>
          <w:rtl w:val="0"/>
        </w:rPr>
        <w:t xml:space="preserve">Indonesian Journal of EFL and Linguistics</w:t>
      </w:r>
      <w:r w:rsidDel="00000000" w:rsidR="00000000" w:rsidRPr="00000000">
        <w:rPr>
          <w:color w:val="000000"/>
          <w:rtl w:val="0"/>
        </w:rPr>
        <w:t xml:space="preserve">, 6(1), 189-204. </w:t>
      </w:r>
      <w:hyperlink r:id="rId38">
        <w:r w:rsidDel="00000000" w:rsidR="00000000" w:rsidRPr="00000000">
          <w:rPr>
            <w:color w:val="0000ff"/>
            <w:u w:val="single"/>
            <w:rtl w:val="0"/>
          </w:rPr>
          <w:t xml:space="preserve">https://doi.org/10.21462/ijefl.v6i1.350</w:t>
        </w:r>
      </w:hyperlink>
      <w:r w:rsidDel="00000000" w:rsidR="00000000" w:rsidRPr="00000000">
        <w:rPr>
          <w:rtl w:val="0"/>
        </w:rPr>
      </w:r>
    </w:p>
    <w:p w:rsidR="00000000" w:rsidDel="00000000" w:rsidP="00000000" w:rsidRDefault="00000000" w:rsidRPr="00000000" w14:paraId="000000BC">
      <w:pPr>
        <w:pBdr>
          <w:top w:space="0" w:sz="0" w:val="nil"/>
          <w:left w:space="0" w:sz="0" w:val="nil"/>
          <w:bottom w:space="0" w:sz="0" w:val="nil"/>
          <w:right w:space="0" w:sz="0" w:val="nil"/>
          <w:between w:space="0" w:sz="0" w:val="nil"/>
        </w:pBdr>
        <w:spacing w:after="0" w:line="240" w:lineRule="auto"/>
        <w:ind w:left="720" w:hanging="720"/>
        <w:jc w:val="both"/>
        <w:rPr>
          <w:color w:val="000000"/>
        </w:rPr>
      </w:pPr>
      <w:r w:rsidDel="00000000" w:rsidR="00000000" w:rsidRPr="00000000">
        <w:rPr>
          <w:color w:val="000000"/>
          <w:rtl w:val="0"/>
        </w:rPr>
        <w:t xml:space="preserve">Wahyuni, S., Kurniawan, R., &amp; Susanti, R. (2022). The effect of mandatory library visits on the development of students' information literacy. </w:t>
      </w:r>
      <w:r w:rsidDel="00000000" w:rsidR="00000000" w:rsidRPr="00000000">
        <w:rPr>
          <w:i w:val="1"/>
          <w:iCs w:val="1"/>
          <w:color w:val="000000"/>
          <w:rtl w:val="0"/>
        </w:rPr>
        <w:t xml:space="preserve">Record and Library Journal</w:t>
      </w:r>
      <w:r w:rsidDel="00000000" w:rsidR="00000000" w:rsidRPr="00000000">
        <w:rPr>
          <w:color w:val="000000"/>
          <w:rtl w:val="0"/>
        </w:rPr>
        <w:t xml:space="preserve">, 8(1), 60-72. </w:t>
      </w:r>
      <w:hyperlink r:id="rId39">
        <w:r w:rsidDel="00000000" w:rsidR="00000000" w:rsidRPr="00000000">
          <w:rPr>
            <w:color w:val="0000ff"/>
            <w:u w:val="single"/>
            <w:rtl w:val="0"/>
          </w:rPr>
          <w:t xml:space="preserve">https://doi.org/10.20473/rlj.V8-I1.2022.60-72</w:t>
        </w:r>
      </w:hyperlink>
      <w:r w:rsidDel="00000000" w:rsidR="00000000" w:rsidRPr="00000000">
        <w:rPr>
          <w:rtl w:val="0"/>
        </w:rPr>
      </w:r>
    </w:p>
    <w:p w:rsidR="00000000" w:rsidDel="00000000" w:rsidP="00000000" w:rsidRDefault="00000000" w:rsidRPr="00000000" w14:paraId="000000BD">
      <w:pPr>
        <w:pBdr>
          <w:top w:space="0" w:sz="0" w:val="nil"/>
          <w:left w:space="0" w:sz="0" w:val="nil"/>
          <w:bottom w:space="0" w:sz="0" w:val="nil"/>
          <w:right w:space="0" w:sz="0" w:val="nil"/>
          <w:between w:space="0" w:sz="0" w:val="nil"/>
        </w:pBdr>
        <w:spacing w:after="0" w:line="240" w:lineRule="auto"/>
        <w:ind w:left="720" w:hanging="720"/>
        <w:jc w:val="both"/>
        <w:rPr>
          <w:color w:val="000000"/>
        </w:rPr>
      </w:pPr>
      <w:r w:rsidDel="00000000" w:rsidR="00000000" w:rsidRPr="00000000">
        <w:rPr>
          <w:color w:val="000000"/>
          <w:rtl w:val="0"/>
        </w:rPr>
        <w:t xml:space="preserve">Wibowo, T. A., &amp; Purwanto, S. (2023). Analisis faktor sosial ekonomi keluarga terhadap kesadaran literasi fungsional siswa di daerah pedesaan. </w:t>
      </w:r>
      <w:r w:rsidDel="00000000" w:rsidR="00000000" w:rsidRPr="00000000">
        <w:rPr>
          <w:i w:val="1"/>
          <w:iCs w:val="1"/>
          <w:color w:val="000000"/>
          <w:rtl w:val="0"/>
        </w:rPr>
        <w:t xml:space="preserve">Sosiohumaniora: Jurnal Ilmu-ilmu Sosial dan Humaniora</w:t>
      </w:r>
      <w:r w:rsidDel="00000000" w:rsidR="00000000" w:rsidRPr="00000000">
        <w:rPr>
          <w:color w:val="000000"/>
          <w:rtl w:val="0"/>
        </w:rPr>
        <w:t xml:space="preserve">, 25(2), 210-222. </w:t>
      </w:r>
      <w:hyperlink r:id="rId40">
        <w:r w:rsidDel="00000000" w:rsidR="00000000" w:rsidRPr="00000000">
          <w:rPr>
            <w:color w:val="0000ff"/>
            <w:u w:val="single"/>
            <w:rtl w:val="0"/>
          </w:rPr>
          <w:t xml:space="preserve">https://doi.org/10.24198/sosiohumaniora.v25i2.38914</w:t>
        </w:r>
      </w:hyperlink>
      <w:r w:rsidDel="00000000" w:rsidR="00000000" w:rsidRPr="00000000">
        <w:rPr>
          <w:rtl w:val="0"/>
        </w:rPr>
      </w:r>
    </w:p>
    <w:p w:rsidR="00000000" w:rsidDel="00000000" w:rsidP="00000000" w:rsidRDefault="00000000" w:rsidRPr="00000000" w14:paraId="000000BE">
      <w:pPr>
        <w:pBdr>
          <w:top w:space="0" w:sz="0" w:val="nil"/>
          <w:left w:space="0" w:sz="0" w:val="nil"/>
          <w:bottom w:space="0" w:sz="0" w:val="nil"/>
          <w:right w:space="0" w:sz="0" w:val="nil"/>
          <w:between w:space="0" w:sz="0" w:val="nil"/>
        </w:pBdr>
        <w:spacing w:after="0" w:line="240" w:lineRule="auto"/>
        <w:ind w:left="720" w:hanging="720"/>
        <w:jc w:val="both"/>
        <w:rPr>
          <w:color w:val="000000"/>
        </w:rPr>
      </w:pPr>
      <w:r w:rsidDel="00000000" w:rsidR="00000000" w:rsidRPr="00000000">
        <w:rPr>
          <w:color w:val="000000"/>
          <w:rtl w:val="0"/>
        </w:rPr>
        <w:t xml:space="preserve">Wiguna, I. K. W., Sudiana, I. N., &amp; Nurjaya, I. G. (2021). Penerapan pembelajaran konstruktivisme dalam meningkatkan keterampilan membaca kritis siswa. </w:t>
      </w:r>
      <w:r w:rsidDel="00000000" w:rsidR="00000000" w:rsidRPr="00000000">
        <w:rPr>
          <w:i w:val="1"/>
          <w:iCs w:val="1"/>
          <w:color w:val="000000"/>
          <w:rtl w:val="0"/>
        </w:rPr>
        <w:t xml:space="preserve">Jurnal Pendidikan Bahasa dan Sastra Indonesia Undiksha</w:t>
      </w:r>
      <w:r w:rsidDel="00000000" w:rsidR="00000000" w:rsidRPr="00000000">
        <w:rPr>
          <w:color w:val="000000"/>
          <w:rtl w:val="0"/>
        </w:rPr>
        <w:t xml:space="preserve">, 11(2), 175-186. </w:t>
      </w:r>
      <w:hyperlink r:id="rId41">
        <w:r w:rsidDel="00000000" w:rsidR="00000000" w:rsidRPr="00000000">
          <w:rPr>
            <w:color w:val="0000ff"/>
            <w:u w:val="single"/>
            <w:rtl w:val="0"/>
          </w:rPr>
          <w:t xml:space="preserve">https://doi.org/10.23887/jjpbs.v11i2.33876</w:t>
        </w:r>
      </w:hyperlink>
      <w:r w:rsidDel="00000000" w:rsidR="00000000" w:rsidRPr="00000000">
        <w:rPr>
          <w:rtl w:val="0"/>
        </w:rPr>
      </w:r>
    </w:p>
    <w:sectPr>
      <w:headerReference r:id="rId42" w:type="default"/>
      <w:headerReference r:id="rId43" w:type="even"/>
      <w:type w:val="continuous"/>
      <w:pgSz w:h="16838" w:w="11906" w:orient="portrait"/>
      <w:pgMar w:bottom="1440" w:top="1134" w:left="1440" w:right="1440" w:header="850" w:footer="850"/>
      <w:pgNumType w:start="144"/>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Georgia"/>
  <w:font w:name="Cambri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onstantia">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Arial Rounded"/>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C">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ind w:right="360" w:firstLine="360"/>
      <w:jc w:val="righ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666666"/>
        <w:sz w:val="20"/>
        <w:szCs w:val="20"/>
        <w:highlight w:val="yellow"/>
        <w:rtl w:val="0"/>
      </w:rPr>
      <w:t xml:space="preserve"> </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D">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ind w:right="360" w:firstLine="360"/>
      <w:jc w:val="righ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666666"/>
        <w:sz w:val="20"/>
        <w:szCs w:val="20"/>
        <w:highlight w:val="white"/>
        <w:rtl w:val="0"/>
      </w:rPr>
      <w:t xml:space="preserve">DOI: </w:t>
    </w:r>
    <w:hyperlink r:id="rId1">
      <w:r w:rsidDel="00000000" w:rsidR="00000000" w:rsidRPr="00000000">
        <w:rPr>
          <w:rFonts w:ascii="Times New Roman" w:cs="Times New Roman" w:eastAsia="Times New Roman" w:hAnsi="Times New Roman"/>
          <w:color w:val="0000ff"/>
          <w:sz w:val="20"/>
          <w:szCs w:val="20"/>
          <w:highlight w:val="white"/>
          <w:u w:val="single"/>
          <w:rtl w:val="0"/>
        </w:rPr>
        <w:t xml:space="preserve">http://dx.doi.org/10.xxxxx/ijost.v2i2</w:t>
      </w:r>
    </w:hyperlink>
    <w:r w:rsidDel="00000000" w:rsidR="00000000" w:rsidRPr="00000000">
      <w:rPr>
        <w:rtl w:val="0"/>
      </w:rPr>
    </w:r>
  </w:p>
  <w:p w:rsidR="00000000" w:rsidDel="00000000" w:rsidP="00000000" w:rsidRDefault="00000000" w:rsidRPr="00000000" w14:paraId="000000CE">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ind w:right="360" w:firstLine="360"/>
      <w:jc w:val="right"/>
      <w:rPr>
        <w:color w:val="000000"/>
        <w:sz w:val="20"/>
        <w:szCs w:val="20"/>
      </w:rPr>
    </w:pPr>
    <w:r w:rsidDel="00000000" w:rsidR="00000000" w:rsidRPr="00000000">
      <w:rPr>
        <w:rFonts w:ascii="Times New Roman" w:cs="Times New Roman" w:eastAsia="Times New Roman" w:hAnsi="Times New Roman"/>
        <w:color w:val="666666"/>
        <w:sz w:val="20"/>
        <w:szCs w:val="20"/>
        <w:highlight w:val="white"/>
        <w:rtl w:val="0"/>
      </w:rPr>
      <w:t xml:space="preserve">p- ISSN 2528-1410 e- ISSN 2527-8045</w:t>
    </w:r>
    <w:r w:rsidDel="00000000" w:rsidR="00000000" w:rsidRPr="00000000">
      <w:rPr>
        <w:rtl w:val="0"/>
      </w:rPr>
    </w:r>
  </w:p>
  <w:p w:rsidR="00000000" w:rsidDel="00000000" w:rsidP="00000000" w:rsidRDefault="00000000" w:rsidRPr="00000000" w14:paraId="000000CF">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0">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ind w:right="360"/>
      <w:rPr>
        <w:rFonts w:ascii="Times New Roman" w:cs="Times New Roman" w:eastAsia="Times New Roman" w:hAnsi="Times New Roman"/>
        <w:color w:val="0000ff"/>
        <w:sz w:val="20"/>
        <w:szCs w:val="20"/>
        <w:highlight w:val="yellow"/>
        <w:u w:val="singl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F">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right"/>
      <w:rPr>
        <w:rFonts w:ascii="Arial Rounded" w:cs="Arial Rounded" w:eastAsia="Arial Rounded" w:hAnsi="Arial Rounded"/>
        <w:b w:val="1"/>
        <w:bCs w:val="1"/>
        <w:color w:val="000000"/>
        <w:sz w:val="20"/>
        <w:szCs w:val="20"/>
      </w:rPr>
    </w:pPr>
    <w:r w:rsidDel="00000000" w:rsidR="00000000" w:rsidRPr="00000000">
      <w:rPr>
        <w:i w:val="1"/>
        <w:iCs w:val="1"/>
        <w:color w:val="000000"/>
        <w:sz w:val="20"/>
        <w:szCs w:val="20"/>
        <w:highlight w:val="yellow"/>
        <w:rtl w:val="0"/>
      </w:rPr>
      <w:t xml:space="preserve">Safitri &amp; Ja</w:t>
    </w:r>
    <w:r w:rsidDel="00000000" w:rsidR="00000000" w:rsidRPr="00000000">
      <w:rPr>
        <w:i w:val="1"/>
        <w:iCs w:val="1"/>
        <w:sz w:val="20"/>
        <w:szCs w:val="20"/>
        <w:highlight w:val="yellow"/>
        <w:rtl w:val="0"/>
      </w:rPr>
      <w:t xml:space="preserve">mil</w:t>
    </w:r>
    <w:r w:rsidDel="00000000" w:rsidR="00000000" w:rsidRPr="00000000">
      <w:rPr>
        <w:i w:val="1"/>
        <w:iCs w:val="1"/>
        <w:color w:val="000000"/>
        <w:sz w:val="20"/>
        <w:szCs w:val="20"/>
        <w:highlight w:val="yellow"/>
        <w:rtl w:val="0"/>
      </w:rPr>
      <w:t xml:space="preserve">, The Role Of the School Library in Eradicating Functional Illiteracy</w:t>
    </w:r>
    <w:r w:rsidDel="00000000" w:rsidR="00000000" w:rsidRPr="00000000">
      <w:rPr>
        <w:rFonts w:ascii="Constantia" w:cs="Constantia" w:eastAsia="Constantia" w:hAnsi="Constantia"/>
        <w:b w:val="1"/>
        <w:bCs w:val="1"/>
        <w:color w:val="000000"/>
        <w:sz w:val="20"/>
        <w:szCs w:val="20"/>
        <w:highlight w:val="yellow"/>
        <w:rtl w:val="0"/>
      </w:rPr>
      <w:t xml:space="preserve"> …</w:t>
    </w:r>
    <w:r w:rsidDel="00000000" w:rsidR="00000000" w:rsidRPr="00000000">
      <w:rPr>
        <w:rFonts w:ascii="Constantia" w:cs="Constantia" w:eastAsia="Constantia" w:hAnsi="Constantia"/>
        <w:i w:val="1"/>
        <w:iCs w:val="1"/>
        <w:color w:val="000000"/>
        <w:sz w:val="20"/>
        <w:szCs w:val="20"/>
        <w:rtl w:val="0"/>
      </w:rPr>
      <w:t xml:space="preserve"> </w:t>
    </w:r>
    <w:r w:rsidDel="00000000" w:rsidR="00000000" w:rsidRPr="00000000">
      <w:rPr>
        <w:color w:val="000000"/>
        <w:sz w:val="20"/>
        <w:szCs w:val="20"/>
        <w:rtl w:val="0"/>
      </w:rPr>
      <w:t xml:space="preserve">| </w:t>
    </w: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0">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right"/>
      <w:rPr>
        <w:color w:val="000000"/>
        <w:sz w:val="20"/>
        <w:szCs w:val="2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1">
    <w:pPr>
      <w:spacing w:after="0" w:lineRule="auto"/>
      <w:rPr>
        <w:rFonts w:ascii="Constantia" w:cs="Constantia" w:eastAsia="Constantia" w:hAnsi="Constantia"/>
        <w:b w:val="1"/>
        <w:bCs w:val="1"/>
        <w:i w:val="1"/>
        <w:iCs w:val="1"/>
        <w:sz w:val="20"/>
        <w:szCs w:val="20"/>
      </w:rPr>
    </w:pPr>
    <w:r w:rsidDel="00000000" w:rsidR="00000000" w:rsidRPr="00000000">
      <w:rPr>
        <w:rtl w:val="0"/>
      </w:rPr>
      <w:t xml:space="preserve">|</w:t>
    </w:r>
    <w:r w:rsidDel="00000000" w:rsidR="00000000" w:rsidRPr="00000000">
      <w:rPr>
        <w:rFonts w:ascii="Constantia" w:cs="Constantia" w:eastAsia="Constantia" w:hAnsi="Constantia"/>
        <w:b w:val="1"/>
        <w:bCs w:val="1"/>
        <w:i w:val="1"/>
        <w:iCs w:val="1"/>
        <w:sz w:val="18"/>
        <w:szCs w:val="18"/>
        <w:highlight w:val="yellow"/>
        <w:rtl w:val="0"/>
      </w:rPr>
      <w:t xml:space="preserve">Edulib</w:t>
    </w:r>
    <w:r w:rsidDel="00000000" w:rsidR="00000000" w:rsidRPr="00000000">
      <w:rPr>
        <w:rFonts w:ascii="Constantia" w:cs="Constantia" w:eastAsia="Constantia" w:hAnsi="Constantia"/>
        <w:b w:val="1"/>
        <w:bCs w:val="1"/>
        <w:i w:val="1"/>
        <w:iCs w:val="1"/>
        <w:sz w:val="20"/>
        <w:szCs w:val="20"/>
        <w:highlight w:val="yellow"/>
        <w:rtl w:val="0"/>
      </w:rPr>
      <w:t xml:space="preserve">,</w:t>
    </w:r>
    <w:r w:rsidDel="00000000" w:rsidR="00000000" w:rsidRPr="00000000">
      <w:rPr>
        <w:rFonts w:ascii="Constantia" w:cs="Constantia" w:eastAsia="Constantia" w:hAnsi="Constantia"/>
        <w:sz w:val="20"/>
        <w:szCs w:val="20"/>
        <w:highlight w:val="yellow"/>
        <w:rtl w:val="0"/>
      </w:rPr>
      <w:t xml:space="preserve"> </w:t>
    </w:r>
    <w:r w:rsidDel="00000000" w:rsidR="00000000" w:rsidRPr="00000000">
      <w:rPr>
        <w:rFonts w:ascii="Constantia" w:cs="Constantia" w:eastAsia="Constantia" w:hAnsi="Constantia"/>
        <w:sz w:val="16"/>
        <w:szCs w:val="16"/>
        <w:highlight w:val="yellow"/>
        <w:rtl w:val="0"/>
      </w:rPr>
      <w:t xml:space="preserve">Volume</w:t>
    </w:r>
    <w:r w:rsidDel="00000000" w:rsidR="00000000" w:rsidRPr="00000000">
      <w:rPr>
        <w:rFonts w:ascii="Constantia" w:cs="Constantia" w:eastAsia="Constantia" w:hAnsi="Constantia"/>
        <w:sz w:val="20"/>
        <w:szCs w:val="20"/>
        <w:highlight w:val="yellow"/>
        <w:rtl w:val="0"/>
      </w:rPr>
      <w:t xml:space="preserve"> 16 </w:t>
    </w:r>
    <w:r w:rsidDel="00000000" w:rsidR="00000000" w:rsidRPr="00000000">
      <w:rPr>
        <w:rFonts w:ascii="Constantia" w:cs="Constantia" w:eastAsia="Constantia" w:hAnsi="Constantia"/>
        <w:sz w:val="16"/>
        <w:szCs w:val="16"/>
        <w:highlight w:val="yellow"/>
        <w:rtl w:val="0"/>
      </w:rPr>
      <w:t xml:space="preserve">Issue</w:t>
    </w:r>
    <w:r w:rsidDel="00000000" w:rsidR="00000000" w:rsidRPr="00000000">
      <w:rPr>
        <w:rFonts w:ascii="Constantia" w:cs="Constantia" w:eastAsia="Constantia" w:hAnsi="Constantia"/>
        <w:sz w:val="20"/>
        <w:szCs w:val="20"/>
        <w:highlight w:val="yellow"/>
        <w:rtl w:val="0"/>
      </w:rPr>
      <w:t xml:space="preserve"> 1, </w:t>
    </w:r>
    <w:r w:rsidDel="00000000" w:rsidR="00000000" w:rsidRPr="00000000">
      <w:rPr>
        <w:rFonts w:ascii="Constantia" w:cs="Constantia" w:eastAsia="Constantia" w:hAnsi="Constantia"/>
        <w:sz w:val="16"/>
        <w:szCs w:val="16"/>
        <w:highlight w:val="yellow"/>
        <w:rtl w:val="0"/>
      </w:rPr>
      <w:t xml:space="preserve">May </w:t>
    </w:r>
    <w:r w:rsidDel="00000000" w:rsidR="00000000" w:rsidRPr="00000000">
      <w:rPr>
        <w:rFonts w:ascii="Constantia" w:cs="Constantia" w:eastAsia="Constantia" w:hAnsi="Constantia"/>
        <w:sz w:val="20"/>
        <w:szCs w:val="20"/>
        <w:highlight w:val="yellow"/>
        <w:rtl w:val="0"/>
      </w:rPr>
      <w:t xml:space="preserve">2026 </w:t>
    </w:r>
    <w:r w:rsidDel="00000000" w:rsidR="00000000" w:rsidRPr="00000000">
      <w:rPr>
        <w:rFonts w:ascii="Constantia" w:cs="Constantia" w:eastAsia="Constantia" w:hAnsi="Constantia"/>
        <w:sz w:val="16"/>
        <w:szCs w:val="16"/>
        <w:highlight w:val="yellow"/>
        <w:rtl w:val="0"/>
      </w:rPr>
      <w:t xml:space="preserve">Page</w:t>
    </w:r>
    <w:r w:rsidDel="00000000" w:rsidR="00000000" w:rsidRPr="00000000">
      <w:rPr>
        <w:rFonts w:ascii="Constantia" w:cs="Constantia" w:eastAsia="Constantia" w:hAnsi="Constantia"/>
        <w:sz w:val="20"/>
        <w:szCs w:val="20"/>
        <w:highlight w:val="yellow"/>
        <w:rtl w:val="0"/>
      </w:rPr>
      <w:t xml:space="preserve"> 131-142</w: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2">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ffffff"/>
        <w:sz w:val="20"/>
        <w:szCs w:val="20"/>
      </w:rPr>
    </w:pPr>
    <w:r w:rsidDel="00000000" w:rsidR="00000000" w:rsidRPr="00000000">
      <w:rPr>
        <w:color w:val="ffffff"/>
        <w:sz w:val="20"/>
        <w:szCs w:val="20"/>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-557208</wp:posOffset>
              </wp:positionH>
              <wp:positionV relativeFrom="paragraph">
                <wp:posOffset>-71410</wp:posOffset>
              </wp:positionV>
              <wp:extent cx="6905625" cy="354747"/>
              <wp:effectExtent b="0" l="0" r="0" t="0"/>
              <wp:wrapNone/>
              <wp:docPr id="4" name=""/>
              <a:graphic>
                <a:graphicData uri="http://schemas.microsoft.com/office/word/2010/wordprocessingShape">
                  <wps:wsp>
                    <wps:cNvSpPr/>
                    <wps:cNvPr id="5" name="Shape 5"/>
                    <wps:spPr>
                      <a:xfrm>
                        <a:off x="1936050" y="3651413"/>
                        <a:ext cx="6819900" cy="257175"/>
                      </a:xfrm>
                      <a:prstGeom prst="rect">
                        <a:avLst/>
                      </a:prstGeom>
                      <a:solidFill>
                        <a:srgbClr val="FFFFFF"/>
                      </a:solidFill>
                      <a:ln>
                        <a:noFill/>
                      </a:ln>
                    </wps:spPr>
                    <wps:txbx>
                      <w:txbxContent>
                        <w:p w:rsidR="00000000" w:rsidDel="00000000" w:rsidP="00000000" w:rsidRDefault="00000000" w:rsidRPr="00000000">
                          <w:pPr>
                            <w:spacing w:after="160" w:before="0" w:line="258.0000114440918"/>
                            <w:ind w:left="0" w:right="0" w:firstLine="0"/>
                            <w:jc w:val="center"/>
                            <w:textDirection w:val="btLr"/>
                          </w:pPr>
                          <w:r w:rsidDel="00000000" w:rsidR="00000000" w:rsidRPr="00000000">
                            <w:rPr>
                              <w:rFonts w:ascii="Constantia" w:cs="Constantia" w:eastAsia="Constantia" w:hAnsi="Constantia"/>
                              <w:b w:val="0"/>
                              <w:i w:val="1"/>
                              <w:smallCaps w:val="0"/>
                              <w:strike w:val="0"/>
                              <w:color w:val="000000"/>
                              <w:sz w:val="20"/>
                              <w:highlight w:val="yellow"/>
                              <w:vertAlign w:val="baseline"/>
                            </w:rPr>
                            <w:t xml:space="preserve">Edulib 16</w:t>
                          </w:r>
                          <w:r w:rsidDel="00000000" w:rsidR="00000000" w:rsidRPr="00000000">
                            <w:rPr>
                              <w:rFonts w:ascii="Constantia" w:cs="Constantia" w:eastAsia="Constantia" w:hAnsi="Constantia"/>
                              <w:b w:val="0"/>
                              <w:i w:val="0"/>
                              <w:smallCaps w:val="0"/>
                              <w:strike w:val="0"/>
                              <w:color w:val="000000"/>
                              <w:sz w:val="20"/>
                              <w:highlight w:val="yellow"/>
                              <w:vertAlign w:val="baseline"/>
                            </w:rPr>
                            <w:t xml:space="preserve">(1) (2026) 143-15</w:t>
                          </w:r>
                          <w:r w:rsidDel="00000000" w:rsidR="00000000" w:rsidRPr="00000000">
                            <w:rPr>
                              <w:rFonts w:ascii="Constantia" w:cs="Constantia" w:eastAsia="Constantia" w:hAnsi="Constantia"/>
                              <w:b w:val="0"/>
                              <w:i w:val="0"/>
                              <w:smallCaps w:val="0"/>
                              <w:strike w:val="0"/>
                              <w:color w:val="000000"/>
                              <w:sz w:val="20"/>
                              <w:vertAlign w:val="baseline"/>
                            </w:rPr>
                            <w:t xml:space="preserve">2</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-557208</wp:posOffset>
              </wp:positionH>
              <wp:positionV relativeFrom="paragraph">
                <wp:posOffset>-71410</wp:posOffset>
              </wp:positionV>
              <wp:extent cx="6905625" cy="354747"/>
              <wp:effectExtent b="0" l="0" r="0" t="0"/>
              <wp:wrapNone/>
              <wp:docPr id="4"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6905625" cy="354747"/>
                      </a:xfrm>
                      <a:prstGeom prst="rect"/>
                      <a:ln/>
                    </pic:spPr>
                  </pic:pic>
                </a:graphicData>
              </a:graphic>
            </wp:anchor>
          </w:drawing>
        </mc:Fallback>
      </mc:AlternateContent>
    </w:r>
  </w:p>
  <w:p w:rsidR="00000000" w:rsidDel="00000000" w:rsidP="00000000" w:rsidRDefault="00000000" w:rsidRPr="00000000" w14:paraId="000000C3">
    <w:pPr>
      <w:pBdr>
        <w:top w:space="0" w:sz="0" w:val="nil"/>
        <w:left w:space="0" w:sz="0" w:val="nil"/>
        <w:bottom w:space="0" w:sz="0" w:val="nil"/>
        <w:right w:space="0" w:sz="0" w:val="nil"/>
        <w:between w:space="0" w:sz="0" w:val="nil"/>
      </w:pBdr>
      <w:tabs>
        <w:tab w:val="center" w:leader="none" w:pos="4680"/>
        <w:tab w:val="right" w:leader="none" w:pos="9360"/>
        <w:tab w:val="left" w:leader="none" w:pos="7797"/>
      </w:tabs>
      <w:spacing w:after="0" w:line="240" w:lineRule="auto"/>
      <w:rPr>
        <w:color w:val="000000"/>
        <w:sz w:val="20"/>
        <w:szCs w:val="20"/>
      </w:rPr>
    </w:pPr>
    <w:r w:rsidDel="00000000" w:rsidR="00000000" w:rsidRPr="00000000">
      <w:rPr>
        <w:color w:val="000000"/>
        <w:sz w:val="20"/>
        <w:szCs w:val="20"/>
        <w:rtl w:val="0"/>
      </w:rPr>
      <w:tab/>
    </w:r>
  </w:p>
  <w:p w:rsidR="00000000" w:rsidDel="00000000" w:rsidP="00000000" w:rsidRDefault="00000000" w:rsidRPr="00000000" w14:paraId="000000C4">
    <w:pPr>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5">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6">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sz w:val="20"/>
        <w:szCs w:val="20"/>
      </w:rPr>
    </w:pPr>
    <w:r w:rsidDel="00000000" w:rsidR="00000000" w:rsidRPr="00000000">
      <w:rPr>
        <w:rtl w:val="0"/>
      </w:rPr>
    </w:r>
  </w:p>
  <w:p w:rsidR="00000000" w:rsidDel="00000000" w:rsidP="00000000" w:rsidRDefault="00000000" w:rsidRPr="00000000" w14:paraId="000000C7">
    <w:pPr>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8">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right"/>
      <w:rPr>
        <w:rFonts w:ascii="Arial Rounded" w:cs="Arial Rounded" w:eastAsia="Arial Rounded" w:hAnsi="Arial Rounded"/>
        <w:b w:val="1"/>
        <w:bCs w:val="1"/>
        <w:color w:val="000000"/>
        <w:sz w:val="20"/>
        <w:szCs w:val="20"/>
      </w:rPr>
    </w:pPr>
    <w:r w:rsidDel="00000000" w:rsidR="00000000" w:rsidRPr="00000000">
      <w:rPr>
        <w:i w:val="1"/>
        <w:iCs w:val="1"/>
        <w:color w:val="000000"/>
        <w:sz w:val="20"/>
        <w:szCs w:val="20"/>
        <w:highlight w:val="yellow"/>
        <w:rtl w:val="0"/>
      </w:rPr>
      <w:t xml:space="preserve">Safitri &amp; Ja</w:t>
    </w:r>
    <w:r w:rsidDel="00000000" w:rsidR="00000000" w:rsidRPr="00000000">
      <w:rPr>
        <w:i w:val="1"/>
        <w:iCs w:val="1"/>
        <w:sz w:val="20"/>
        <w:szCs w:val="20"/>
        <w:highlight w:val="yellow"/>
        <w:rtl w:val="0"/>
      </w:rPr>
      <w:t xml:space="preserve">mil</w:t>
    </w:r>
    <w:r w:rsidDel="00000000" w:rsidR="00000000" w:rsidRPr="00000000">
      <w:rPr>
        <w:i w:val="1"/>
        <w:iCs w:val="1"/>
        <w:color w:val="000000"/>
        <w:sz w:val="20"/>
        <w:szCs w:val="20"/>
        <w:highlight w:val="yellow"/>
        <w:rtl w:val="0"/>
      </w:rPr>
      <w:t xml:space="preserve">, The Role Of the School Library in Eradicating Functional Illiteracy</w:t>
    </w:r>
    <w:r w:rsidDel="00000000" w:rsidR="00000000" w:rsidRPr="00000000">
      <w:rPr>
        <w:rFonts w:ascii="Constantia" w:cs="Constantia" w:eastAsia="Constantia" w:hAnsi="Constantia"/>
        <w:b w:val="1"/>
        <w:bCs w:val="1"/>
        <w:color w:val="000000"/>
        <w:sz w:val="20"/>
        <w:szCs w:val="20"/>
        <w:highlight w:val="yellow"/>
        <w:rtl w:val="0"/>
      </w:rPr>
      <w:t xml:space="preserve"> …</w:t>
    </w:r>
    <w:r w:rsidDel="00000000" w:rsidR="00000000" w:rsidRPr="00000000">
      <w:rPr>
        <w:rFonts w:ascii="Constantia" w:cs="Constantia" w:eastAsia="Constantia" w:hAnsi="Constantia"/>
        <w:i w:val="1"/>
        <w:iCs w:val="1"/>
        <w:color w:val="000000"/>
        <w:sz w:val="20"/>
        <w:szCs w:val="20"/>
        <w:rtl w:val="0"/>
      </w:rPr>
      <w:t xml:space="preserve"> </w:t>
    </w:r>
    <w:r w:rsidDel="00000000" w:rsidR="00000000" w:rsidRPr="00000000">
      <w:rPr>
        <w:color w:val="000000"/>
        <w:sz w:val="20"/>
        <w:szCs w:val="20"/>
        <w:rtl w:val="0"/>
      </w:rPr>
      <w:t xml:space="preserve">| </w:t>
    </w: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9">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right"/>
      <w:rPr>
        <w:color w:val="000000"/>
        <w:sz w:val="20"/>
        <w:szCs w:val="20"/>
      </w:rPr>
    </w:pP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onstantia" w:cs="Constantia" w:eastAsia="Constantia" w:hAnsi="Constantia"/>
        <w:b w:val="1"/>
        <w:bCs w:val="1"/>
        <w:i w:val="1"/>
        <w:iCs w:val="1"/>
        <w:smallCaps w:val="0"/>
        <w:strike w:val="0"/>
        <w:color w:val="000000"/>
        <w:sz w:val="18"/>
        <w:szCs w:val="18"/>
        <w:highlight w:val="yellow"/>
        <w:u w:val="none"/>
        <w:vertAlign w:val="baseline"/>
        <w:rtl w:val="0"/>
      </w:rPr>
      <w:t xml:space="preserve">Edulib</w:t>
    </w:r>
    <w:r w:rsidDel="00000000" w:rsidR="00000000" w:rsidRPr="00000000">
      <w:rPr>
        <w:rFonts w:ascii="Constantia" w:cs="Constantia" w:eastAsia="Constantia" w:hAnsi="Constantia"/>
        <w:b w:val="1"/>
        <w:bCs w:val="1"/>
        <w:i w:val="1"/>
        <w:iCs w:val="1"/>
        <w:smallCaps w:val="0"/>
        <w:strike w:val="0"/>
        <w:color w:val="000000"/>
        <w:sz w:val="20"/>
        <w:szCs w:val="20"/>
        <w:highlight w:val="yellow"/>
        <w:u w:val="none"/>
        <w:vertAlign w:val="baseline"/>
        <w:rtl w:val="0"/>
      </w:rPr>
      <w:t xml:space="preserve">,</w:t>
    </w:r>
    <w:r w:rsidDel="00000000" w:rsidR="00000000" w:rsidRPr="00000000">
      <w:rPr>
        <w:rFonts w:ascii="Constantia" w:cs="Constantia" w:eastAsia="Constantia" w:hAnsi="Constantia"/>
        <w:b w:val="0"/>
        <w:bCs w:val="0"/>
        <w:i w:val="0"/>
        <w:iCs w:val="0"/>
        <w:smallCaps w:val="0"/>
        <w:strike w:val="0"/>
        <w:color w:val="000000"/>
        <w:sz w:val="20"/>
        <w:szCs w:val="20"/>
        <w:highlight w:val="yellow"/>
        <w:u w:val="none"/>
        <w:vertAlign w:val="baseline"/>
        <w:rtl w:val="0"/>
      </w:rPr>
      <w:t xml:space="preserve"> </w:t>
    </w:r>
    <w:r w:rsidDel="00000000" w:rsidR="00000000" w:rsidRPr="00000000">
      <w:rPr>
        <w:rFonts w:ascii="Constantia" w:cs="Constantia" w:eastAsia="Constantia" w:hAnsi="Constantia"/>
        <w:b w:val="0"/>
        <w:bCs w:val="0"/>
        <w:i w:val="0"/>
        <w:iCs w:val="0"/>
        <w:smallCaps w:val="0"/>
        <w:strike w:val="0"/>
        <w:color w:val="000000"/>
        <w:sz w:val="16"/>
        <w:szCs w:val="16"/>
        <w:highlight w:val="yellow"/>
        <w:u w:val="none"/>
        <w:vertAlign w:val="baseline"/>
        <w:rtl w:val="0"/>
      </w:rPr>
      <w:t xml:space="preserve">Volume</w:t>
    </w:r>
    <w:r w:rsidDel="00000000" w:rsidR="00000000" w:rsidRPr="00000000">
      <w:rPr>
        <w:rFonts w:ascii="Constantia" w:cs="Constantia" w:eastAsia="Constantia" w:hAnsi="Constantia"/>
        <w:b w:val="0"/>
        <w:bCs w:val="0"/>
        <w:i w:val="0"/>
        <w:iCs w:val="0"/>
        <w:smallCaps w:val="0"/>
        <w:strike w:val="0"/>
        <w:color w:val="000000"/>
        <w:sz w:val="20"/>
        <w:szCs w:val="20"/>
        <w:highlight w:val="yellow"/>
        <w:u w:val="none"/>
        <w:vertAlign w:val="baseline"/>
        <w:rtl w:val="0"/>
      </w:rPr>
      <w:t xml:space="preserve"> 16 </w:t>
    </w:r>
    <w:r w:rsidDel="00000000" w:rsidR="00000000" w:rsidRPr="00000000">
      <w:rPr>
        <w:rFonts w:ascii="Constantia" w:cs="Constantia" w:eastAsia="Constantia" w:hAnsi="Constantia"/>
        <w:b w:val="0"/>
        <w:bCs w:val="0"/>
        <w:i w:val="0"/>
        <w:iCs w:val="0"/>
        <w:smallCaps w:val="0"/>
        <w:strike w:val="0"/>
        <w:color w:val="000000"/>
        <w:sz w:val="16"/>
        <w:szCs w:val="16"/>
        <w:highlight w:val="yellow"/>
        <w:u w:val="none"/>
        <w:vertAlign w:val="baseline"/>
        <w:rtl w:val="0"/>
      </w:rPr>
      <w:t xml:space="preserve">Issue</w:t>
    </w:r>
    <w:r w:rsidDel="00000000" w:rsidR="00000000" w:rsidRPr="00000000">
      <w:rPr>
        <w:rFonts w:ascii="Constantia" w:cs="Constantia" w:eastAsia="Constantia" w:hAnsi="Constantia"/>
        <w:b w:val="0"/>
        <w:bCs w:val="0"/>
        <w:i w:val="0"/>
        <w:iCs w:val="0"/>
        <w:smallCaps w:val="0"/>
        <w:strike w:val="0"/>
        <w:color w:val="000000"/>
        <w:sz w:val="20"/>
        <w:szCs w:val="20"/>
        <w:highlight w:val="yellow"/>
        <w:u w:val="none"/>
        <w:vertAlign w:val="baseline"/>
        <w:rtl w:val="0"/>
      </w:rPr>
      <w:t xml:space="preserve"> 1, </w:t>
    </w:r>
    <w:r w:rsidDel="00000000" w:rsidR="00000000" w:rsidRPr="00000000">
      <w:rPr>
        <w:rFonts w:ascii="Constantia" w:cs="Constantia" w:eastAsia="Constantia" w:hAnsi="Constantia"/>
        <w:b w:val="0"/>
        <w:bCs w:val="0"/>
        <w:i w:val="0"/>
        <w:iCs w:val="0"/>
        <w:smallCaps w:val="0"/>
        <w:strike w:val="0"/>
        <w:color w:val="000000"/>
        <w:sz w:val="16"/>
        <w:szCs w:val="16"/>
        <w:highlight w:val="yellow"/>
        <w:u w:val="none"/>
        <w:vertAlign w:val="baseline"/>
        <w:rtl w:val="0"/>
      </w:rPr>
      <w:t xml:space="preserve">May </w:t>
    </w:r>
    <w:r w:rsidDel="00000000" w:rsidR="00000000" w:rsidRPr="00000000">
      <w:rPr>
        <w:rFonts w:ascii="Constantia" w:cs="Constantia" w:eastAsia="Constantia" w:hAnsi="Constantia"/>
        <w:b w:val="0"/>
        <w:bCs w:val="0"/>
        <w:i w:val="0"/>
        <w:iCs w:val="0"/>
        <w:smallCaps w:val="0"/>
        <w:strike w:val="0"/>
        <w:color w:val="000000"/>
        <w:sz w:val="20"/>
        <w:szCs w:val="20"/>
        <w:highlight w:val="yellow"/>
        <w:u w:val="none"/>
        <w:vertAlign w:val="baseline"/>
        <w:rtl w:val="0"/>
      </w:rPr>
      <w:t xml:space="preserve">2026 </w:t>
    </w:r>
    <w:r w:rsidDel="00000000" w:rsidR="00000000" w:rsidRPr="00000000">
      <w:rPr>
        <w:rFonts w:ascii="Constantia" w:cs="Constantia" w:eastAsia="Constantia" w:hAnsi="Constantia"/>
        <w:b w:val="0"/>
        <w:bCs w:val="0"/>
        <w:i w:val="0"/>
        <w:iCs w:val="0"/>
        <w:smallCaps w:val="0"/>
        <w:strike w:val="0"/>
        <w:color w:val="000000"/>
        <w:sz w:val="16"/>
        <w:szCs w:val="16"/>
        <w:highlight w:val="yellow"/>
        <w:u w:val="none"/>
        <w:vertAlign w:val="baseline"/>
        <w:rtl w:val="0"/>
      </w:rPr>
      <w:t xml:space="preserve">Page</w:t>
    </w:r>
    <w:r w:rsidDel="00000000" w:rsidR="00000000" w:rsidRPr="00000000">
      <w:rPr>
        <w:rFonts w:ascii="Constantia" w:cs="Constantia" w:eastAsia="Constantia" w:hAnsi="Constantia"/>
        <w:b w:val="0"/>
        <w:bCs w:val="0"/>
        <w:i w:val="0"/>
        <w:iCs w:val="0"/>
        <w:smallCaps w:val="0"/>
        <w:strike w:val="0"/>
        <w:color w:val="000000"/>
        <w:sz w:val="20"/>
        <w:szCs w:val="20"/>
        <w:highlight w:val="yellow"/>
        <w:u w:val="none"/>
        <w:vertAlign w:val="baseline"/>
        <w:rtl w:val="0"/>
      </w:rPr>
      <w:t xml:space="preserve"> 1</w:t>
    </w:r>
    <w:r w:rsidDel="00000000" w:rsidR="00000000" w:rsidRPr="00000000">
      <w:rPr>
        <w:rFonts w:ascii="Constantia" w:cs="Constantia" w:eastAsia="Constantia" w:hAnsi="Constantia"/>
        <w:sz w:val="20"/>
        <w:szCs w:val="20"/>
        <w:highlight w:val="yellow"/>
        <w:rtl w:val="0"/>
      </w:rPr>
      <w:t xml:space="preserve">43</w:t>
    </w:r>
    <w:r w:rsidDel="00000000" w:rsidR="00000000" w:rsidRPr="00000000">
      <w:rPr>
        <w:rFonts w:ascii="Constantia" w:cs="Constantia" w:eastAsia="Constantia" w:hAnsi="Constantia"/>
        <w:b w:val="0"/>
        <w:bCs w:val="0"/>
        <w:i w:val="0"/>
        <w:iCs w:val="0"/>
        <w:smallCaps w:val="0"/>
        <w:strike w:val="0"/>
        <w:color w:val="000000"/>
        <w:sz w:val="20"/>
        <w:szCs w:val="20"/>
        <w:highlight w:val="yellow"/>
        <w:u w:val="none"/>
        <w:vertAlign w:val="baseline"/>
        <w:rtl w:val="0"/>
      </w:rPr>
      <w:t xml:space="preserve">-1</w:t>
    </w:r>
    <w:r w:rsidDel="00000000" w:rsidR="00000000" w:rsidRPr="00000000">
      <w:rPr>
        <w:rFonts w:ascii="Constantia" w:cs="Constantia" w:eastAsia="Constantia" w:hAnsi="Constantia"/>
        <w:sz w:val="20"/>
        <w:szCs w:val="20"/>
        <w:highlight w:val="yellow"/>
        <w:rtl w:val="0"/>
      </w:rPr>
      <w:t xml:space="preserve">5</w:t>
    </w:r>
    <w:r w:rsidDel="00000000" w:rsidR="00000000" w:rsidRPr="00000000">
      <w:rPr>
        <w:rFonts w:ascii="Constantia" w:cs="Constantia" w:eastAsia="Constantia" w:hAnsi="Constantia"/>
        <w:b w:val="0"/>
        <w:bCs w:val="0"/>
        <w:i w:val="0"/>
        <w:iCs w:val="0"/>
        <w:smallCaps w:val="0"/>
        <w:strike w:val="0"/>
        <w:color w:val="000000"/>
        <w:sz w:val="20"/>
        <w:szCs w:val="20"/>
        <w:highlight w:val="yellow"/>
        <w:u w:val="none"/>
        <w:vertAlign w:val="baseline"/>
        <w:rtl w:val="0"/>
      </w:rPr>
      <w:t xml:space="preserve">2</w:t>
    </w:r>
    <w:r w:rsidDel="00000000" w:rsidR="00000000" w:rsidRPr="00000000">
      <w:rPr>
        <w:rtl w:val="0"/>
      </w:rPr>
    </w:r>
  </w:p>
  <w:p w:rsidR="00000000" w:rsidDel="00000000" w:rsidP="00000000" w:rsidRDefault="00000000" w:rsidRPr="00000000" w14:paraId="000000CB">
    <w:pPr>
      <w:spacing w:after="0" w:lineRule="auto"/>
      <w:rPr>
        <w:rFonts w:ascii="Constantia" w:cs="Constantia" w:eastAsia="Constantia" w:hAnsi="Constantia"/>
        <w:b w:val="1"/>
        <w:bCs w:val="1"/>
        <w:i w:val="1"/>
        <w:iCs w:val="1"/>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240" w:before="240" w:line="240" w:lineRule="auto"/>
      <w:jc w:val="center"/>
    </w:pPr>
    <w:rPr>
      <w:b w:val="1"/>
      <w:bCs w:val="1"/>
      <w:smallCaps w:val="1"/>
    </w:rPr>
  </w:style>
  <w:style w:type="paragraph" w:styleId="Heading2">
    <w:name w:val="heading 2"/>
    <w:basedOn w:val="Normal"/>
    <w:next w:val="Normal"/>
    <w:pPr>
      <w:keepNext w:val="1"/>
      <w:spacing w:after="240" w:before="240" w:line="240" w:lineRule="auto"/>
      <w:jc w:val="center"/>
    </w:pPr>
    <w:rPr>
      <w:b w:val="1"/>
      <w:bCs w:val="1"/>
    </w:rPr>
  </w:style>
  <w:style w:type="paragraph" w:styleId="Heading3">
    <w:name w:val="heading 3"/>
    <w:basedOn w:val="Normal"/>
    <w:next w:val="Normal"/>
    <w:pPr>
      <w:keepNext w:val="1"/>
      <w:spacing w:after="60" w:before="240" w:line="240" w:lineRule="auto"/>
    </w:pPr>
    <w:rPr>
      <w:rFonts w:ascii="Arial" w:cs="Arial" w:eastAsia="Arial" w:hAnsi="Arial"/>
      <w:b w:val="1"/>
      <w:bCs w:val="1"/>
      <w:sz w:val="26"/>
      <w:szCs w:val="26"/>
    </w:rPr>
  </w:style>
  <w:style w:type="paragraph" w:styleId="Heading4">
    <w:name w:val="heading 4"/>
    <w:basedOn w:val="Normal"/>
    <w:next w:val="Normal"/>
    <w:pPr>
      <w:keepNext w:val="1"/>
      <w:spacing w:after="60" w:before="240" w:line="240" w:lineRule="auto"/>
      <w:ind w:left="1152" w:hanging="720"/>
    </w:pPr>
    <w:rPr>
      <w:rFonts w:ascii="Times New Roman" w:cs="Times New Roman" w:eastAsia="Times New Roman" w:hAnsi="Times New Roman"/>
      <w:i w:val="1"/>
      <w:iCs w:val="1"/>
      <w:sz w:val="18"/>
      <w:szCs w:val="18"/>
    </w:rPr>
  </w:style>
  <w:style w:type="paragraph" w:styleId="Heading5">
    <w:name w:val="heading 5"/>
    <w:basedOn w:val="Normal"/>
    <w:next w:val="Normal"/>
    <w:pPr>
      <w:spacing w:after="60" w:before="240" w:line="240" w:lineRule="auto"/>
      <w:ind w:left="1872" w:hanging="720"/>
    </w:pPr>
    <w:rPr>
      <w:rFonts w:ascii="Times New Roman" w:cs="Times New Roman" w:eastAsia="Times New Roman" w:hAnsi="Times New Roman"/>
      <w:sz w:val="18"/>
      <w:szCs w:val="18"/>
    </w:rPr>
  </w:style>
  <w:style w:type="paragraph" w:styleId="Heading6">
    <w:name w:val="heading 6"/>
    <w:basedOn w:val="Normal"/>
    <w:next w:val="Normal"/>
    <w:pPr>
      <w:spacing w:after="60" w:before="240" w:line="240" w:lineRule="auto"/>
      <w:ind w:left="2592" w:hanging="720"/>
    </w:pPr>
    <w:rPr>
      <w:rFonts w:ascii="Times New Roman" w:cs="Times New Roman" w:eastAsia="Times New Roman" w:hAnsi="Times New Roman"/>
      <w:i w:val="1"/>
      <w:iCs w:val="1"/>
      <w:sz w:val="16"/>
      <w:szCs w:val="16"/>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jc w:val="right"/>
    </w:pPr>
    <w:rPr>
      <w:rFonts w:ascii="Times New Roman" w:cs="Times New Roman" w:eastAsia="Times New Roman" w:hAnsi="Times New Roman"/>
      <w:color w:val="000000"/>
      <w:sz w:val="22"/>
      <w:szCs w:val="22"/>
    </w:rPr>
    <w:tblPr>
      <w:tblStyleRowBandSize w:val="1"/>
      <w:tblStyleColBandSize w:val="1"/>
      <w:tblCellMar>
        <w:top w:w="0.0" w:type="dxa"/>
        <w:left w:w="70.0" w:type="dxa"/>
        <w:bottom w:w="0.0" w:type="dxa"/>
        <w:right w:w="70.0" w:type="dxa"/>
      </w:tblCellMar>
    </w:tblPr>
  </w:style>
  <w:style w:type="table" w:styleId="Table2">
    <w:basedOn w:val="TableNormal"/>
    <w:pPr>
      <w:jc w:val="right"/>
    </w:pPr>
    <w:rPr>
      <w:rFonts w:ascii="Times New Roman" w:cs="Times New Roman" w:eastAsia="Times New Roman" w:hAnsi="Times New Roman"/>
      <w:color w:val="000000"/>
      <w:sz w:val="22"/>
      <w:szCs w:val="22"/>
    </w:rPr>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doi.org/10.24198/sosiohumaniora.v25i2.38914" TargetMode="External"/><Relationship Id="rId20" Type="http://schemas.openxmlformats.org/officeDocument/2006/relationships/hyperlink" Target="https://doi.org/10.1016/j.sapharm.2020.02.005" TargetMode="External"/><Relationship Id="rId42" Type="http://schemas.openxmlformats.org/officeDocument/2006/relationships/header" Target="header6.xml"/><Relationship Id="rId41" Type="http://schemas.openxmlformats.org/officeDocument/2006/relationships/hyperlink" Target="https://doi.org/10.23887/jjpbs.v11i2.33876" TargetMode="External"/><Relationship Id="rId22" Type="http://schemas.openxmlformats.org/officeDocument/2006/relationships/hyperlink" Target="https://doi.org/10.1177/1744987120927206" TargetMode="External"/><Relationship Id="rId21" Type="http://schemas.openxmlformats.org/officeDocument/2006/relationships/hyperlink" Target="https://doi.org/10.17509/ijal.v11i2.35260" TargetMode="External"/><Relationship Id="rId43" Type="http://schemas.openxmlformats.org/officeDocument/2006/relationships/header" Target="header5.xml"/><Relationship Id="rId24" Type="http://schemas.openxmlformats.org/officeDocument/2006/relationships/hyperlink" Target="https://digitalcommons.unl.edu/libphilprac/5021/" TargetMode="External"/><Relationship Id="rId23" Type="http://schemas.openxmlformats.org/officeDocument/2006/relationships/hyperlink" Target="https://doi.org/10.21831/hum.v21i1.38075"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26" Type="http://schemas.openxmlformats.org/officeDocument/2006/relationships/hyperlink" Target="https://doi.org/10.24832/jpnk.v7i1.2341" TargetMode="External"/><Relationship Id="rId25" Type="http://schemas.openxmlformats.org/officeDocument/2006/relationships/hyperlink" Target="https://ejournal.undip.ac.id/index.php/lpustaka/issue/view/2133" TargetMode="External"/><Relationship Id="rId28" Type="http://schemas.openxmlformats.org/officeDocument/2006/relationships/hyperlink" Target="https://doi.org/10.59818/jpm.v4i6.848" TargetMode="External"/><Relationship Id="rId27" Type="http://schemas.openxmlformats.org/officeDocument/2006/relationships/hyperlink" Target="https://doi.org/10.5281/zenodo.7165714"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doi.org/10.11591/edulearn.v16i4.20512" TargetMode="External"/><Relationship Id="rId7" Type="http://schemas.openxmlformats.org/officeDocument/2006/relationships/image" Target="media/image7.png"/><Relationship Id="rId8" Type="http://schemas.openxmlformats.org/officeDocument/2006/relationships/image" Target="media/image3.jpg"/><Relationship Id="rId31" Type="http://schemas.openxmlformats.org/officeDocument/2006/relationships/hyperlink" Target="https://doi.org/10.31004/obsesi.v5i2.789" TargetMode="External"/><Relationship Id="rId30" Type="http://schemas.openxmlformats.org/officeDocument/2006/relationships/hyperlink" Target="https://doi.org/10.31004/obsesi.v4i2.428" TargetMode="External"/><Relationship Id="rId11" Type="http://schemas.openxmlformats.org/officeDocument/2006/relationships/hyperlink" Target="mailto:khoiruljamil@uinsu.ac.id" TargetMode="External"/><Relationship Id="rId33" Type="http://schemas.openxmlformats.org/officeDocument/2006/relationships/hyperlink" Target="https://doi.org/10.21831/jk.v7i2.48291" TargetMode="External"/><Relationship Id="rId10" Type="http://schemas.openxmlformats.org/officeDocument/2006/relationships/hyperlink" Target="mailto:ayu0601223039@uinsu.ac.id" TargetMode="External"/><Relationship Id="rId32" Type="http://schemas.openxmlformats.org/officeDocument/2006/relationships/hyperlink" Target="https://doi.org/10.33487/edumaspul.v4i1.357" TargetMode="External"/><Relationship Id="rId13" Type="http://schemas.openxmlformats.org/officeDocument/2006/relationships/header" Target="header3.xml"/><Relationship Id="rId35" Type="http://schemas.openxmlformats.org/officeDocument/2006/relationships/hyperlink" Target="https://doi.org/10.29407/jpdn.v8i1.15672" TargetMode="External"/><Relationship Id="rId12" Type="http://schemas.openxmlformats.org/officeDocument/2006/relationships/header" Target="header2.xml"/><Relationship Id="rId34" Type="http://schemas.openxmlformats.org/officeDocument/2006/relationships/hyperlink" Target="https://doi.org/10.6007/IJARPED/v12-i1/16142" TargetMode="External"/><Relationship Id="rId15" Type="http://schemas.openxmlformats.org/officeDocument/2006/relationships/footer" Target="footer2.xml"/><Relationship Id="rId37" Type="http://schemas.openxmlformats.org/officeDocument/2006/relationships/hyperlink" Target="https://doi.org/10.17509/jap.v29i1.41250" TargetMode="External"/><Relationship Id="rId14" Type="http://schemas.openxmlformats.org/officeDocument/2006/relationships/header" Target="header1.xml"/><Relationship Id="rId36" Type="http://schemas.openxmlformats.org/officeDocument/2006/relationships/hyperlink" Target="https://doi.org/10.31004/basicedu.v6i3.2845" TargetMode="External"/><Relationship Id="rId17" Type="http://schemas.openxmlformats.org/officeDocument/2006/relationships/header" Target="header4.xml"/><Relationship Id="rId39" Type="http://schemas.openxmlformats.org/officeDocument/2006/relationships/hyperlink" Target="https://doi.org/10.20473/rlj.V8-I1.2022.60-72" TargetMode="External"/><Relationship Id="rId16" Type="http://schemas.openxmlformats.org/officeDocument/2006/relationships/footer" Target="footer1.xml"/><Relationship Id="rId38" Type="http://schemas.openxmlformats.org/officeDocument/2006/relationships/hyperlink" Target="https://doi.org/10.21462/ijefl.v6i1.350" TargetMode="External"/><Relationship Id="rId19" Type="http://schemas.openxmlformats.org/officeDocument/2006/relationships/image" Target="media/image1.jpg"/><Relationship Id="rId18" Type="http://schemas.openxmlformats.org/officeDocument/2006/relationships/footer" Target="footer3.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Constantia-regular.ttf"/><Relationship Id="rId6" Type="http://schemas.openxmlformats.org/officeDocument/2006/relationships/font" Target="fonts/Constantia-bold.ttf"/><Relationship Id="rId7" Type="http://schemas.openxmlformats.org/officeDocument/2006/relationships/font" Target="fonts/Constantia-italic.ttf"/><Relationship Id="rId8" Type="http://schemas.openxmlformats.org/officeDocument/2006/relationships/font" Target="fonts/Constantia-boldItalic.ttf"/></Relationships>
</file>

<file path=word/_rels/footer2.xml.rels><?xml version="1.0" encoding="UTF-8" standalone="yes"?><Relationships xmlns="http://schemas.openxmlformats.org/package/2006/relationships"><Relationship Id="rId1" Type="http://schemas.openxmlformats.org/officeDocument/2006/relationships/hyperlink" Target="http://dx.doi.org/10.xxxxx/ijost.v2i2"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UPQWeJS9PMHC0HMTUz+KcSaAwA==">CgMxLjAyCWlkLmdqZGd4czIJaC4zMGowemxsOAByITFEYVhkVHZFUGlyZmVZcHQtbXdTampPQmtKV3FfdlR4aA==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141d030e-2767-35b4-9a08-6dd44422fc0f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ContentTypeId">
    <vt:lpwstr>0x0101006676EB79F3F64C45BFA78B70C36B2A08</vt:lpwstr>
  </property>
</Properties>
</file>