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770" w:rsidRDefault="005D7826" w:rsidP="005D7826">
      <w:pPr>
        <w:pStyle w:val="KonuBal"/>
        <w:spacing w:line="360" w:lineRule="auto"/>
      </w:pPr>
      <w:r w:rsidRPr="005D7826">
        <w:t>High School Students’ Multiple Representation Translation Skills on One-Dimensional Motion: A Cross-Grade Study</w:t>
      </w:r>
    </w:p>
    <w:p w:rsidR="003F4064" w:rsidRPr="003F4064" w:rsidRDefault="003F4064" w:rsidP="003F4064">
      <w:pPr>
        <w:rPr>
          <w:rFonts w:eastAsia="Times"/>
        </w:rPr>
      </w:pPr>
      <w:r>
        <w:rPr>
          <w:rFonts w:eastAsia="Times"/>
        </w:rPr>
        <w:t>Zeynep BAŞKAN TAKAOĞLU*</w:t>
      </w:r>
    </w:p>
    <w:p w:rsidR="00614770" w:rsidRDefault="003C3E4F">
      <w:pPr>
        <w:spacing w:after="240"/>
        <w:rPr>
          <w:b/>
        </w:rPr>
      </w:pPr>
      <w:r>
        <w:rPr>
          <w:b/>
        </w:rPr>
        <w:t>NOVELTY</w:t>
      </w:r>
    </w:p>
    <w:p w:rsidR="00F82D88" w:rsidRDefault="00F82D88">
      <w:pPr>
        <w:spacing w:after="240"/>
      </w:pPr>
      <w:r w:rsidRPr="00F82D88">
        <w:t>Studies on multiple representations are generally concentrated in the field of mathematics education. However, multiple representations can easily be used in the field of physics. In particular, using representations such as pictures, graphics</w:t>
      </w:r>
      <w:r>
        <w:t>,</w:t>
      </w:r>
      <w:r w:rsidRPr="00F82D88">
        <w:t xml:space="preserve"> and diagrams in question solutions can both facilitate the solution of questions and contribute to deep learning. In this respect, the use of multiple representations forms the basis of learning physics. </w:t>
      </w:r>
      <w:r>
        <w:t>This</w:t>
      </w:r>
      <w:r w:rsidRPr="00F82D88">
        <w:t xml:space="preserve"> study, it is aimed to bring a new perspective to the use of multiple representations in physics education.</w:t>
      </w:r>
    </w:p>
    <w:p w:rsidR="00614770" w:rsidRDefault="003C3E4F">
      <w:pPr>
        <w:pStyle w:val="Balk1"/>
      </w:pPr>
      <w:r>
        <w:t>ABSTRACT</w:t>
      </w:r>
    </w:p>
    <w:p w:rsidR="00F82D88" w:rsidRPr="009E217B" w:rsidRDefault="00F82D88" w:rsidP="00F82D88">
      <w:pPr>
        <w:spacing w:line="360" w:lineRule="auto"/>
      </w:pPr>
      <w:r w:rsidRPr="00660D13">
        <w:t>Multiple representations are widely recognized for their significant role in the process of concept learning.</w:t>
      </w:r>
      <w:r>
        <w:t xml:space="preserve"> </w:t>
      </w:r>
      <w:r w:rsidRPr="009E217B">
        <w:t xml:space="preserve">This study aimed to investigate the </w:t>
      </w:r>
      <w:r>
        <w:t>multiple representation translation</w:t>
      </w:r>
      <w:r w:rsidRPr="009E217B">
        <w:t xml:space="preserve"> skills of high school students at different grade levels in relation to the concept of </w:t>
      </w:r>
      <w:r w:rsidR="00EB146F">
        <w:t>one-</w:t>
      </w:r>
      <w:r w:rsidRPr="009E217B">
        <w:t>dimension</w:t>
      </w:r>
      <w:r>
        <w:t>al</w:t>
      </w:r>
      <w:r w:rsidRPr="009E217B">
        <w:t xml:space="preserve"> </w:t>
      </w:r>
      <w:r>
        <w:t>motion</w:t>
      </w:r>
      <w:r w:rsidRPr="009E217B">
        <w:t>. A total of 239 students from 9th, 10th, and 11th grades participated in the study, which utilized a developmental research model. The data collection tool consisted of questions that required trans</w:t>
      </w:r>
      <w:r>
        <w:t>lating</w:t>
      </w:r>
      <w:r w:rsidRPr="009E217B">
        <w:t xml:space="preserve"> figures, tables, graphs, verbal explanations, and algebraic representations </w:t>
      </w:r>
      <w:bookmarkStart w:id="0" w:name="_GoBack"/>
      <w:bookmarkEnd w:id="0"/>
      <w:r w:rsidRPr="009E217B">
        <w:t xml:space="preserve">into other representation types in a </w:t>
      </w:r>
      <w:r>
        <w:t>multiple-representation</w:t>
      </w:r>
      <w:r>
        <w:t xml:space="preserve"> translation</w:t>
      </w:r>
      <w:r w:rsidRPr="009E217B">
        <w:t xml:space="preserve"> test focusing on </w:t>
      </w:r>
      <w:r>
        <w:t>one-dimensional</w:t>
      </w:r>
      <w:r w:rsidRPr="009E217B">
        <w:t xml:space="preserve"> </w:t>
      </w:r>
      <w:r>
        <w:t>motion</w:t>
      </w:r>
      <w:r w:rsidRPr="009E217B">
        <w:t xml:space="preserve">. Data analysis involved evaluating the </w:t>
      </w:r>
      <w:r w:rsidR="00A62631">
        <w:t>translating</w:t>
      </w:r>
      <w:r w:rsidRPr="009E217B">
        <w:t xml:space="preserve"> </w:t>
      </w:r>
      <w:r>
        <w:t>among</w:t>
      </w:r>
      <w:r w:rsidRPr="009E217B">
        <w:t xml:space="preserve"> representations for each category and </w:t>
      </w:r>
      <w:r w:rsidRPr="009E217B">
        <w:lastRenderedPageBreak/>
        <w:t xml:space="preserve">analyzing the </w:t>
      </w:r>
      <w:r>
        <w:t>multiple representation translation</w:t>
      </w:r>
      <w:r w:rsidRPr="009E217B">
        <w:t xml:space="preserve"> skills across different grade levels using one-way analysis of variance (ANOVA). The results revealed that students exhibited</w:t>
      </w:r>
      <w:r>
        <w:t xml:space="preserve"> greater success in translation</w:t>
      </w:r>
      <w:r w:rsidRPr="009E217B">
        <w:t xml:space="preserve"> from figure, table, and graphical representations to other forms while encount</w:t>
      </w:r>
      <w:r>
        <w:t>ering challenges in translation</w:t>
      </w:r>
      <w:r w:rsidRPr="009E217B">
        <w:t xml:space="preserve"> from verbal and algebraic representations. Furthermore, the ANOVA results indicated a significant difference between </w:t>
      </w:r>
      <w:r>
        <w:t xml:space="preserve">the </w:t>
      </w:r>
      <w:r w:rsidRPr="009E217B">
        <w:t>9th and 11th grades, favoring the 11th grade.</w:t>
      </w:r>
    </w:p>
    <w:p w:rsidR="00614770" w:rsidRDefault="00614770">
      <w:pPr>
        <w:pBdr>
          <w:top w:val="nil"/>
          <w:left w:val="nil"/>
          <w:bottom w:val="nil"/>
          <w:right w:val="nil"/>
          <w:between w:val="nil"/>
        </w:pBdr>
        <w:spacing w:line="360" w:lineRule="auto"/>
        <w:rPr>
          <w:color w:val="000000"/>
        </w:rPr>
      </w:pPr>
    </w:p>
    <w:p w:rsidR="00614770" w:rsidRDefault="003C3E4F">
      <w:pPr>
        <w:rPr>
          <w:b/>
          <w:i/>
        </w:rPr>
      </w:pPr>
      <w:r>
        <w:rPr>
          <w:b/>
          <w:i/>
        </w:rPr>
        <w:t>Keywords</w:t>
      </w:r>
    </w:p>
    <w:p w:rsidR="00A62631" w:rsidRPr="00A62631" w:rsidRDefault="00A62631" w:rsidP="00A62631">
      <w:pPr>
        <w:spacing w:after="360" w:line="240" w:lineRule="auto"/>
        <w:rPr>
          <w:color w:val="000000"/>
        </w:rPr>
      </w:pPr>
      <w:r w:rsidRPr="00A62631">
        <w:rPr>
          <w:color w:val="000000"/>
        </w:rPr>
        <w:t xml:space="preserve">multiple representations, </w:t>
      </w:r>
      <w:r>
        <w:rPr>
          <w:color w:val="000000"/>
        </w:rPr>
        <w:t>one-dimensional</w:t>
      </w:r>
      <w:r w:rsidRPr="00A62631">
        <w:rPr>
          <w:color w:val="000000"/>
        </w:rPr>
        <w:t xml:space="preserve"> motion, translating among representations, cross-grade.</w:t>
      </w:r>
    </w:p>
    <w:p w:rsidR="00614770" w:rsidRDefault="003C3E4F">
      <w:pPr>
        <w:pStyle w:val="Balk1"/>
      </w:pPr>
      <w:r>
        <w:t xml:space="preserve">1. Introduction </w:t>
      </w:r>
    </w:p>
    <w:p w:rsidR="00A62631" w:rsidRPr="00A62631" w:rsidRDefault="00A62631" w:rsidP="00A62631">
      <w:pPr>
        <w:pBdr>
          <w:top w:val="nil"/>
          <w:left w:val="nil"/>
          <w:bottom w:val="nil"/>
          <w:right w:val="nil"/>
          <w:between w:val="nil"/>
        </w:pBdr>
        <w:ind w:firstLine="720"/>
        <w:rPr>
          <w:color w:val="000000"/>
        </w:rPr>
      </w:pPr>
      <w:r w:rsidRPr="00A62631">
        <w:rPr>
          <w:color w:val="000000"/>
        </w:rPr>
        <w:t>Today, education is shifting away from rote memorization, calculation-based problems, and traditional paper-and-pencil tests towards a learning approach that emphasizes analytical abilities, problem-solving autonomy, and deep conceptual understanding (Erbaş, 2005). To facilitate this type of learning, one effective method is the utilization of multiple representations, which is recommended by the National Council of Teachers of Mathematics (NCTM) to enhance learning in education (NCTM, 2000). Multiple representations enable students to engage in a problem-solving, causal, and communicative learning environment, different from the conventional approach that focuses on static knowledge and isolated skills unrelated to other subjects and daily life (Erbaş, 2005).</w:t>
      </w:r>
    </w:p>
    <w:p w:rsidR="00A62631" w:rsidRPr="00A62631" w:rsidRDefault="00A62631" w:rsidP="00A62631">
      <w:pPr>
        <w:pBdr>
          <w:top w:val="nil"/>
          <w:left w:val="nil"/>
          <w:bottom w:val="nil"/>
          <w:right w:val="nil"/>
          <w:between w:val="nil"/>
        </w:pBdr>
        <w:ind w:firstLine="720"/>
        <w:rPr>
          <w:color w:val="000000"/>
        </w:rPr>
      </w:pPr>
      <w:r w:rsidRPr="00A62631">
        <w:rPr>
          <w:color w:val="000000"/>
        </w:rPr>
        <w:t xml:space="preserve">To comprehend the concept of multiple representations, it is advisable to first examine the definition of representation. Representation can be defined as the various methods used to depict a mathematical concept (Goldin &amp; Kaput, 1996). Multiple representations involve the ability to express a concept using diverse forms of representation and establish connections between them (NCTM, 2000). Based on this </w:t>
      </w:r>
      <w:r w:rsidRPr="00A62631">
        <w:rPr>
          <w:color w:val="000000"/>
        </w:rPr>
        <w:lastRenderedPageBreak/>
        <w:t>definition, the classification of multiple representations can be explored. Researchers have categorized representation styles into different groups. Herbel Eisenmann (2002) classified them into four categories: graphics, tables, equations, and problem situations. Cleaves (2008) identified six classes of multiple representations: numerical (tables), graphical, pictorial, verbal, symbolic (equations), and physical. Moreover, internal representations and external representations have also been classified. Internal representations refer to the cognitive building blocks that reflect students’ mental models (Rau, 2017), while external representations encompass tangible forms such as graphs, tables, or equations (Ainley, et al., 2002). Internal representations are symbolic constructs formed within the mind through cognitive processes, whereas external representations manifest as observable situations and symbols resulting from the conversion of internal representations into behavior (İzgiol, Keşan, &amp; Kaya, 2014).</w:t>
      </w:r>
    </w:p>
    <w:p w:rsidR="00A62631" w:rsidRPr="00A62631" w:rsidRDefault="00A62631" w:rsidP="00A62631">
      <w:pPr>
        <w:pBdr>
          <w:top w:val="nil"/>
          <w:left w:val="nil"/>
          <w:bottom w:val="nil"/>
          <w:right w:val="nil"/>
          <w:between w:val="nil"/>
        </w:pBdr>
        <w:ind w:firstLine="720"/>
        <w:rPr>
          <w:color w:val="000000"/>
        </w:rPr>
      </w:pPr>
      <w:r w:rsidRPr="00A62631">
        <w:rPr>
          <w:color w:val="000000"/>
        </w:rPr>
        <w:t xml:space="preserve">The ability to express a concept using different representations and establish connections between them is recognized as a crucial skill (NCTM, 2000). It is also acknowledged that individuals who can successfully translating among different representations enhance their conceptual understanding (Işık, Işık, &amp; Kar, 2011). Consequently, students attain a higher level of knowledge, improve their associative skills, and enhance their conceptual comprehension (İncikabı &amp; Biber, 2018). By incorporating multiple representations in problem-solving activities, students experience improved perceptual development, better symbol interpretation, and enhanced verbal abilities, leading to a more profound understanding of mathematics (Van Heuvelen &amp; Zou, 2001). Additionally, multiple representations demonstrate to students that problems have multiple solutions and can be approached from various angles, thereby facilitating problem-solving processes (Dufrense, Gerace, &amp; Leonard, 1997). Furthermore, multiple </w:t>
      </w:r>
      <w:r w:rsidRPr="00A62631">
        <w:rPr>
          <w:color w:val="000000"/>
        </w:rPr>
        <w:lastRenderedPageBreak/>
        <w:t>representations offer opportunities to present concepts and relationships through equations, formulas, graphs, tables, figures, and symbols (Çelik &amp; Sağlam-Arslan, 2012). Furthermore, multiple representations contribute to verbal comprehension by utilizing words and sentences in the problem statement, enhance numerical understanding through the use of tables, promote visual perception through graphics, and facilitate algebraic learning through the incorporation of symbols (İncikabı &amp; Biber, 2018). These contributions lead to enhanced problem-solving abilities (Van Heuvelen &amp; Zou, 2001). Experts in the field employ multiple representation skills when examining problems from different perspectives, whereas novices tend to focus on formulating the appropriate mathematical equation and finding the solution (Kohl, Rosengrand, &amp; Finkelstein, 2007). While this distinction may be less noticeable in the context of solving simple problems, it becomes particularly significant when tackling more challenging problems (Kohl, Rosengrand &amp; Finkelstein, 2007). Individuals who rely on a single representation while engrossed in a problem are unable to gain a comprehensive perspective, whereas the utilization of multiple representations enables the examination of problems from multiple aspects and perspectives (McGowan &amp; Tall, 2001). Consequently, this ability to employ multiple representations distinguishes experts from novices in the domain of problem-solving. To cultivate these skills, students are encouraged to utilize multiple representations, articulate the problem, and foster a deeper understanding (NCTM, 2000).</w:t>
      </w:r>
    </w:p>
    <w:p w:rsidR="00A62631" w:rsidRPr="00A62631" w:rsidRDefault="00A62631" w:rsidP="00A62631">
      <w:pPr>
        <w:pBdr>
          <w:top w:val="nil"/>
          <w:left w:val="nil"/>
          <w:bottom w:val="nil"/>
          <w:right w:val="nil"/>
          <w:between w:val="nil"/>
        </w:pBdr>
        <w:ind w:firstLine="720"/>
        <w:rPr>
          <w:color w:val="000000"/>
        </w:rPr>
      </w:pPr>
      <w:r w:rsidRPr="00A62631">
        <w:rPr>
          <w:color w:val="000000"/>
        </w:rPr>
        <w:t xml:space="preserve">Multiple representations play a crucial role in the context of physics education (Pebriana et al., 2022). Physics educators widely acknowledge the necessity of incorporating multiple representations into lessons due to their significant contributions to teaching and learning (Klein, Müller, &amp; Kuhn, 2017; Kohl, Rosengrand, &amp; Finkelstein, 2007; Van Heuvelen &amp; Zou, 2001). Therefore, in physics teaching, it is essential to go </w:t>
      </w:r>
      <w:r w:rsidRPr="00A62631">
        <w:rPr>
          <w:color w:val="000000"/>
        </w:rPr>
        <w:lastRenderedPageBreak/>
        <w:t>beyond solely relying on numerical expressions and include practices that involve multiple representations to facilitate conceptual understanding and promote deep learning (Umrotul et al., 2022). Kinematics, in particular, is regarded as a suitable domain for assessing students’ proficiency in multiple representations and their ability to translating among different representations, as it often reveals learning difficulties related to multiple representations (Klein, Müller, &amp; Kuhn, 2017). For students to comprehend kinematics concepts effectively, they must first understand and engage with multiple representations (Umrotul et al., 2022). This necessitates their recognition and familiarity with various types of representations. Otherwise, students may solely rely on equations in problem-solving situations, leading to difficulties in reaching correct solutions due to reliance on memorization rather than deep comprehension (Umrotul et al., 2022). By examining students’ representation skills in subjects that require proficiency in multiple representations, such as kinematics, it is possible to discern the types of knowledge they possess, including both memorized knowledge and expert knowledge in the field (Kohl, Rosengrand &amp; Finkelstein, 2007). Linear motion serves as the foundation for other kinematics topics, and individuals who grasp this subject are better equipped to solve questions in related areas (Kusairi, Noviandari, &amp; Pratiwi, 2019). When students approach and explain kinematics concepts using multiple representations, such as graphics and verbal expressions, they find it easier to solve problems, thereby enhancing their problem-solving skills (Saputra et al., 2019). Without a deep understanding of the subject, students may struggle to comprehend the content and resort to solving questions solely through memorized mathematical operations (Yener &amp; Güzel, 2010).</w:t>
      </w:r>
    </w:p>
    <w:p w:rsidR="00A62631" w:rsidRPr="00A62631" w:rsidRDefault="00A62631" w:rsidP="00A62631">
      <w:pPr>
        <w:pBdr>
          <w:top w:val="nil"/>
          <w:left w:val="nil"/>
          <w:bottom w:val="nil"/>
          <w:right w:val="nil"/>
          <w:between w:val="nil"/>
        </w:pBdr>
        <w:ind w:firstLine="720"/>
        <w:rPr>
          <w:color w:val="000000"/>
        </w:rPr>
      </w:pPr>
      <w:r w:rsidRPr="00A62631">
        <w:rPr>
          <w:color w:val="000000"/>
        </w:rPr>
        <w:t xml:space="preserve">An examination of research in this field reveals several categories, including students’ ability to utilize multiple representations, the interest and competence of </w:t>
      </w:r>
      <w:r w:rsidRPr="00A62631">
        <w:rPr>
          <w:color w:val="000000"/>
        </w:rPr>
        <w:lastRenderedPageBreak/>
        <w:t xml:space="preserve">teachers and pre-service teachers in using multiple representations, and the impact of employing multiple representations in the teaching process on student achievement (Gürbüz &amp; Şahin, 2005). Among these categories, qualitative research designs are commonly employed to study the use of multiple representations (Türer &amp; Cantürk Gürhan, 2022). However, conducting field surveys with quantitative designs, which allow for larger sample sizes, can provide a more comprehensive overview of the current situation. It is worth noting that studies on multiple representations predominantly focus on the field of mathematics (Cleaves, 2008; Çelik, Sağlam Arslan, 2012; Eroğlu &amp; Akkuş, 2021; İncikabı &amp; Biber, 2018; Türer &amp; Cantürk Gürhan, 2022). In addition to mathematics, multiple forms of representation are also utilized in various fields such as physics, chemistry, and geography (Kohl, Rosengrand, &amp; Finkelstein, 2007). However, the emphasis on multiple representations in these disciplines has not been as significant as in mathematics. In physics problem-solving, diverse representations such as pictures, graphs, and diagrams are commonly employed to comprehend the question (Van Heuvelen &amp; Zou, 2001), highlighting the foundational role of multiple representations in physics learning (Kohl, Rosengrand, &amp; Finkelstein, 2007). It is noteworthy that secondary school students are predominantly selected as the sample population in studies focusing on multiple representations (Türer &amp; Cantürk Gürhan, 2022). Additionally, there has been an increasing application of multiple representations in teacher education programs (Gürbüz &amp; Şahin, 2005; Türer &amp; Cantürk Gürhan, 2022). However, there is a dearth of studies focusing specifically on high school students, indicating the need for further development in this area. In line with this, the primary objective of this study is to investigate the multiple representation translation skills of high school students across </w:t>
      </w:r>
      <w:r w:rsidRPr="00A62631">
        <w:rPr>
          <w:color w:val="000000"/>
        </w:rPr>
        <w:lastRenderedPageBreak/>
        <w:t>different grade levels in the context of one-dimensional motion. The sub-problems to be addressed are as follows:</w:t>
      </w:r>
    </w:p>
    <w:p w:rsidR="00A62631" w:rsidRPr="00A62631" w:rsidRDefault="00A62631" w:rsidP="00A62631">
      <w:pPr>
        <w:pBdr>
          <w:top w:val="nil"/>
          <w:left w:val="nil"/>
          <w:bottom w:val="nil"/>
          <w:right w:val="nil"/>
          <w:between w:val="nil"/>
        </w:pBdr>
        <w:ind w:firstLine="720"/>
        <w:rPr>
          <w:color w:val="000000"/>
        </w:rPr>
      </w:pPr>
      <w:r w:rsidRPr="00A62631">
        <w:rPr>
          <w:color w:val="000000"/>
        </w:rPr>
        <w:t>1. How do the achievement levels of high school students change when they translation from figures, tables, graphs, verbal descriptions, and algebraic representations to other forms of representation?</w:t>
      </w:r>
    </w:p>
    <w:p w:rsidR="00A62631" w:rsidRDefault="00A62631" w:rsidP="00A62631">
      <w:pPr>
        <w:pBdr>
          <w:top w:val="nil"/>
          <w:left w:val="nil"/>
          <w:bottom w:val="nil"/>
          <w:right w:val="nil"/>
          <w:between w:val="nil"/>
        </w:pBdr>
        <w:ind w:firstLine="720"/>
        <w:rPr>
          <w:color w:val="000000"/>
        </w:rPr>
      </w:pPr>
      <w:r w:rsidRPr="00A62631">
        <w:rPr>
          <w:color w:val="000000"/>
        </w:rPr>
        <w:t>2. How do the levels of success in utilizing multiple representations vary among high school students across different grade levels?</w:t>
      </w:r>
    </w:p>
    <w:p w:rsidR="00614770" w:rsidRDefault="00614770">
      <w:pPr>
        <w:pBdr>
          <w:top w:val="nil"/>
          <w:left w:val="nil"/>
          <w:bottom w:val="nil"/>
          <w:right w:val="nil"/>
          <w:between w:val="nil"/>
        </w:pBdr>
        <w:ind w:firstLine="720"/>
        <w:rPr>
          <w:color w:val="000000"/>
        </w:rPr>
      </w:pPr>
    </w:p>
    <w:p w:rsidR="00614770" w:rsidRDefault="00A62631">
      <w:pPr>
        <w:pStyle w:val="Balk1"/>
      </w:pPr>
      <w:r>
        <w:t>2. Method</w:t>
      </w:r>
    </w:p>
    <w:p w:rsidR="00A62631" w:rsidRPr="00A62631" w:rsidRDefault="00A62631" w:rsidP="00A62631">
      <w:pPr>
        <w:pBdr>
          <w:top w:val="nil"/>
          <w:left w:val="nil"/>
          <w:bottom w:val="nil"/>
          <w:right w:val="nil"/>
          <w:between w:val="nil"/>
        </w:pBdr>
        <w:ind w:firstLine="720"/>
        <w:rPr>
          <w:color w:val="000000"/>
        </w:rPr>
      </w:pPr>
      <w:r w:rsidRPr="00A62631">
        <w:rPr>
          <w:color w:val="000000"/>
        </w:rPr>
        <w:t>To examine the development of multiple representation skills in high school students, a cross-sectional research design within the developmental research approach was utilized. Cross-sectional studies involve observing groups with equal developmental levels in different years instead of following the same sample over a long period, which saves time (Çepni, 2010). The sample selection for cross-sectional studies can be cross-age or cross-grade (Lin, 2017) with the former focusing on cognitive development and the latter considering changes in knowledge influenced by the environment and curriculum based on grade levels. In this study, a cross-grade design was employed.</w:t>
      </w:r>
    </w:p>
    <w:p w:rsidR="00A62631" w:rsidRPr="00A62631" w:rsidRDefault="00A62631" w:rsidP="00A62631">
      <w:pPr>
        <w:pBdr>
          <w:top w:val="nil"/>
          <w:left w:val="nil"/>
          <w:bottom w:val="nil"/>
          <w:right w:val="nil"/>
          <w:between w:val="nil"/>
        </w:pBdr>
        <w:rPr>
          <w:b/>
          <w:color w:val="000000"/>
        </w:rPr>
      </w:pPr>
      <w:r w:rsidRPr="00A62631">
        <w:rPr>
          <w:b/>
          <w:color w:val="000000"/>
        </w:rPr>
        <w:t>2.1</w:t>
      </w:r>
      <w:r w:rsidRPr="00A62631">
        <w:rPr>
          <w:b/>
          <w:color w:val="000000"/>
        </w:rPr>
        <w:t xml:space="preserve"> Participants </w:t>
      </w:r>
    </w:p>
    <w:p w:rsidR="00A62631" w:rsidRPr="00A62631" w:rsidRDefault="00A62631" w:rsidP="00A62631">
      <w:pPr>
        <w:pBdr>
          <w:top w:val="nil"/>
          <w:left w:val="nil"/>
          <w:bottom w:val="nil"/>
          <w:right w:val="nil"/>
          <w:between w:val="nil"/>
        </w:pBdr>
        <w:ind w:firstLine="720"/>
        <w:rPr>
          <w:color w:val="000000"/>
        </w:rPr>
      </w:pPr>
      <w:r w:rsidRPr="00A62631">
        <w:rPr>
          <w:color w:val="000000"/>
        </w:rPr>
        <w:t>The participants in this study consisted of 239 students enrolled in the 9th, 10th, and 11th grades. The distribution of these students across grades was as follows: 84 students in 9th grade, 106 students in 10th grade, and 49 students in 11th grade. The study was conducted in a small province with a relatively small population in the Black Sea region of Turkey.</w:t>
      </w:r>
    </w:p>
    <w:p w:rsidR="00A62631" w:rsidRPr="00A62631" w:rsidRDefault="00A62631" w:rsidP="00A62631">
      <w:pPr>
        <w:pBdr>
          <w:top w:val="nil"/>
          <w:left w:val="nil"/>
          <w:bottom w:val="nil"/>
          <w:right w:val="nil"/>
          <w:between w:val="nil"/>
        </w:pBdr>
        <w:ind w:firstLine="720"/>
        <w:rPr>
          <w:color w:val="000000"/>
        </w:rPr>
      </w:pPr>
      <w:r w:rsidRPr="00A62631">
        <w:rPr>
          <w:color w:val="000000"/>
        </w:rPr>
        <w:lastRenderedPageBreak/>
        <w:t>In Turkey, there are three types of high schools. The first type includes science, social science, and project high schools, which offer education in science, social science, and a combination of science and social science (the latter course is called the equal-weighted program) and admit students through an entrance examination. The second type consists of Anatolian high schools, which provide education in similar fields but admit students without an examination. In both types of high schools, students choose a specific field at the end of 9th grade. The last type of high school is a vocational high school, which focuses on vocational education. In these high schools, physics is taught only in the 9th grade. In the study, the participants were students from an Anatolian high school with general student admission. Since physics, chemistry, and biology courses continue in the 10th grade, the applications and assessments were conducted only with students in the science field.</w:t>
      </w:r>
    </w:p>
    <w:p w:rsidR="00A62631" w:rsidRPr="00A62631" w:rsidRDefault="00A62631" w:rsidP="00A62631">
      <w:pPr>
        <w:pBdr>
          <w:top w:val="nil"/>
          <w:left w:val="nil"/>
          <w:bottom w:val="nil"/>
          <w:right w:val="nil"/>
          <w:between w:val="nil"/>
        </w:pBdr>
        <w:rPr>
          <w:b/>
          <w:color w:val="000000"/>
        </w:rPr>
      </w:pPr>
      <w:r w:rsidRPr="00A62631">
        <w:rPr>
          <w:b/>
          <w:color w:val="000000"/>
        </w:rPr>
        <w:t>2.2 Data collection tool</w:t>
      </w:r>
    </w:p>
    <w:p w:rsidR="00A62631" w:rsidRPr="00A62631" w:rsidRDefault="00A62631" w:rsidP="00A62631">
      <w:pPr>
        <w:pBdr>
          <w:top w:val="nil"/>
          <w:left w:val="nil"/>
          <w:bottom w:val="nil"/>
          <w:right w:val="nil"/>
          <w:between w:val="nil"/>
        </w:pBdr>
        <w:ind w:firstLine="720"/>
        <w:rPr>
          <w:color w:val="000000"/>
        </w:rPr>
      </w:pPr>
      <w:r w:rsidRPr="00A62631">
        <w:rPr>
          <w:color w:val="000000"/>
        </w:rPr>
        <w:t xml:space="preserve">During the preparation of the data collection tool, an analysis of relevant literature and textbooks was conducted. The focus was on the unit of </w:t>
      </w:r>
      <w:r w:rsidR="00EB146F">
        <w:rPr>
          <w:color w:val="000000"/>
        </w:rPr>
        <w:t>one-</w:t>
      </w:r>
      <w:r w:rsidRPr="00A62631">
        <w:rPr>
          <w:color w:val="000000"/>
        </w:rPr>
        <w:t xml:space="preserve">dimensional motion in, and a multiple representation translation test consisting of 20 questions was developed by the researcher. In the test, figure, table, graph, verbal, and algebraic representations were used, respectively. </w:t>
      </w:r>
    </w:p>
    <w:p w:rsidR="00A62631" w:rsidRPr="00A62631" w:rsidRDefault="00A62631" w:rsidP="00A62631">
      <w:pPr>
        <w:pBdr>
          <w:top w:val="nil"/>
          <w:left w:val="nil"/>
          <w:bottom w:val="nil"/>
          <w:right w:val="nil"/>
          <w:between w:val="nil"/>
        </w:pBdr>
        <w:ind w:firstLine="720"/>
        <w:rPr>
          <w:color w:val="000000"/>
        </w:rPr>
      </w:pPr>
      <w:r w:rsidRPr="00A62631">
        <w:rPr>
          <w:color w:val="000000"/>
        </w:rPr>
        <w:t>Then, questions were prepared to transform the information in the explanation into the other four representations. Five physicists, one physics educator, and one physics teacher were consulted to ensure comprehensibility, scientific accuracy, and overall appearance. The test was finalized by completing the suggested corrections. The subject and content distributions of the questions in the prepared test are given in Table 1.</w:t>
      </w:r>
    </w:p>
    <w:p w:rsidR="00A62631" w:rsidRDefault="00A23267" w:rsidP="00A62631">
      <w:pPr>
        <w:spacing w:line="360" w:lineRule="auto"/>
      </w:pPr>
      <w:r w:rsidRPr="00A23267">
        <w:rPr>
          <w:b/>
        </w:rPr>
        <w:t>Table 1</w:t>
      </w:r>
      <w:r w:rsidR="00A62631" w:rsidRPr="00882429">
        <w:t xml:space="preserve"> Content and subject distributions of the questions</w:t>
      </w:r>
    </w:p>
    <w:tbl>
      <w:tblPr>
        <w:tblStyle w:val="a0"/>
        <w:tblW w:w="8146" w:type="dxa"/>
        <w:tblInd w:w="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560"/>
        <w:gridCol w:w="3450"/>
        <w:gridCol w:w="3136"/>
      </w:tblGrid>
      <w:tr w:rsidR="00B84CF4" w:rsidTr="00B84CF4">
        <w:tc>
          <w:tcPr>
            <w:tcW w:w="1560" w:type="dxa"/>
            <w:tcBorders>
              <w:bottom w:val="single" w:sz="4" w:space="0" w:color="000000"/>
            </w:tcBorders>
            <w:shd w:val="clear" w:color="auto" w:fill="F2F2F2"/>
            <w:vAlign w:val="center"/>
          </w:tcPr>
          <w:p w:rsidR="00B84CF4" w:rsidRDefault="00B84CF4" w:rsidP="00B84CF4">
            <w:pPr>
              <w:pBdr>
                <w:top w:val="nil"/>
                <w:left w:val="nil"/>
                <w:bottom w:val="nil"/>
                <w:right w:val="nil"/>
                <w:between w:val="nil"/>
              </w:pBdr>
              <w:jc w:val="left"/>
              <w:rPr>
                <w:b/>
                <w:color w:val="000000"/>
              </w:rPr>
            </w:pPr>
            <w:r w:rsidRPr="009974B9">
              <w:rPr>
                <w:b/>
                <w:sz w:val="20"/>
                <w:szCs w:val="20"/>
              </w:rPr>
              <w:t>Explanation</w:t>
            </w:r>
          </w:p>
        </w:tc>
        <w:tc>
          <w:tcPr>
            <w:tcW w:w="3450" w:type="dxa"/>
            <w:tcBorders>
              <w:bottom w:val="single" w:sz="4" w:space="0" w:color="000000"/>
            </w:tcBorders>
            <w:shd w:val="clear" w:color="auto" w:fill="F2F2F2"/>
            <w:vAlign w:val="center"/>
          </w:tcPr>
          <w:p w:rsidR="00B84CF4" w:rsidRDefault="00B84CF4" w:rsidP="00B84CF4">
            <w:pPr>
              <w:pBdr>
                <w:top w:val="nil"/>
                <w:left w:val="nil"/>
                <w:bottom w:val="nil"/>
                <w:right w:val="nil"/>
                <w:between w:val="nil"/>
              </w:pBdr>
              <w:jc w:val="left"/>
              <w:rPr>
                <w:b/>
                <w:color w:val="000000"/>
              </w:rPr>
            </w:pPr>
            <w:r>
              <w:rPr>
                <w:b/>
                <w:sz w:val="20"/>
                <w:szCs w:val="20"/>
              </w:rPr>
              <w:t>Translation</w:t>
            </w:r>
            <w:r w:rsidRPr="009974B9">
              <w:rPr>
                <w:b/>
                <w:sz w:val="20"/>
                <w:szCs w:val="20"/>
              </w:rPr>
              <w:t xml:space="preserve"> questions</w:t>
            </w:r>
          </w:p>
        </w:tc>
        <w:tc>
          <w:tcPr>
            <w:tcW w:w="3136" w:type="dxa"/>
            <w:tcBorders>
              <w:bottom w:val="single" w:sz="4" w:space="0" w:color="000000"/>
            </w:tcBorders>
            <w:shd w:val="clear" w:color="auto" w:fill="F2F2F2"/>
            <w:vAlign w:val="center"/>
          </w:tcPr>
          <w:p w:rsidR="00B84CF4" w:rsidRDefault="00B84CF4" w:rsidP="00B84CF4">
            <w:pPr>
              <w:pBdr>
                <w:top w:val="nil"/>
                <w:left w:val="nil"/>
                <w:bottom w:val="nil"/>
                <w:right w:val="nil"/>
                <w:between w:val="nil"/>
              </w:pBdr>
              <w:jc w:val="left"/>
              <w:rPr>
                <w:b/>
                <w:color w:val="000000"/>
              </w:rPr>
            </w:pPr>
            <w:r w:rsidRPr="009974B9">
              <w:rPr>
                <w:b/>
                <w:sz w:val="20"/>
                <w:szCs w:val="20"/>
              </w:rPr>
              <w:t>Subject</w:t>
            </w:r>
          </w:p>
        </w:tc>
      </w:tr>
      <w:tr w:rsidR="00B84CF4" w:rsidTr="00B84CF4">
        <w:tc>
          <w:tcPr>
            <w:tcW w:w="1560" w:type="dxa"/>
            <w:tcBorders>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lastRenderedPageBreak/>
              <w:t>Figure</w:t>
            </w:r>
          </w:p>
        </w:tc>
        <w:tc>
          <w:tcPr>
            <w:tcW w:w="3450" w:type="dxa"/>
            <w:tcBorders>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 xml:space="preserve">Graphic, Table, Verbal, </w:t>
            </w:r>
            <w:r>
              <w:rPr>
                <w:sz w:val="20"/>
                <w:szCs w:val="20"/>
              </w:rPr>
              <w:t xml:space="preserve">and </w:t>
            </w:r>
            <w:r w:rsidRPr="00FE7716">
              <w:rPr>
                <w:sz w:val="20"/>
                <w:szCs w:val="20"/>
              </w:rPr>
              <w:t>Algebraic</w:t>
            </w:r>
          </w:p>
        </w:tc>
        <w:tc>
          <w:tcPr>
            <w:tcW w:w="3136" w:type="dxa"/>
            <w:tcBorders>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Constant speed mo</w:t>
            </w:r>
            <w:r>
              <w:rPr>
                <w:sz w:val="20"/>
                <w:szCs w:val="20"/>
              </w:rPr>
              <w:t>tion</w:t>
            </w:r>
          </w:p>
        </w:tc>
      </w:tr>
      <w:tr w:rsidR="00B84CF4" w:rsidTr="00B84CF4">
        <w:tc>
          <w:tcPr>
            <w:tcW w:w="1560" w:type="dxa"/>
            <w:tcBorders>
              <w:top w:val="nil"/>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Graphic</w:t>
            </w:r>
          </w:p>
        </w:tc>
        <w:tc>
          <w:tcPr>
            <w:tcW w:w="3450" w:type="dxa"/>
            <w:tcBorders>
              <w:top w:val="nil"/>
              <w:bottom w:val="nil"/>
            </w:tcBorders>
            <w:shd w:val="clear" w:color="auto" w:fill="auto"/>
          </w:tcPr>
          <w:p w:rsidR="00B84CF4" w:rsidRPr="00FE7716" w:rsidRDefault="00B84CF4" w:rsidP="00B84CF4">
            <w:pPr>
              <w:jc w:val="left"/>
              <w:rPr>
                <w:sz w:val="20"/>
                <w:szCs w:val="20"/>
              </w:rPr>
            </w:pPr>
            <w:r w:rsidRPr="00FE7716">
              <w:rPr>
                <w:sz w:val="20"/>
                <w:szCs w:val="20"/>
              </w:rPr>
              <w:t>Figure, Table, Verbal</w:t>
            </w:r>
            <w:r>
              <w:rPr>
                <w:sz w:val="20"/>
                <w:szCs w:val="20"/>
              </w:rPr>
              <w:t>,</w:t>
            </w:r>
            <w:r w:rsidRPr="00FE7716">
              <w:rPr>
                <w:sz w:val="20"/>
                <w:szCs w:val="20"/>
              </w:rPr>
              <w:t xml:space="preserve"> </w:t>
            </w:r>
            <w:r>
              <w:rPr>
                <w:sz w:val="20"/>
                <w:szCs w:val="20"/>
              </w:rPr>
              <w:t xml:space="preserve">and </w:t>
            </w:r>
            <w:r w:rsidRPr="00FE7716">
              <w:rPr>
                <w:sz w:val="20"/>
                <w:szCs w:val="20"/>
              </w:rPr>
              <w:t>Algebraic</w:t>
            </w:r>
          </w:p>
        </w:tc>
        <w:tc>
          <w:tcPr>
            <w:tcW w:w="3136" w:type="dxa"/>
            <w:tcBorders>
              <w:top w:val="nil"/>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Vertical mo</w:t>
            </w:r>
            <w:r>
              <w:rPr>
                <w:sz w:val="20"/>
                <w:szCs w:val="20"/>
              </w:rPr>
              <w:t>tion</w:t>
            </w:r>
          </w:p>
        </w:tc>
      </w:tr>
      <w:tr w:rsidR="00B84CF4" w:rsidTr="00B84CF4">
        <w:tc>
          <w:tcPr>
            <w:tcW w:w="1560" w:type="dxa"/>
            <w:tcBorders>
              <w:top w:val="nil"/>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Table</w:t>
            </w:r>
          </w:p>
        </w:tc>
        <w:tc>
          <w:tcPr>
            <w:tcW w:w="3450" w:type="dxa"/>
            <w:tcBorders>
              <w:top w:val="nil"/>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Figure, Graphic, Verbal, Algebraic</w:t>
            </w:r>
          </w:p>
        </w:tc>
        <w:tc>
          <w:tcPr>
            <w:tcW w:w="3136" w:type="dxa"/>
            <w:tcBorders>
              <w:top w:val="nil"/>
              <w:bottom w:val="nil"/>
            </w:tcBorders>
            <w:shd w:val="clear" w:color="auto" w:fill="auto"/>
          </w:tcPr>
          <w:p w:rsidR="00B84CF4" w:rsidRPr="00FE7716" w:rsidRDefault="00B84CF4" w:rsidP="00B84CF4">
            <w:pPr>
              <w:jc w:val="left"/>
              <w:rPr>
                <w:sz w:val="20"/>
                <w:szCs w:val="20"/>
              </w:rPr>
            </w:pPr>
            <w:r w:rsidRPr="00FE7716">
              <w:rPr>
                <w:sz w:val="20"/>
                <w:szCs w:val="20"/>
              </w:rPr>
              <w:t>Free fall</w:t>
            </w:r>
          </w:p>
        </w:tc>
      </w:tr>
      <w:tr w:rsidR="00B84CF4" w:rsidTr="00B84CF4">
        <w:tc>
          <w:tcPr>
            <w:tcW w:w="1560" w:type="dxa"/>
            <w:tcBorders>
              <w:top w:val="nil"/>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Verbal</w:t>
            </w:r>
          </w:p>
        </w:tc>
        <w:tc>
          <w:tcPr>
            <w:tcW w:w="3450" w:type="dxa"/>
            <w:tcBorders>
              <w:top w:val="nil"/>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Figure, Graphic, Table, Algebraic</w:t>
            </w:r>
          </w:p>
        </w:tc>
        <w:tc>
          <w:tcPr>
            <w:tcW w:w="3136" w:type="dxa"/>
            <w:tcBorders>
              <w:top w:val="nil"/>
              <w:bottom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Motion with constant acceleration</w:t>
            </w:r>
          </w:p>
        </w:tc>
      </w:tr>
      <w:tr w:rsidR="00B84CF4" w:rsidTr="00B84CF4">
        <w:tc>
          <w:tcPr>
            <w:tcW w:w="1560" w:type="dxa"/>
            <w:tcBorders>
              <w:top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Algebraic</w:t>
            </w:r>
          </w:p>
        </w:tc>
        <w:tc>
          <w:tcPr>
            <w:tcW w:w="3450" w:type="dxa"/>
            <w:tcBorders>
              <w:top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Figure, Graphic, Table, Verbal</w:t>
            </w:r>
          </w:p>
        </w:tc>
        <w:tc>
          <w:tcPr>
            <w:tcW w:w="3136" w:type="dxa"/>
            <w:tcBorders>
              <w:top w:val="nil"/>
            </w:tcBorders>
            <w:shd w:val="clear" w:color="auto" w:fill="auto"/>
            <w:vAlign w:val="center"/>
          </w:tcPr>
          <w:p w:rsidR="00B84CF4" w:rsidRDefault="00B84CF4" w:rsidP="00B84CF4">
            <w:pPr>
              <w:pBdr>
                <w:top w:val="nil"/>
                <w:left w:val="nil"/>
                <w:bottom w:val="nil"/>
                <w:right w:val="nil"/>
                <w:between w:val="nil"/>
              </w:pBdr>
              <w:jc w:val="left"/>
              <w:rPr>
                <w:color w:val="000000"/>
              </w:rPr>
            </w:pPr>
            <w:r w:rsidRPr="00FE7716">
              <w:rPr>
                <w:sz w:val="20"/>
                <w:szCs w:val="20"/>
              </w:rPr>
              <w:t>Free fall</w:t>
            </w:r>
          </w:p>
        </w:tc>
      </w:tr>
    </w:tbl>
    <w:p w:rsidR="00054EA3" w:rsidRDefault="00054EA3" w:rsidP="00A62631">
      <w:pPr>
        <w:spacing w:line="360" w:lineRule="auto"/>
      </w:pPr>
    </w:p>
    <w:p w:rsidR="00A62631" w:rsidRDefault="00A62631" w:rsidP="00A62631">
      <w:pPr>
        <w:pBdr>
          <w:top w:val="nil"/>
          <w:left w:val="nil"/>
          <w:bottom w:val="nil"/>
          <w:right w:val="nil"/>
          <w:between w:val="nil"/>
        </w:pBdr>
        <w:ind w:firstLine="720"/>
        <w:rPr>
          <w:noProof/>
          <w:lang w:val="tr-TR"/>
        </w:rPr>
      </w:pPr>
      <w:r w:rsidRPr="00A62631">
        <w:rPr>
          <w:color w:val="000000"/>
        </w:rPr>
        <w:t>The questionnaire utilized in this study began by collecting demographic information such as participants’ gender and grade level. Subsequently, participants were provided with instructions outlining the purpose of the questionnaire, the content of the test, and guidance on how to respond to the test items. The questionnaire consisted of questions that presented a figure, graph, table, verbal explanation, or algebraic expression, followed by subsequent questions. For each explanation, four questions were presented to prompt the transformation of the given information into other representation types. Specifically, in the case of transforming from graphical representation to other forms, Figure 1 displays the explanations and translation questions utilized. Ample space was provided beneath each question to allow participants to write their responses. The questionnaire spanned four pages and was administered to the students.</w:t>
      </w:r>
      <w:r w:rsidRPr="00A62631">
        <w:rPr>
          <w:noProof/>
          <w:lang w:val="tr-TR"/>
        </w:rPr>
        <w:t xml:space="preserve"> </w:t>
      </w:r>
    </w:p>
    <w:p w:rsidR="00A74BD3" w:rsidRPr="00A62631" w:rsidRDefault="00A74BD3" w:rsidP="00A74BD3">
      <w:pPr>
        <w:pBdr>
          <w:top w:val="nil"/>
          <w:left w:val="nil"/>
          <w:bottom w:val="nil"/>
          <w:right w:val="nil"/>
          <w:between w:val="nil"/>
        </w:pBdr>
        <w:rPr>
          <w:color w:val="000000"/>
        </w:rPr>
      </w:pPr>
      <w:r>
        <w:rPr>
          <w:noProof/>
          <w:lang w:val="tr-TR"/>
        </w:rPr>
        <w:drawing>
          <wp:inline distT="0" distB="0" distL="0" distR="0" wp14:anchorId="74D8C97F" wp14:editId="59062A5D">
            <wp:extent cx="5372772" cy="174307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6811" t="39532" r="26975" b="33800"/>
                    <a:stretch/>
                  </pic:blipFill>
                  <pic:spPr bwMode="auto">
                    <a:xfrm>
                      <a:off x="0" y="0"/>
                      <a:ext cx="5427361" cy="1760785"/>
                    </a:xfrm>
                    <a:prstGeom prst="rect">
                      <a:avLst/>
                    </a:prstGeom>
                    <a:ln>
                      <a:noFill/>
                    </a:ln>
                    <a:extLst>
                      <a:ext uri="{53640926-AAD7-44D8-BBD7-CCE9431645EC}">
                        <a14:shadowObscured xmlns:a14="http://schemas.microsoft.com/office/drawing/2010/main"/>
                      </a:ext>
                    </a:extLst>
                  </pic:spPr>
                </pic:pic>
              </a:graphicData>
            </a:graphic>
          </wp:inline>
        </w:drawing>
      </w:r>
    </w:p>
    <w:p w:rsidR="00A62631" w:rsidRDefault="00A62631" w:rsidP="00A74BD3">
      <w:pPr>
        <w:spacing w:line="240" w:lineRule="auto"/>
      </w:pPr>
      <w:r w:rsidRPr="00A74BD3">
        <w:rPr>
          <w:b/>
        </w:rPr>
        <w:t>Figure 1</w:t>
      </w:r>
      <w:r w:rsidRPr="00147776">
        <w:t xml:space="preserve"> The question prepared for the transformation from graphic representation to other representations in the data collection tool</w:t>
      </w:r>
      <w:r w:rsidRPr="00057741">
        <w:t xml:space="preserve"> </w:t>
      </w:r>
    </w:p>
    <w:p w:rsidR="00A74BD3" w:rsidRDefault="00A74BD3" w:rsidP="00A62631">
      <w:pPr>
        <w:pBdr>
          <w:top w:val="nil"/>
          <w:left w:val="nil"/>
          <w:bottom w:val="nil"/>
          <w:right w:val="nil"/>
          <w:between w:val="nil"/>
        </w:pBdr>
        <w:rPr>
          <w:b/>
          <w:color w:val="000000"/>
        </w:rPr>
      </w:pPr>
    </w:p>
    <w:p w:rsidR="00A62631" w:rsidRPr="00A62631" w:rsidRDefault="00A62631" w:rsidP="00A62631">
      <w:pPr>
        <w:pBdr>
          <w:top w:val="nil"/>
          <w:left w:val="nil"/>
          <w:bottom w:val="nil"/>
          <w:right w:val="nil"/>
          <w:between w:val="nil"/>
        </w:pBdr>
        <w:rPr>
          <w:b/>
          <w:color w:val="000000"/>
        </w:rPr>
      </w:pPr>
      <w:r w:rsidRPr="00A62631">
        <w:rPr>
          <w:b/>
          <w:color w:val="000000"/>
        </w:rPr>
        <w:t>2.3. Data collection process</w:t>
      </w:r>
    </w:p>
    <w:p w:rsidR="00A62631" w:rsidRPr="00A62631" w:rsidRDefault="00A62631" w:rsidP="00A62631">
      <w:pPr>
        <w:pBdr>
          <w:top w:val="nil"/>
          <w:left w:val="nil"/>
          <w:bottom w:val="nil"/>
          <w:right w:val="nil"/>
          <w:between w:val="nil"/>
        </w:pBdr>
        <w:ind w:firstLine="720"/>
        <w:rPr>
          <w:color w:val="000000"/>
        </w:rPr>
      </w:pPr>
      <w:r w:rsidRPr="00A62631">
        <w:rPr>
          <w:color w:val="000000"/>
        </w:rPr>
        <w:t xml:space="preserve">The data collection process for this study took one week during the spring term of the 2022-2023 academic year. The administration of the questionnaire took place within </w:t>
      </w:r>
      <w:r w:rsidRPr="00A62631">
        <w:rPr>
          <w:color w:val="000000"/>
        </w:rPr>
        <w:lastRenderedPageBreak/>
        <w:t>physics lessons, where both the physics teacher and the researcher were present throughout the data collection period. Prior to the questionnaire administration in each class, the researcher provided information to the participants regarding the study's ethical considerations. Participants were informed that their involvement in the study was voluntary, and they had the right to decline to answer any question if they desired. It was emphasized that no information exchange or communication among students was permitted during the administration. Furthermore, students were instructed to complete the questionnaire independently. The design of the questionnaire allowed for completion within 40 minutes, which corresponded to one lesson’s duration. Answer sheets were not collected from students who finished within the allotted time; instead, all answer sheets were collected at the end of the lesson.</w:t>
      </w:r>
    </w:p>
    <w:p w:rsidR="00A62631" w:rsidRPr="00887146" w:rsidRDefault="00887146" w:rsidP="00887146">
      <w:pPr>
        <w:pBdr>
          <w:top w:val="nil"/>
          <w:left w:val="nil"/>
          <w:bottom w:val="nil"/>
          <w:right w:val="nil"/>
          <w:between w:val="nil"/>
        </w:pBdr>
        <w:rPr>
          <w:b/>
          <w:color w:val="000000"/>
        </w:rPr>
      </w:pPr>
      <w:r w:rsidRPr="00887146">
        <w:rPr>
          <w:b/>
          <w:color w:val="000000"/>
        </w:rPr>
        <w:t>2.4</w:t>
      </w:r>
      <w:r w:rsidR="00A62631" w:rsidRPr="00887146">
        <w:rPr>
          <w:b/>
          <w:color w:val="000000"/>
        </w:rPr>
        <w:t xml:space="preserve"> Data Analysis </w:t>
      </w:r>
    </w:p>
    <w:p w:rsidR="00A62631" w:rsidRPr="00A62631" w:rsidRDefault="00A62631" w:rsidP="00A62631">
      <w:pPr>
        <w:pBdr>
          <w:top w:val="nil"/>
          <w:left w:val="nil"/>
          <w:bottom w:val="nil"/>
          <w:right w:val="nil"/>
          <w:between w:val="nil"/>
        </w:pBdr>
        <w:ind w:firstLine="720"/>
        <w:rPr>
          <w:color w:val="000000"/>
        </w:rPr>
      </w:pPr>
      <w:r w:rsidRPr="00A62631">
        <w:rPr>
          <w:color w:val="000000"/>
        </w:rPr>
        <w:t xml:space="preserve">In the data analysis of the study, student responses were assessed using an evaluation scale consisting of four categories, which had been previously utilized by other researchers (Başkan, 2011; Birgin, 2012). This evaluation scale consisted of the following categories: correct, partially correct, incorrect, and blank. A correct answer (3 points) was defined as an explanation that encompassed all aspects of the correct answer. A partially correct answer (2 points) included either a portion of the correct answer or an aspect of the correct answer alongside incorrect statements. An incorrect answer (1 point) referred to explanations that did not contain the correct answer and were irrelevant. Blank answers (0 points) were assigned to participants who left the answer blank or did not understand the question or know the answer. The researcher analyzed the data based on these criteria, and subsequently, a second researcher independently re-evaluated and analyzed the responses. To ensure reliability, 48 students, which accounted for 20% of the participants, </w:t>
      </w:r>
      <w:r w:rsidRPr="00A62631">
        <w:rPr>
          <w:color w:val="000000"/>
        </w:rPr>
        <w:lastRenderedPageBreak/>
        <w:t xml:space="preserve">were randomly selected and transferred to Microsoft Excel. The second researcher conducted a re-evaluation of these students’ responses. The inter-rater agreement between the two researchers was calculated using the formula [Agreement / (Agreement + Disagreement) x 100], as suggested by Miles and Huberman (1994). The result of this formula indicated an inter-rater agreement of 88.2%. Since a threshold of 70% or higher was defined as a perfect agreement, the coding was deemed reliable based on the obtained agreement percentage.   </w:t>
      </w:r>
    </w:p>
    <w:p w:rsidR="00A62631" w:rsidRPr="00A62631" w:rsidRDefault="00A62631" w:rsidP="00A62631">
      <w:pPr>
        <w:pBdr>
          <w:top w:val="nil"/>
          <w:left w:val="nil"/>
          <w:bottom w:val="nil"/>
          <w:right w:val="nil"/>
          <w:between w:val="nil"/>
        </w:pBdr>
        <w:ind w:firstLine="720"/>
        <w:rPr>
          <w:color w:val="000000"/>
        </w:rPr>
      </w:pPr>
      <w:r w:rsidRPr="00A62631">
        <w:rPr>
          <w:color w:val="000000"/>
        </w:rPr>
        <w:t xml:space="preserve">In the data analysis phase, all student results were transferred to the SPSS statistical software package. Mean and standard deviation values were calculated separately for each representation situation, both by class and overall. Additionally, the scores obtained for each translation were analyzed, and the frequencies and percentages of scores within these representations were computed. Finally, the data were analyzed based on class levels using the SPSS package. The total scores achieved by the students were evaluated, and the significance of the scores obtained in each class compared to the other classes was assessed. To determine if there was a difference between the three different classes, the statistical test “One-Way ANOVA for Related Samples (Repeated Measures)” was employed. </w:t>
      </w:r>
    </w:p>
    <w:p w:rsidR="00614770" w:rsidRDefault="00614770"/>
    <w:p w:rsidR="00614770" w:rsidRDefault="00887146">
      <w:pPr>
        <w:pStyle w:val="Balk1"/>
      </w:pPr>
      <w:r>
        <w:t>3. Results</w:t>
      </w:r>
    </w:p>
    <w:p w:rsidR="00887146" w:rsidRPr="00887146" w:rsidRDefault="00887146" w:rsidP="00887146">
      <w:pPr>
        <w:pBdr>
          <w:top w:val="nil"/>
          <w:left w:val="nil"/>
          <w:bottom w:val="nil"/>
          <w:right w:val="nil"/>
          <w:between w:val="nil"/>
        </w:pBdr>
        <w:ind w:firstLine="720"/>
        <w:rPr>
          <w:color w:val="000000"/>
        </w:rPr>
      </w:pPr>
      <w:r w:rsidRPr="00887146">
        <w:rPr>
          <w:color w:val="000000"/>
        </w:rPr>
        <w:t>The mean scores and standard deviation values for the translation of figures, tables, graphs, verbal, and algebraic representations into other representations are given in Table 2.</w:t>
      </w:r>
    </w:p>
    <w:p w:rsidR="00887146" w:rsidRDefault="00A23267" w:rsidP="00A23267">
      <w:pPr>
        <w:spacing w:line="240" w:lineRule="auto"/>
      </w:pPr>
      <w:r w:rsidRPr="00A23267">
        <w:rPr>
          <w:b/>
          <w:bCs/>
        </w:rPr>
        <w:t>Table 2</w:t>
      </w:r>
      <w:r w:rsidR="00887146" w:rsidRPr="005E20B6">
        <w:t xml:space="preserve"> Mean scores and standard deviation values for the </w:t>
      </w:r>
      <w:r w:rsidR="00887146">
        <w:t>translation</w:t>
      </w:r>
      <w:r w:rsidR="00887146" w:rsidRPr="005E20B6">
        <w:t xml:space="preserve"> of figures, tables, graphs, verbal, and algebraic representations into other representations</w:t>
      </w:r>
    </w:p>
    <w:p w:rsidR="00B84CF4" w:rsidRDefault="00B84CF4" w:rsidP="00A23267">
      <w:pPr>
        <w:spacing w:line="240" w:lineRule="auto"/>
      </w:pPr>
    </w:p>
    <w:tbl>
      <w:tblPr>
        <w:tblStyle w:val="a0"/>
        <w:tblW w:w="0" w:type="auto"/>
        <w:tblInd w:w="0" w:type="dxa"/>
        <w:tblBorders>
          <w:top w:val="single" w:sz="4" w:space="0" w:color="000000"/>
          <w:bottom w:val="single" w:sz="4" w:space="0" w:color="000000"/>
          <w:insideH w:val="single" w:sz="4" w:space="0" w:color="000000"/>
        </w:tblBorders>
        <w:tblLayout w:type="fixed"/>
        <w:tblCellMar>
          <w:left w:w="57" w:type="dxa"/>
          <w:right w:w="57" w:type="dxa"/>
        </w:tblCellMar>
        <w:tblLook w:val="0400" w:firstRow="0" w:lastRow="0" w:firstColumn="0" w:lastColumn="0" w:noHBand="0" w:noVBand="1"/>
      </w:tblPr>
      <w:tblGrid>
        <w:gridCol w:w="846"/>
        <w:gridCol w:w="454"/>
        <w:gridCol w:w="1411"/>
        <w:gridCol w:w="1412"/>
        <w:gridCol w:w="1412"/>
        <w:gridCol w:w="1412"/>
        <w:gridCol w:w="1412"/>
      </w:tblGrid>
      <w:tr w:rsidR="002D2A81" w:rsidTr="00757872">
        <w:tc>
          <w:tcPr>
            <w:tcW w:w="846" w:type="dxa"/>
            <w:tcBorders>
              <w:bottom w:val="single" w:sz="4" w:space="0" w:color="000000"/>
            </w:tcBorders>
            <w:shd w:val="clear" w:color="auto" w:fill="F2F2F2"/>
            <w:vAlign w:val="center"/>
          </w:tcPr>
          <w:p w:rsidR="002D2A81" w:rsidRDefault="002D2A81" w:rsidP="00D71D83">
            <w:pPr>
              <w:pBdr>
                <w:top w:val="nil"/>
                <w:left w:val="nil"/>
                <w:bottom w:val="nil"/>
                <w:right w:val="nil"/>
                <w:between w:val="nil"/>
              </w:pBdr>
              <w:jc w:val="left"/>
              <w:rPr>
                <w:b/>
                <w:color w:val="000000"/>
              </w:rPr>
            </w:pPr>
          </w:p>
        </w:tc>
        <w:tc>
          <w:tcPr>
            <w:tcW w:w="454" w:type="dxa"/>
            <w:tcBorders>
              <w:bottom w:val="single" w:sz="4" w:space="0" w:color="000000"/>
            </w:tcBorders>
            <w:shd w:val="clear" w:color="auto" w:fill="F2F2F2"/>
            <w:vAlign w:val="center"/>
          </w:tcPr>
          <w:p w:rsidR="002D2A81" w:rsidRDefault="002D2A81" w:rsidP="00D71D83">
            <w:pPr>
              <w:pBdr>
                <w:top w:val="nil"/>
                <w:left w:val="nil"/>
                <w:bottom w:val="nil"/>
                <w:right w:val="nil"/>
                <w:between w:val="nil"/>
              </w:pBdr>
              <w:jc w:val="left"/>
              <w:rPr>
                <w:b/>
                <w:color w:val="000000"/>
              </w:rPr>
            </w:pPr>
          </w:p>
        </w:tc>
        <w:tc>
          <w:tcPr>
            <w:tcW w:w="1411" w:type="dxa"/>
            <w:tcBorders>
              <w:bottom w:val="single" w:sz="4" w:space="0" w:color="000000"/>
            </w:tcBorders>
            <w:shd w:val="clear" w:color="auto" w:fill="F2F2F2"/>
            <w:vAlign w:val="center"/>
          </w:tcPr>
          <w:p w:rsidR="002D2A81" w:rsidRDefault="002D2A81" w:rsidP="00D71D83">
            <w:pPr>
              <w:pBdr>
                <w:top w:val="nil"/>
                <w:left w:val="nil"/>
                <w:bottom w:val="nil"/>
                <w:right w:val="nil"/>
                <w:between w:val="nil"/>
              </w:pBdr>
              <w:jc w:val="left"/>
              <w:rPr>
                <w:b/>
                <w:color w:val="000000"/>
              </w:rPr>
            </w:pPr>
            <w:r w:rsidRPr="00DC0CC4">
              <w:rPr>
                <w:b/>
                <w:sz w:val="20"/>
                <w:szCs w:val="20"/>
              </w:rPr>
              <w:t>Trans</w:t>
            </w:r>
            <w:r>
              <w:rPr>
                <w:b/>
                <w:sz w:val="20"/>
                <w:szCs w:val="20"/>
              </w:rPr>
              <w:t>lation</w:t>
            </w:r>
            <w:r w:rsidRPr="00DC0CC4">
              <w:rPr>
                <w:b/>
                <w:sz w:val="20"/>
                <w:szCs w:val="20"/>
              </w:rPr>
              <w:t xml:space="preserve"> from figure representation</w:t>
            </w:r>
          </w:p>
        </w:tc>
        <w:tc>
          <w:tcPr>
            <w:tcW w:w="1412" w:type="dxa"/>
            <w:tcBorders>
              <w:bottom w:val="single" w:sz="4" w:space="0" w:color="000000"/>
            </w:tcBorders>
            <w:shd w:val="clear" w:color="auto" w:fill="F2F2F2"/>
            <w:vAlign w:val="center"/>
          </w:tcPr>
          <w:p w:rsidR="002D2A81" w:rsidRDefault="002D2A81" w:rsidP="00D71D83">
            <w:pPr>
              <w:pBdr>
                <w:top w:val="nil"/>
                <w:left w:val="nil"/>
                <w:bottom w:val="nil"/>
                <w:right w:val="nil"/>
                <w:between w:val="nil"/>
              </w:pBdr>
              <w:jc w:val="left"/>
              <w:rPr>
                <w:b/>
                <w:color w:val="000000"/>
              </w:rPr>
            </w:pPr>
            <w:r w:rsidRPr="00DC0CC4">
              <w:rPr>
                <w:b/>
                <w:sz w:val="20"/>
                <w:szCs w:val="20"/>
              </w:rPr>
              <w:t>Trans</w:t>
            </w:r>
            <w:r>
              <w:rPr>
                <w:b/>
                <w:sz w:val="20"/>
                <w:szCs w:val="20"/>
              </w:rPr>
              <w:t>lation</w:t>
            </w:r>
            <w:r w:rsidRPr="00DC0CC4">
              <w:rPr>
                <w:b/>
                <w:sz w:val="20"/>
                <w:szCs w:val="20"/>
              </w:rPr>
              <w:t xml:space="preserve"> from table representation</w:t>
            </w:r>
          </w:p>
        </w:tc>
        <w:tc>
          <w:tcPr>
            <w:tcW w:w="1412" w:type="dxa"/>
            <w:tcBorders>
              <w:bottom w:val="single" w:sz="4" w:space="0" w:color="000000"/>
            </w:tcBorders>
            <w:shd w:val="clear" w:color="auto" w:fill="F2F2F2"/>
            <w:vAlign w:val="center"/>
          </w:tcPr>
          <w:p w:rsidR="002D2A81" w:rsidRDefault="002D2A81" w:rsidP="00D71D83">
            <w:pPr>
              <w:pBdr>
                <w:top w:val="nil"/>
                <w:left w:val="nil"/>
                <w:bottom w:val="nil"/>
                <w:right w:val="nil"/>
                <w:between w:val="nil"/>
              </w:pBdr>
              <w:jc w:val="left"/>
              <w:rPr>
                <w:b/>
                <w:color w:val="000000"/>
              </w:rPr>
            </w:pPr>
            <w:r w:rsidRPr="007A5759">
              <w:rPr>
                <w:b/>
                <w:sz w:val="20"/>
                <w:szCs w:val="20"/>
              </w:rPr>
              <w:t>Trans</w:t>
            </w:r>
            <w:r>
              <w:rPr>
                <w:b/>
                <w:sz w:val="20"/>
                <w:szCs w:val="20"/>
              </w:rPr>
              <w:t>lation</w:t>
            </w:r>
            <w:r w:rsidRPr="007A5759">
              <w:rPr>
                <w:b/>
                <w:sz w:val="20"/>
                <w:szCs w:val="20"/>
              </w:rPr>
              <w:t xml:space="preserve"> from graphic representation</w:t>
            </w:r>
          </w:p>
        </w:tc>
        <w:tc>
          <w:tcPr>
            <w:tcW w:w="1412" w:type="dxa"/>
            <w:tcBorders>
              <w:bottom w:val="single" w:sz="4" w:space="0" w:color="000000"/>
            </w:tcBorders>
            <w:shd w:val="clear" w:color="auto" w:fill="F2F2F2"/>
            <w:vAlign w:val="center"/>
          </w:tcPr>
          <w:p w:rsidR="002D2A81" w:rsidRDefault="002D2A81" w:rsidP="00D71D83">
            <w:pPr>
              <w:pBdr>
                <w:top w:val="nil"/>
                <w:left w:val="nil"/>
                <w:bottom w:val="nil"/>
                <w:right w:val="nil"/>
                <w:between w:val="nil"/>
              </w:pBdr>
              <w:jc w:val="left"/>
              <w:rPr>
                <w:b/>
                <w:color w:val="000000"/>
              </w:rPr>
            </w:pPr>
            <w:r w:rsidRPr="007A5759">
              <w:rPr>
                <w:b/>
                <w:sz w:val="20"/>
                <w:szCs w:val="20"/>
              </w:rPr>
              <w:t>T</w:t>
            </w:r>
            <w:r>
              <w:rPr>
                <w:b/>
                <w:sz w:val="20"/>
                <w:szCs w:val="20"/>
              </w:rPr>
              <w:t>ranslation</w:t>
            </w:r>
            <w:r w:rsidRPr="007A5759">
              <w:rPr>
                <w:b/>
                <w:sz w:val="20"/>
                <w:szCs w:val="20"/>
              </w:rPr>
              <w:t xml:space="preserve"> from verbal representation</w:t>
            </w:r>
          </w:p>
        </w:tc>
        <w:tc>
          <w:tcPr>
            <w:tcW w:w="1412" w:type="dxa"/>
            <w:tcBorders>
              <w:bottom w:val="single" w:sz="4" w:space="0" w:color="000000"/>
            </w:tcBorders>
            <w:shd w:val="clear" w:color="auto" w:fill="F2F2F2"/>
            <w:vAlign w:val="center"/>
          </w:tcPr>
          <w:p w:rsidR="002D2A81" w:rsidRDefault="002D2A81" w:rsidP="00D71D83">
            <w:pPr>
              <w:pBdr>
                <w:top w:val="nil"/>
                <w:left w:val="nil"/>
                <w:bottom w:val="nil"/>
                <w:right w:val="nil"/>
                <w:between w:val="nil"/>
              </w:pBdr>
              <w:jc w:val="left"/>
              <w:rPr>
                <w:b/>
                <w:color w:val="000000"/>
              </w:rPr>
            </w:pPr>
            <w:r w:rsidRPr="007A5759">
              <w:rPr>
                <w:b/>
                <w:sz w:val="20"/>
                <w:szCs w:val="20"/>
              </w:rPr>
              <w:t>Trans</w:t>
            </w:r>
            <w:r>
              <w:rPr>
                <w:b/>
                <w:sz w:val="20"/>
                <w:szCs w:val="20"/>
              </w:rPr>
              <w:t xml:space="preserve">lation </w:t>
            </w:r>
            <w:r w:rsidRPr="007A5759">
              <w:rPr>
                <w:b/>
                <w:sz w:val="20"/>
                <w:szCs w:val="20"/>
              </w:rPr>
              <w:t xml:space="preserve">from </w:t>
            </w:r>
            <w:r>
              <w:rPr>
                <w:b/>
                <w:sz w:val="20"/>
                <w:szCs w:val="20"/>
              </w:rPr>
              <w:t>a</w:t>
            </w:r>
            <w:r w:rsidRPr="007A5759">
              <w:rPr>
                <w:b/>
                <w:sz w:val="20"/>
                <w:szCs w:val="20"/>
              </w:rPr>
              <w:t>lgebraic</w:t>
            </w:r>
            <w:r>
              <w:rPr>
                <w:b/>
                <w:sz w:val="20"/>
                <w:szCs w:val="20"/>
              </w:rPr>
              <w:t xml:space="preserve"> </w:t>
            </w:r>
            <w:r w:rsidRPr="007A5759">
              <w:rPr>
                <w:b/>
                <w:sz w:val="20"/>
                <w:szCs w:val="20"/>
              </w:rPr>
              <w:t>representation</w:t>
            </w:r>
          </w:p>
        </w:tc>
      </w:tr>
      <w:tr w:rsidR="002D2A81" w:rsidTr="00757872">
        <w:tc>
          <w:tcPr>
            <w:tcW w:w="846" w:type="dxa"/>
            <w:vMerge w:val="restart"/>
            <w:tcBorders>
              <w:bottom w:val="nil"/>
            </w:tcBorders>
            <w:shd w:val="clear" w:color="auto" w:fill="auto"/>
            <w:vAlign w:val="center"/>
          </w:tcPr>
          <w:p w:rsidR="002D2A81" w:rsidRDefault="002D2A81" w:rsidP="002D2A81">
            <w:pPr>
              <w:pBdr>
                <w:top w:val="nil"/>
                <w:left w:val="nil"/>
                <w:bottom w:val="nil"/>
                <w:right w:val="nil"/>
                <w:between w:val="nil"/>
              </w:pBdr>
              <w:jc w:val="left"/>
              <w:rPr>
                <w:color w:val="000000"/>
              </w:rPr>
            </w:pPr>
            <w:r>
              <w:rPr>
                <w:b/>
                <w:color w:val="040C28"/>
                <w:sz w:val="20"/>
                <w:szCs w:val="20"/>
              </w:rPr>
              <w:t>9th</w:t>
            </w:r>
            <w:r w:rsidRPr="00057741">
              <w:rPr>
                <w:b/>
                <w:color w:val="040C28"/>
                <w:sz w:val="20"/>
                <w:szCs w:val="20"/>
              </w:rPr>
              <w:t xml:space="preserve"> </w:t>
            </w:r>
            <w:r>
              <w:rPr>
                <w:b/>
                <w:color w:val="040C28"/>
                <w:sz w:val="20"/>
                <w:szCs w:val="20"/>
              </w:rPr>
              <w:t>grade</w:t>
            </w:r>
          </w:p>
        </w:tc>
        <w:tc>
          <w:tcPr>
            <w:tcW w:w="454" w:type="dxa"/>
            <w:tcBorders>
              <w:bottom w:val="nil"/>
            </w:tcBorders>
            <w:shd w:val="clear" w:color="auto" w:fill="auto"/>
          </w:tcPr>
          <w:p w:rsidR="002D2A81" w:rsidRPr="00057741" w:rsidRDefault="002D2A81" w:rsidP="002D2A81">
            <w:pPr>
              <w:rPr>
                <w:b/>
                <w:i/>
                <w:color w:val="040C28"/>
                <w:sz w:val="20"/>
                <w:szCs w:val="20"/>
              </w:rPr>
            </w:pPr>
            <w:r w:rsidRPr="00057741">
              <w:rPr>
                <w:b/>
                <w:i/>
                <w:color w:val="040C28"/>
                <w:sz w:val="20"/>
                <w:szCs w:val="20"/>
              </w:rPr>
              <w:t>x̄</w:t>
            </w:r>
          </w:p>
        </w:tc>
        <w:tc>
          <w:tcPr>
            <w:tcW w:w="1411" w:type="dxa"/>
            <w:tcBorders>
              <w:bottom w:val="nil"/>
            </w:tcBorders>
            <w:shd w:val="clear" w:color="auto" w:fill="auto"/>
          </w:tcPr>
          <w:p w:rsidR="002D2A81" w:rsidRPr="00057741" w:rsidRDefault="003F057C" w:rsidP="002D2A81">
            <w:pPr>
              <w:jc w:val="center"/>
              <w:rPr>
                <w:sz w:val="20"/>
                <w:szCs w:val="20"/>
              </w:rPr>
            </w:pPr>
            <w:r>
              <w:rPr>
                <w:sz w:val="20"/>
                <w:szCs w:val="20"/>
              </w:rPr>
              <w:t>7.</w:t>
            </w:r>
            <w:r w:rsidR="002D2A81" w:rsidRPr="00057741">
              <w:rPr>
                <w:sz w:val="20"/>
                <w:szCs w:val="20"/>
              </w:rPr>
              <w:t>321</w:t>
            </w:r>
          </w:p>
        </w:tc>
        <w:tc>
          <w:tcPr>
            <w:tcW w:w="1412" w:type="dxa"/>
            <w:tcBorders>
              <w:bottom w:val="nil"/>
            </w:tcBorders>
            <w:shd w:val="clear" w:color="auto" w:fill="auto"/>
          </w:tcPr>
          <w:p w:rsidR="002D2A81" w:rsidRPr="00057741" w:rsidRDefault="003F057C" w:rsidP="002D2A81">
            <w:pPr>
              <w:jc w:val="center"/>
              <w:rPr>
                <w:sz w:val="20"/>
                <w:szCs w:val="20"/>
              </w:rPr>
            </w:pPr>
            <w:r>
              <w:rPr>
                <w:sz w:val="20"/>
                <w:szCs w:val="20"/>
              </w:rPr>
              <w:t>5.</w:t>
            </w:r>
            <w:r w:rsidR="002D2A81" w:rsidRPr="00057741">
              <w:rPr>
                <w:sz w:val="20"/>
                <w:szCs w:val="20"/>
              </w:rPr>
              <w:t>059</w:t>
            </w:r>
          </w:p>
        </w:tc>
        <w:tc>
          <w:tcPr>
            <w:tcW w:w="1412" w:type="dxa"/>
            <w:tcBorders>
              <w:bottom w:val="nil"/>
            </w:tcBorders>
            <w:shd w:val="clear" w:color="auto" w:fill="auto"/>
          </w:tcPr>
          <w:p w:rsidR="002D2A81" w:rsidRPr="00057741" w:rsidRDefault="002D2A81" w:rsidP="003F057C">
            <w:pPr>
              <w:jc w:val="center"/>
              <w:rPr>
                <w:sz w:val="20"/>
                <w:szCs w:val="20"/>
              </w:rPr>
            </w:pPr>
            <w:r w:rsidRPr="00057741">
              <w:rPr>
                <w:sz w:val="20"/>
                <w:szCs w:val="20"/>
              </w:rPr>
              <w:t>4</w:t>
            </w:r>
            <w:r w:rsidR="003F057C">
              <w:rPr>
                <w:sz w:val="20"/>
                <w:szCs w:val="20"/>
              </w:rPr>
              <w:t>.</w:t>
            </w:r>
            <w:r w:rsidRPr="00057741">
              <w:rPr>
                <w:sz w:val="20"/>
                <w:szCs w:val="20"/>
              </w:rPr>
              <w:t>678</w:t>
            </w:r>
          </w:p>
        </w:tc>
        <w:tc>
          <w:tcPr>
            <w:tcW w:w="1412" w:type="dxa"/>
            <w:tcBorders>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714</w:t>
            </w:r>
          </w:p>
        </w:tc>
        <w:tc>
          <w:tcPr>
            <w:tcW w:w="1412" w:type="dxa"/>
            <w:tcBorders>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702</w:t>
            </w:r>
          </w:p>
        </w:tc>
      </w:tr>
      <w:tr w:rsidR="002D2A81" w:rsidTr="00757872">
        <w:tc>
          <w:tcPr>
            <w:tcW w:w="846" w:type="dxa"/>
            <w:vMerge/>
            <w:tcBorders>
              <w:top w:val="nil"/>
              <w:bottom w:val="nil"/>
            </w:tcBorders>
            <w:shd w:val="clear" w:color="auto" w:fill="auto"/>
            <w:vAlign w:val="center"/>
          </w:tcPr>
          <w:p w:rsidR="002D2A81" w:rsidRDefault="002D2A81" w:rsidP="002D2A81">
            <w:pPr>
              <w:pBdr>
                <w:top w:val="nil"/>
                <w:left w:val="nil"/>
                <w:bottom w:val="nil"/>
                <w:right w:val="nil"/>
                <w:between w:val="nil"/>
              </w:pBdr>
              <w:jc w:val="left"/>
              <w:rPr>
                <w:color w:val="000000"/>
              </w:rPr>
            </w:pPr>
          </w:p>
        </w:tc>
        <w:tc>
          <w:tcPr>
            <w:tcW w:w="454" w:type="dxa"/>
            <w:tcBorders>
              <w:top w:val="nil"/>
              <w:bottom w:val="nil"/>
            </w:tcBorders>
            <w:shd w:val="clear" w:color="auto" w:fill="auto"/>
          </w:tcPr>
          <w:p w:rsidR="002D2A81" w:rsidRPr="00057741" w:rsidRDefault="002D2A81" w:rsidP="002D2A81">
            <w:pPr>
              <w:rPr>
                <w:b/>
                <w:color w:val="040C28"/>
                <w:sz w:val="20"/>
                <w:szCs w:val="20"/>
              </w:rPr>
            </w:pPr>
            <w:r w:rsidRPr="00057741">
              <w:rPr>
                <w:b/>
                <w:color w:val="040C28"/>
                <w:sz w:val="20"/>
                <w:szCs w:val="20"/>
              </w:rPr>
              <w:t>S</w:t>
            </w:r>
            <w:r>
              <w:rPr>
                <w:b/>
                <w:color w:val="040C28"/>
                <w:sz w:val="20"/>
                <w:szCs w:val="20"/>
              </w:rPr>
              <w:t>d</w:t>
            </w:r>
          </w:p>
        </w:tc>
        <w:tc>
          <w:tcPr>
            <w:tcW w:w="1411"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151</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1.</w:t>
            </w:r>
            <w:r w:rsidR="002D2A81" w:rsidRPr="00057741">
              <w:rPr>
                <w:sz w:val="20"/>
                <w:szCs w:val="20"/>
              </w:rPr>
              <w:t>751</w:t>
            </w:r>
          </w:p>
        </w:tc>
        <w:tc>
          <w:tcPr>
            <w:tcW w:w="1412" w:type="dxa"/>
            <w:tcBorders>
              <w:top w:val="nil"/>
              <w:bottom w:val="nil"/>
            </w:tcBorders>
            <w:shd w:val="clear" w:color="auto" w:fill="auto"/>
          </w:tcPr>
          <w:p w:rsidR="002D2A81" w:rsidRPr="00057741" w:rsidRDefault="002D2A81" w:rsidP="003F057C">
            <w:pPr>
              <w:jc w:val="center"/>
              <w:rPr>
                <w:sz w:val="20"/>
                <w:szCs w:val="20"/>
              </w:rPr>
            </w:pPr>
            <w:r w:rsidRPr="00057741">
              <w:rPr>
                <w:sz w:val="20"/>
                <w:szCs w:val="20"/>
              </w:rPr>
              <w:t>2</w:t>
            </w:r>
            <w:r w:rsidR="003F057C">
              <w:rPr>
                <w:sz w:val="20"/>
                <w:szCs w:val="20"/>
              </w:rPr>
              <w:t>.</w:t>
            </w:r>
            <w:r w:rsidRPr="00057741">
              <w:rPr>
                <w:sz w:val="20"/>
                <w:szCs w:val="20"/>
              </w:rPr>
              <w:t>415</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397</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3.</w:t>
            </w:r>
            <w:r w:rsidR="002D2A81" w:rsidRPr="00057741">
              <w:rPr>
                <w:sz w:val="20"/>
                <w:szCs w:val="20"/>
              </w:rPr>
              <w:t>176</w:t>
            </w:r>
          </w:p>
        </w:tc>
      </w:tr>
      <w:tr w:rsidR="002D2A81" w:rsidTr="00757872">
        <w:tc>
          <w:tcPr>
            <w:tcW w:w="846" w:type="dxa"/>
            <w:vMerge w:val="restart"/>
            <w:tcBorders>
              <w:top w:val="nil"/>
              <w:bottom w:val="nil"/>
            </w:tcBorders>
            <w:shd w:val="clear" w:color="auto" w:fill="auto"/>
            <w:vAlign w:val="center"/>
          </w:tcPr>
          <w:p w:rsidR="002D2A81" w:rsidRDefault="002D2A81" w:rsidP="002D2A81">
            <w:pPr>
              <w:pBdr>
                <w:top w:val="nil"/>
                <w:left w:val="nil"/>
                <w:bottom w:val="nil"/>
                <w:right w:val="nil"/>
                <w:between w:val="nil"/>
              </w:pBdr>
              <w:jc w:val="left"/>
              <w:rPr>
                <w:color w:val="000000"/>
              </w:rPr>
            </w:pPr>
            <w:r>
              <w:rPr>
                <w:b/>
                <w:color w:val="040C28"/>
                <w:sz w:val="20"/>
                <w:szCs w:val="20"/>
              </w:rPr>
              <w:t>10</w:t>
            </w:r>
            <w:r w:rsidRPr="002D2A81">
              <w:rPr>
                <w:b/>
                <w:color w:val="040C28"/>
                <w:sz w:val="20"/>
                <w:szCs w:val="20"/>
                <w:vertAlign w:val="superscript"/>
              </w:rPr>
              <w:t>th</w:t>
            </w:r>
            <w:r>
              <w:rPr>
                <w:b/>
                <w:color w:val="040C28"/>
                <w:sz w:val="20"/>
                <w:szCs w:val="20"/>
              </w:rPr>
              <w:t xml:space="preserve"> </w:t>
            </w:r>
            <w:r>
              <w:rPr>
                <w:b/>
                <w:color w:val="040C28"/>
                <w:sz w:val="20"/>
                <w:szCs w:val="20"/>
              </w:rPr>
              <w:t>grade</w:t>
            </w:r>
          </w:p>
        </w:tc>
        <w:tc>
          <w:tcPr>
            <w:tcW w:w="454" w:type="dxa"/>
            <w:tcBorders>
              <w:top w:val="nil"/>
              <w:bottom w:val="nil"/>
            </w:tcBorders>
            <w:shd w:val="clear" w:color="auto" w:fill="auto"/>
          </w:tcPr>
          <w:p w:rsidR="002D2A81" w:rsidRPr="00057741" w:rsidRDefault="002D2A81" w:rsidP="002D2A81">
            <w:pPr>
              <w:rPr>
                <w:b/>
                <w:i/>
                <w:color w:val="040C28"/>
                <w:sz w:val="20"/>
                <w:szCs w:val="20"/>
              </w:rPr>
            </w:pPr>
            <w:r w:rsidRPr="00057741">
              <w:rPr>
                <w:b/>
                <w:i/>
                <w:color w:val="040C28"/>
                <w:sz w:val="20"/>
                <w:szCs w:val="20"/>
              </w:rPr>
              <w:t>x̄</w:t>
            </w:r>
          </w:p>
        </w:tc>
        <w:tc>
          <w:tcPr>
            <w:tcW w:w="1411" w:type="dxa"/>
            <w:tcBorders>
              <w:top w:val="nil"/>
              <w:bottom w:val="nil"/>
            </w:tcBorders>
            <w:shd w:val="clear" w:color="auto" w:fill="auto"/>
          </w:tcPr>
          <w:p w:rsidR="002D2A81" w:rsidRPr="00057741" w:rsidRDefault="002D2A81" w:rsidP="003F057C">
            <w:pPr>
              <w:jc w:val="center"/>
              <w:rPr>
                <w:sz w:val="20"/>
                <w:szCs w:val="20"/>
              </w:rPr>
            </w:pPr>
            <w:r w:rsidRPr="00057741">
              <w:rPr>
                <w:sz w:val="20"/>
                <w:szCs w:val="20"/>
              </w:rPr>
              <w:t>7</w:t>
            </w:r>
            <w:r w:rsidR="003F057C">
              <w:rPr>
                <w:sz w:val="20"/>
                <w:szCs w:val="20"/>
              </w:rPr>
              <w:t>.</w:t>
            </w:r>
            <w:r w:rsidRPr="00057741">
              <w:rPr>
                <w:sz w:val="20"/>
                <w:szCs w:val="20"/>
              </w:rPr>
              <w:t>208</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5.</w:t>
            </w:r>
            <w:r w:rsidR="002D2A81" w:rsidRPr="00057741">
              <w:rPr>
                <w:sz w:val="20"/>
                <w:szCs w:val="20"/>
              </w:rPr>
              <w:t>330</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5.</w:t>
            </w:r>
            <w:r w:rsidR="002D2A81" w:rsidRPr="00057741">
              <w:rPr>
                <w:sz w:val="20"/>
                <w:szCs w:val="20"/>
              </w:rPr>
              <w:t>490</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320</w:t>
            </w:r>
          </w:p>
        </w:tc>
        <w:tc>
          <w:tcPr>
            <w:tcW w:w="1412" w:type="dxa"/>
            <w:tcBorders>
              <w:top w:val="nil"/>
              <w:bottom w:val="nil"/>
            </w:tcBorders>
            <w:shd w:val="clear" w:color="auto" w:fill="auto"/>
          </w:tcPr>
          <w:p w:rsidR="002D2A81" w:rsidRPr="00057741" w:rsidRDefault="002D2A81" w:rsidP="003F057C">
            <w:pPr>
              <w:jc w:val="center"/>
              <w:rPr>
                <w:sz w:val="20"/>
                <w:szCs w:val="20"/>
              </w:rPr>
            </w:pPr>
            <w:r w:rsidRPr="00057741">
              <w:rPr>
                <w:sz w:val="20"/>
                <w:szCs w:val="20"/>
              </w:rPr>
              <w:t>3</w:t>
            </w:r>
            <w:r w:rsidR="003F057C">
              <w:rPr>
                <w:sz w:val="20"/>
                <w:szCs w:val="20"/>
              </w:rPr>
              <w:t>.</w:t>
            </w:r>
            <w:r w:rsidRPr="00057741">
              <w:rPr>
                <w:sz w:val="20"/>
                <w:szCs w:val="20"/>
              </w:rPr>
              <w:t>358</w:t>
            </w:r>
          </w:p>
        </w:tc>
      </w:tr>
      <w:tr w:rsidR="002D2A81" w:rsidTr="00757872">
        <w:tc>
          <w:tcPr>
            <w:tcW w:w="846" w:type="dxa"/>
            <w:vMerge/>
            <w:tcBorders>
              <w:top w:val="nil"/>
              <w:bottom w:val="nil"/>
            </w:tcBorders>
            <w:shd w:val="clear" w:color="auto" w:fill="auto"/>
            <w:vAlign w:val="center"/>
          </w:tcPr>
          <w:p w:rsidR="002D2A81" w:rsidRDefault="002D2A81" w:rsidP="002D2A81">
            <w:pPr>
              <w:pBdr>
                <w:top w:val="nil"/>
                <w:left w:val="nil"/>
                <w:bottom w:val="nil"/>
                <w:right w:val="nil"/>
                <w:between w:val="nil"/>
              </w:pBdr>
              <w:jc w:val="left"/>
              <w:rPr>
                <w:color w:val="000000"/>
              </w:rPr>
            </w:pPr>
          </w:p>
        </w:tc>
        <w:tc>
          <w:tcPr>
            <w:tcW w:w="454" w:type="dxa"/>
            <w:tcBorders>
              <w:top w:val="nil"/>
              <w:bottom w:val="nil"/>
            </w:tcBorders>
            <w:shd w:val="clear" w:color="auto" w:fill="auto"/>
          </w:tcPr>
          <w:p w:rsidR="002D2A81" w:rsidRPr="00057741" w:rsidRDefault="002D2A81" w:rsidP="002D2A81">
            <w:pPr>
              <w:rPr>
                <w:b/>
                <w:color w:val="040C28"/>
                <w:sz w:val="20"/>
                <w:szCs w:val="20"/>
              </w:rPr>
            </w:pPr>
            <w:r w:rsidRPr="00057741">
              <w:rPr>
                <w:b/>
                <w:color w:val="040C28"/>
                <w:sz w:val="20"/>
                <w:szCs w:val="20"/>
              </w:rPr>
              <w:t>S</w:t>
            </w:r>
            <w:r>
              <w:rPr>
                <w:b/>
                <w:color w:val="040C28"/>
                <w:sz w:val="20"/>
                <w:szCs w:val="20"/>
              </w:rPr>
              <w:t>d</w:t>
            </w:r>
          </w:p>
        </w:tc>
        <w:tc>
          <w:tcPr>
            <w:tcW w:w="1411"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433</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069</w:t>
            </w:r>
          </w:p>
        </w:tc>
        <w:tc>
          <w:tcPr>
            <w:tcW w:w="1412" w:type="dxa"/>
            <w:tcBorders>
              <w:top w:val="nil"/>
              <w:bottom w:val="nil"/>
            </w:tcBorders>
            <w:shd w:val="clear" w:color="auto" w:fill="auto"/>
          </w:tcPr>
          <w:p w:rsidR="002D2A81" w:rsidRPr="00057741" w:rsidRDefault="002D2A81" w:rsidP="003F057C">
            <w:pPr>
              <w:jc w:val="center"/>
              <w:rPr>
                <w:sz w:val="20"/>
                <w:szCs w:val="20"/>
              </w:rPr>
            </w:pPr>
            <w:r w:rsidRPr="00057741">
              <w:rPr>
                <w:sz w:val="20"/>
                <w:szCs w:val="20"/>
              </w:rPr>
              <w:t>2</w:t>
            </w:r>
            <w:r w:rsidR="003F057C">
              <w:rPr>
                <w:sz w:val="20"/>
                <w:szCs w:val="20"/>
              </w:rPr>
              <w:t>.</w:t>
            </w:r>
            <w:r w:rsidRPr="00057741">
              <w:rPr>
                <w:sz w:val="20"/>
                <w:szCs w:val="20"/>
              </w:rPr>
              <w:t>889</w:t>
            </w:r>
          </w:p>
        </w:tc>
        <w:tc>
          <w:tcPr>
            <w:tcW w:w="1412" w:type="dxa"/>
            <w:tcBorders>
              <w:top w:val="nil"/>
              <w:bottom w:val="nil"/>
            </w:tcBorders>
            <w:shd w:val="clear" w:color="auto" w:fill="auto"/>
          </w:tcPr>
          <w:p w:rsidR="002D2A81" w:rsidRPr="00057741" w:rsidRDefault="002D2A81" w:rsidP="003F057C">
            <w:pPr>
              <w:jc w:val="center"/>
              <w:rPr>
                <w:sz w:val="20"/>
                <w:szCs w:val="20"/>
              </w:rPr>
            </w:pPr>
            <w:r w:rsidRPr="00057741">
              <w:rPr>
                <w:sz w:val="20"/>
                <w:szCs w:val="20"/>
              </w:rPr>
              <w:t>2</w:t>
            </w:r>
            <w:r w:rsidR="003F057C">
              <w:rPr>
                <w:sz w:val="20"/>
                <w:szCs w:val="20"/>
              </w:rPr>
              <w:t>.</w:t>
            </w:r>
            <w:r w:rsidRPr="00057741">
              <w:rPr>
                <w:sz w:val="20"/>
                <w:szCs w:val="20"/>
              </w:rPr>
              <w:t>299</w:t>
            </w:r>
          </w:p>
        </w:tc>
        <w:tc>
          <w:tcPr>
            <w:tcW w:w="1412" w:type="dxa"/>
            <w:tcBorders>
              <w:top w:val="nil"/>
              <w:bottom w:val="nil"/>
            </w:tcBorders>
            <w:shd w:val="clear" w:color="auto" w:fill="auto"/>
          </w:tcPr>
          <w:p w:rsidR="002D2A81" w:rsidRPr="00057741" w:rsidRDefault="002D2A81" w:rsidP="003F057C">
            <w:pPr>
              <w:jc w:val="center"/>
              <w:rPr>
                <w:sz w:val="20"/>
                <w:szCs w:val="20"/>
              </w:rPr>
            </w:pPr>
            <w:r w:rsidRPr="00057741">
              <w:rPr>
                <w:sz w:val="20"/>
                <w:szCs w:val="20"/>
              </w:rPr>
              <w:t>4</w:t>
            </w:r>
            <w:r w:rsidR="003F057C">
              <w:rPr>
                <w:sz w:val="20"/>
                <w:szCs w:val="20"/>
              </w:rPr>
              <w:t>.</w:t>
            </w:r>
            <w:r w:rsidRPr="00057741">
              <w:rPr>
                <w:sz w:val="20"/>
                <w:szCs w:val="20"/>
              </w:rPr>
              <w:t>269</w:t>
            </w:r>
          </w:p>
        </w:tc>
      </w:tr>
      <w:tr w:rsidR="002D2A81" w:rsidTr="00757872">
        <w:tc>
          <w:tcPr>
            <w:tcW w:w="846" w:type="dxa"/>
            <w:vMerge w:val="restart"/>
            <w:tcBorders>
              <w:top w:val="nil"/>
              <w:bottom w:val="nil"/>
            </w:tcBorders>
            <w:shd w:val="clear" w:color="auto" w:fill="auto"/>
            <w:vAlign w:val="center"/>
          </w:tcPr>
          <w:p w:rsidR="002D2A81" w:rsidRPr="00FE7716" w:rsidRDefault="002D2A81" w:rsidP="002D2A81">
            <w:pPr>
              <w:pBdr>
                <w:top w:val="nil"/>
                <w:left w:val="nil"/>
                <w:bottom w:val="nil"/>
                <w:right w:val="nil"/>
                <w:between w:val="nil"/>
              </w:pBdr>
              <w:jc w:val="left"/>
              <w:rPr>
                <w:sz w:val="20"/>
                <w:szCs w:val="20"/>
              </w:rPr>
            </w:pPr>
            <w:r>
              <w:rPr>
                <w:b/>
                <w:color w:val="040C28"/>
                <w:sz w:val="20"/>
                <w:szCs w:val="20"/>
              </w:rPr>
              <w:t>11</w:t>
            </w:r>
            <w:r w:rsidRPr="002D2A81">
              <w:rPr>
                <w:b/>
                <w:color w:val="040C28"/>
                <w:sz w:val="20"/>
                <w:szCs w:val="20"/>
                <w:vertAlign w:val="superscript"/>
              </w:rPr>
              <w:t>th</w:t>
            </w:r>
            <w:r>
              <w:rPr>
                <w:b/>
                <w:color w:val="040C28"/>
                <w:sz w:val="20"/>
                <w:szCs w:val="20"/>
              </w:rPr>
              <w:t xml:space="preserve"> </w:t>
            </w:r>
            <w:r>
              <w:rPr>
                <w:b/>
                <w:color w:val="040C28"/>
                <w:sz w:val="20"/>
                <w:szCs w:val="20"/>
              </w:rPr>
              <w:t>grade</w:t>
            </w:r>
          </w:p>
        </w:tc>
        <w:tc>
          <w:tcPr>
            <w:tcW w:w="454" w:type="dxa"/>
            <w:tcBorders>
              <w:top w:val="nil"/>
              <w:bottom w:val="nil"/>
            </w:tcBorders>
            <w:shd w:val="clear" w:color="auto" w:fill="auto"/>
          </w:tcPr>
          <w:p w:rsidR="002D2A81" w:rsidRPr="00057741" w:rsidRDefault="002D2A81" w:rsidP="002D2A81">
            <w:pPr>
              <w:rPr>
                <w:b/>
                <w:i/>
                <w:color w:val="040C28"/>
                <w:sz w:val="20"/>
                <w:szCs w:val="20"/>
              </w:rPr>
            </w:pPr>
            <w:r w:rsidRPr="00057741">
              <w:rPr>
                <w:b/>
                <w:i/>
                <w:color w:val="040C28"/>
                <w:sz w:val="20"/>
                <w:szCs w:val="20"/>
              </w:rPr>
              <w:t>x̄</w:t>
            </w:r>
          </w:p>
        </w:tc>
        <w:tc>
          <w:tcPr>
            <w:tcW w:w="1411" w:type="dxa"/>
            <w:tcBorders>
              <w:top w:val="nil"/>
              <w:bottom w:val="nil"/>
            </w:tcBorders>
            <w:shd w:val="clear" w:color="auto" w:fill="auto"/>
          </w:tcPr>
          <w:p w:rsidR="002D2A81" w:rsidRPr="00057741" w:rsidRDefault="003F057C" w:rsidP="002D2A81">
            <w:pPr>
              <w:jc w:val="center"/>
              <w:rPr>
                <w:sz w:val="20"/>
                <w:szCs w:val="20"/>
              </w:rPr>
            </w:pPr>
            <w:r>
              <w:rPr>
                <w:sz w:val="20"/>
                <w:szCs w:val="20"/>
              </w:rPr>
              <w:t>8.</w:t>
            </w:r>
            <w:r w:rsidR="002D2A81" w:rsidRPr="00057741">
              <w:rPr>
                <w:sz w:val="20"/>
                <w:szCs w:val="20"/>
              </w:rPr>
              <w:t>428</w:t>
            </w:r>
          </w:p>
        </w:tc>
        <w:tc>
          <w:tcPr>
            <w:tcW w:w="1412" w:type="dxa"/>
            <w:tcBorders>
              <w:top w:val="nil"/>
              <w:bottom w:val="nil"/>
            </w:tcBorders>
            <w:shd w:val="clear" w:color="auto" w:fill="auto"/>
          </w:tcPr>
          <w:p w:rsidR="002D2A81" w:rsidRPr="00057741" w:rsidRDefault="002D2A81" w:rsidP="003F057C">
            <w:pPr>
              <w:jc w:val="center"/>
              <w:rPr>
                <w:sz w:val="20"/>
                <w:szCs w:val="20"/>
              </w:rPr>
            </w:pPr>
            <w:r w:rsidRPr="00057741">
              <w:rPr>
                <w:sz w:val="20"/>
                <w:szCs w:val="20"/>
              </w:rPr>
              <w:t>6</w:t>
            </w:r>
            <w:r w:rsidR="003F057C">
              <w:rPr>
                <w:sz w:val="20"/>
                <w:szCs w:val="20"/>
              </w:rPr>
              <w:t>.</w:t>
            </w:r>
            <w:r w:rsidRPr="00057741">
              <w:rPr>
                <w:sz w:val="20"/>
                <w:szCs w:val="20"/>
              </w:rPr>
              <w:t>408</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5.</w:t>
            </w:r>
            <w:r w:rsidR="002D2A81" w:rsidRPr="00057741">
              <w:rPr>
                <w:sz w:val="20"/>
                <w:szCs w:val="20"/>
              </w:rPr>
              <w:t>102</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979</w:t>
            </w:r>
          </w:p>
        </w:tc>
        <w:tc>
          <w:tcPr>
            <w:tcW w:w="1412" w:type="dxa"/>
            <w:tcBorders>
              <w:top w:val="nil"/>
              <w:bottom w:val="nil"/>
            </w:tcBorders>
            <w:shd w:val="clear" w:color="auto" w:fill="auto"/>
          </w:tcPr>
          <w:p w:rsidR="002D2A81" w:rsidRPr="00057741" w:rsidRDefault="002D2A81" w:rsidP="003F057C">
            <w:pPr>
              <w:jc w:val="center"/>
              <w:rPr>
                <w:sz w:val="20"/>
                <w:szCs w:val="20"/>
              </w:rPr>
            </w:pPr>
            <w:r w:rsidRPr="00057741">
              <w:rPr>
                <w:sz w:val="20"/>
                <w:szCs w:val="20"/>
              </w:rPr>
              <w:t>3</w:t>
            </w:r>
            <w:r w:rsidR="003F057C">
              <w:rPr>
                <w:sz w:val="20"/>
                <w:szCs w:val="20"/>
              </w:rPr>
              <w:t>.</w:t>
            </w:r>
            <w:r w:rsidRPr="00057741">
              <w:rPr>
                <w:sz w:val="20"/>
                <w:szCs w:val="20"/>
              </w:rPr>
              <w:t>326</w:t>
            </w:r>
          </w:p>
        </w:tc>
      </w:tr>
      <w:tr w:rsidR="002D2A81" w:rsidTr="00757872">
        <w:tc>
          <w:tcPr>
            <w:tcW w:w="846" w:type="dxa"/>
            <w:vMerge/>
            <w:tcBorders>
              <w:top w:val="nil"/>
              <w:bottom w:val="nil"/>
            </w:tcBorders>
            <w:shd w:val="clear" w:color="auto" w:fill="auto"/>
            <w:vAlign w:val="center"/>
          </w:tcPr>
          <w:p w:rsidR="002D2A81" w:rsidRPr="00FE7716" w:rsidRDefault="002D2A81" w:rsidP="002D2A81">
            <w:pPr>
              <w:pBdr>
                <w:top w:val="nil"/>
                <w:left w:val="nil"/>
                <w:bottom w:val="nil"/>
                <w:right w:val="nil"/>
                <w:between w:val="nil"/>
              </w:pBdr>
              <w:jc w:val="left"/>
              <w:rPr>
                <w:sz w:val="20"/>
                <w:szCs w:val="20"/>
              </w:rPr>
            </w:pPr>
          </w:p>
        </w:tc>
        <w:tc>
          <w:tcPr>
            <w:tcW w:w="454" w:type="dxa"/>
            <w:tcBorders>
              <w:top w:val="nil"/>
              <w:bottom w:val="nil"/>
            </w:tcBorders>
            <w:shd w:val="clear" w:color="auto" w:fill="auto"/>
          </w:tcPr>
          <w:p w:rsidR="002D2A81" w:rsidRPr="00057741" w:rsidRDefault="002D2A81" w:rsidP="002D2A81">
            <w:pPr>
              <w:rPr>
                <w:b/>
                <w:color w:val="040C28"/>
                <w:sz w:val="20"/>
                <w:szCs w:val="20"/>
              </w:rPr>
            </w:pPr>
            <w:r w:rsidRPr="00057741">
              <w:rPr>
                <w:b/>
                <w:color w:val="040C28"/>
                <w:sz w:val="20"/>
                <w:szCs w:val="20"/>
              </w:rPr>
              <w:t>S</w:t>
            </w:r>
            <w:r>
              <w:rPr>
                <w:b/>
                <w:color w:val="040C28"/>
                <w:sz w:val="20"/>
                <w:szCs w:val="20"/>
              </w:rPr>
              <w:t>d</w:t>
            </w:r>
          </w:p>
        </w:tc>
        <w:tc>
          <w:tcPr>
            <w:tcW w:w="1411"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397</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518</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793</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453</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3.</w:t>
            </w:r>
            <w:r w:rsidR="002D2A81" w:rsidRPr="00057741">
              <w:rPr>
                <w:sz w:val="20"/>
                <w:szCs w:val="20"/>
              </w:rPr>
              <w:t>777</w:t>
            </w:r>
          </w:p>
        </w:tc>
      </w:tr>
      <w:tr w:rsidR="002D2A81" w:rsidTr="00757872">
        <w:tc>
          <w:tcPr>
            <w:tcW w:w="846" w:type="dxa"/>
            <w:vMerge w:val="restart"/>
            <w:tcBorders>
              <w:top w:val="nil"/>
              <w:bottom w:val="nil"/>
            </w:tcBorders>
            <w:shd w:val="clear" w:color="auto" w:fill="auto"/>
            <w:vAlign w:val="center"/>
          </w:tcPr>
          <w:p w:rsidR="002D2A81" w:rsidRPr="00FE7716" w:rsidRDefault="002D2A81" w:rsidP="002D2A81">
            <w:pPr>
              <w:pBdr>
                <w:top w:val="nil"/>
                <w:left w:val="nil"/>
                <w:bottom w:val="nil"/>
                <w:right w:val="nil"/>
                <w:between w:val="nil"/>
              </w:pBdr>
              <w:jc w:val="left"/>
              <w:rPr>
                <w:sz w:val="20"/>
                <w:szCs w:val="20"/>
              </w:rPr>
            </w:pPr>
            <w:r>
              <w:rPr>
                <w:b/>
                <w:color w:val="040C28"/>
                <w:sz w:val="20"/>
                <w:szCs w:val="20"/>
              </w:rPr>
              <w:t>All grades</w:t>
            </w:r>
          </w:p>
        </w:tc>
        <w:tc>
          <w:tcPr>
            <w:tcW w:w="454" w:type="dxa"/>
            <w:tcBorders>
              <w:top w:val="nil"/>
              <w:bottom w:val="nil"/>
            </w:tcBorders>
            <w:shd w:val="clear" w:color="auto" w:fill="auto"/>
          </w:tcPr>
          <w:p w:rsidR="002D2A81" w:rsidRPr="00057741" w:rsidRDefault="002D2A81" w:rsidP="002D2A81">
            <w:pPr>
              <w:rPr>
                <w:b/>
                <w:i/>
                <w:sz w:val="20"/>
                <w:szCs w:val="20"/>
              </w:rPr>
            </w:pPr>
            <w:r w:rsidRPr="00057741">
              <w:rPr>
                <w:b/>
                <w:i/>
                <w:color w:val="040C28"/>
                <w:sz w:val="20"/>
                <w:szCs w:val="20"/>
              </w:rPr>
              <w:t>x̄</w:t>
            </w:r>
          </w:p>
        </w:tc>
        <w:tc>
          <w:tcPr>
            <w:tcW w:w="1411" w:type="dxa"/>
            <w:tcBorders>
              <w:top w:val="nil"/>
              <w:bottom w:val="nil"/>
            </w:tcBorders>
            <w:shd w:val="clear" w:color="auto" w:fill="auto"/>
          </w:tcPr>
          <w:p w:rsidR="002D2A81" w:rsidRPr="00057741" w:rsidRDefault="003F057C" w:rsidP="002D2A81">
            <w:pPr>
              <w:jc w:val="center"/>
              <w:rPr>
                <w:sz w:val="20"/>
                <w:szCs w:val="20"/>
              </w:rPr>
            </w:pPr>
            <w:r>
              <w:rPr>
                <w:sz w:val="20"/>
                <w:szCs w:val="20"/>
              </w:rPr>
              <w:t>7.</w:t>
            </w:r>
            <w:r w:rsidR="002D2A81" w:rsidRPr="00057741">
              <w:rPr>
                <w:sz w:val="20"/>
                <w:szCs w:val="20"/>
              </w:rPr>
              <w:t>531</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5.</w:t>
            </w:r>
            <w:r w:rsidR="002D2A81" w:rsidRPr="00057741">
              <w:rPr>
                <w:sz w:val="20"/>
                <w:szCs w:val="20"/>
              </w:rPr>
              <w:t>456</w:t>
            </w:r>
          </w:p>
        </w:tc>
        <w:tc>
          <w:tcPr>
            <w:tcW w:w="1412" w:type="dxa"/>
            <w:tcBorders>
              <w:top w:val="nil"/>
              <w:bottom w:val="nil"/>
            </w:tcBorders>
            <w:shd w:val="clear" w:color="auto" w:fill="auto"/>
          </w:tcPr>
          <w:p w:rsidR="002D2A81" w:rsidRPr="00057741" w:rsidRDefault="002D2A81" w:rsidP="003F057C">
            <w:pPr>
              <w:jc w:val="center"/>
              <w:rPr>
                <w:sz w:val="20"/>
                <w:szCs w:val="20"/>
              </w:rPr>
            </w:pPr>
            <w:r w:rsidRPr="00057741">
              <w:rPr>
                <w:sz w:val="20"/>
                <w:szCs w:val="20"/>
              </w:rPr>
              <w:t>5</w:t>
            </w:r>
            <w:r w:rsidR="003F057C">
              <w:rPr>
                <w:sz w:val="20"/>
                <w:szCs w:val="20"/>
              </w:rPr>
              <w:t>.</w:t>
            </w:r>
            <w:r w:rsidRPr="00057741">
              <w:rPr>
                <w:sz w:val="20"/>
                <w:szCs w:val="20"/>
              </w:rPr>
              <w:t>125</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594</w:t>
            </w:r>
          </w:p>
        </w:tc>
        <w:tc>
          <w:tcPr>
            <w:tcW w:w="1412" w:type="dxa"/>
            <w:tcBorders>
              <w:top w:val="nil"/>
              <w:bottom w:val="nil"/>
            </w:tcBorders>
            <w:shd w:val="clear" w:color="auto" w:fill="auto"/>
          </w:tcPr>
          <w:p w:rsidR="002D2A81" w:rsidRPr="00057741" w:rsidRDefault="003F057C" w:rsidP="002D2A81">
            <w:pPr>
              <w:jc w:val="center"/>
              <w:rPr>
                <w:sz w:val="20"/>
                <w:szCs w:val="20"/>
              </w:rPr>
            </w:pPr>
            <w:r>
              <w:rPr>
                <w:sz w:val="20"/>
                <w:szCs w:val="20"/>
              </w:rPr>
              <w:t>3.</w:t>
            </w:r>
            <w:r w:rsidR="002D2A81" w:rsidRPr="00057741">
              <w:rPr>
                <w:sz w:val="20"/>
                <w:szCs w:val="20"/>
              </w:rPr>
              <w:t>121</w:t>
            </w:r>
          </w:p>
        </w:tc>
      </w:tr>
      <w:tr w:rsidR="002D2A81" w:rsidTr="00757872">
        <w:tc>
          <w:tcPr>
            <w:tcW w:w="846" w:type="dxa"/>
            <w:vMerge/>
            <w:tcBorders>
              <w:top w:val="nil"/>
            </w:tcBorders>
            <w:shd w:val="clear" w:color="auto" w:fill="auto"/>
            <w:vAlign w:val="center"/>
          </w:tcPr>
          <w:p w:rsidR="002D2A81" w:rsidRDefault="002D2A81" w:rsidP="002D2A81">
            <w:pPr>
              <w:pBdr>
                <w:top w:val="nil"/>
                <w:left w:val="nil"/>
                <w:bottom w:val="nil"/>
                <w:right w:val="nil"/>
                <w:between w:val="nil"/>
              </w:pBdr>
              <w:jc w:val="left"/>
              <w:rPr>
                <w:color w:val="000000"/>
              </w:rPr>
            </w:pPr>
          </w:p>
        </w:tc>
        <w:tc>
          <w:tcPr>
            <w:tcW w:w="454" w:type="dxa"/>
            <w:tcBorders>
              <w:top w:val="nil"/>
            </w:tcBorders>
            <w:shd w:val="clear" w:color="auto" w:fill="auto"/>
          </w:tcPr>
          <w:p w:rsidR="002D2A81" w:rsidRPr="00057741" w:rsidRDefault="002D2A81" w:rsidP="002D2A81">
            <w:pPr>
              <w:rPr>
                <w:b/>
                <w:sz w:val="20"/>
                <w:szCs w:val="20"/>
              </w:rPr>
            </w:pPr>
            <w:r w:rsidRPr="00057741">
              <w:rPr>
                <w:b/>
                <w:sz w:val="20"/>
                <w:szCs w:val="20"/>
              </w:rPr>
              <w:t>S</w:t>
            </w:r>
            <w:r>
              <w:rPr>
                <w:b/>
                <w:sz w:val="20"/>
                <w:szCs w:val="20"/>
              </w:rPr>
              <w:t>d</w:t>
            </w:r>
          </w:p>
        </w:tc>
        <w:tc>
          <w:tcPr>
            <w:tcW w:w="1411" w:type="dxa"/>
            <w:tcBorders>
              <w:top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365</w:t>
            </w:r>
          </w:p>
        </w:tc>
        <w:tc>
          <w:tcPr>
            <w:tcW w:w="1412" w:type="dxa"/>
            <w:tcBorders>
              <w:top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133</w:t>
            </w:r>
          </w:p>
        </w:tc>
        <w:tc>
          <w:tcPr>
            <w:tcW w:w="1412" w:type="dxa"/>
            <w:tcBorders>
              <w:top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724</w:t>
            </w:r>
          </w:p>
        </w:tc>
        <w:tc>
          <w:tcPr>
            <w:tcW w:w="1412" w:type="dxa"/>
            <w:tcBorders>
              <w:top w:val="nil"/>
            </w:tcBorders>
            <w:shd w:val="clear" w:color="auto" w:fill="auto"/>
          </w:tcPr>
          <w:p w:rsidR="002D2A81" w:rsidRPr="00057741" w:rsidRDefault="003F057C" w:rsidP="002D2A81">
            <w:pPr>
              <w:jc w:val="center"/>
              <w:rPr>
                <w:sz w:val="20"/>
                <w:szCs w:val="20"/>
              </w:rPr>
            </w:pPr>
            <w:r>
              <w:rPr>
                <w:sz w:val="20"/>
                <w:szCs w:val="20"/>
              </w:rPr>
              <w:t>2.</w:t>
            </w:r>
            <w:r w:rsidR="002D2A81" w:rsidRPr="00057741">
              <w:rPr>
                <w:sz w:val="20"/>
                <w:szCs w:val="20"/>
              </w:rPr>
              <w:t>371</w:t>
            </w:r>
          </w:p>
        </w:tc>
        <w:tc>
          <w:tcPr>
            <w:tcW w:w="1412" w:type="dxa"/>
            <w:tcBorders>
              <w:top w:val="nil"/>
            </w:tcBorders>
            <w:shd w:val="clear" w:color="auto" w:fill="auto"/>
          </w:tcPr>
          <w:p w:rsidR="002D2A81" w:rsidRPr="00057741" w:rsidRDefault="003F057C" w:rsidP="002D2A81">
            <w:pPr>
              <w:jc w:val="center"/>
              <w:rPr>
                <w:sz w:val="20"/>
                <w:szCs w:val="20"/>
              </w:rPr>
            </w:pPr>
            <w:r>
              <w:rPr>
                <w:sz w:val="20"/>
                <w:szCs w:val="20"/>
              </w:rPr>
              <w:t>3.</w:t>
            </w:r>
            <w:r w:rsidR="002D2A81" w:rsidRPr="00057741">
              <w:rPr>
                <w:sz w:val="20"/>
                <w:szCs w:val="20"/>
              </w:rPr>
              <w:t>812</w:t>
            </w:r>
          </w:p>
        </w:tc>
      </w:tr>
    </w:tbl>
    <w:p w:rsidR="00887146" w:rsidRPr="00057741" w:rsidRDefault="00887146" w:rsidP="00887146">
      <w:pPr>
        <w:spacing w:line="360" w:lineRule="auto"/>
        <w:rPr>
          <w:sz w:val="20"/>
          <w:szCs w:val="20"/>
        </w:rPr>
      </w:pPr>
      <w:r w:rsidRPr="00057741">
        <w:rPr>
          <w:sz w:val="20"/>
          <w:szCs w:val="20"/>
        </w:rPr>
        <w:t>N=239</w:t>
      </w:r>
    </w:p>
    <w:p w:rsidR="00887146" w:rsidRPr="00887146" w:rsidRDefault="00887146" w:rsidP="00887146">
      <w:pPr>
        <w:pBdr>
          <w:top w:val="nil"/>
          <w:left w:val="nil"/>
          <w:bottom w:val="nil"/>
          <w:right w:val="nil"/>
          <w:between w:val="nil"/>
        </w:pBdr>
        <w:ind w:firstLine="720"/>
        <w:rPr>
          <w:color w:val="000000"/>
        </w:rPr>
      </w:pPr>
      <w:r w:rsidRPr="00887146">
        <w:rPr>
          <w:color w:val="000000"/>
        </w:rPr>
        <w:t>The mean values based on the grade levels in Table 2 show that the highest mean score in all grades is observed for translation from the figure representation. Specifically, 11th-grade students achieved the highest average score in this category (x̄=8</w:t>
      </w:r>
      <w:r w:rsidR="003F057C">
        <w:rPr>
          <w:color w:val="000000"/>
        </w:rPr>
        <w:t>.</w:t>
      </w:r>
      <w:r w:rsidRPr="00887146">
        <w:rPr>
          <w:color w:val="000000"/>
        </w:rPr>
        <w:t>428). In terms of the overall grade averages, the lowest mean score for translation is found in verbal representation for both 10th and 11th grades. For 9th grade, the lowest mean score was obtained in translation from algebraic representation (x̄=2</w:t>
      </w:r>
      <w:r w:rsidR="003F057C">
        <w:rPr>
          <w:color w:val="000000"/>
        </w:rPr>
        <w:t>.</w:t>
      </w:r>
      <w:r w:rsidRPr="00887146">
        <w:rPr>
          <w:color w:val="000000"/>
        </w:rPr>
        <w:t>702). While the mean values generally tend to be higher in 11th grade, 10th-grade students obtained the highest mean scores in translation from graphical and algebraic representation (x̄=5.490, x̄=3.358). When considering all grade levels, the mean scores vary as follows: translation from figure representation (x̄=7</w:t>
      </w:r>
      <w:r w:rsidR="003F057C">
        <w:rPr>
          <w:color w:val="000000"/>
        </w:rPr>
        <w:t>.</w:t>
      </w:r>
      <w:r w:rsidRPr="00887146">
        <w:rPr>
          <w:color w:val="000000"/>
        </w:rPr>
        <w:t>531), translation from table representation (x̄=5</w:t>
      </w:r>
      <w:r w:rsidR="003F057C">
        <w:rPr>
          <w:color w:val="000000"/>
        </w:rPr>
        <w:t>.</w:t>
      </w:r>
      <w:r w:rsidRPr="00887146">
        <w:rPr>
          <w:color w:val="000000"/>
        </w:rPr>
        <w:t>456), translation from graphical representation (x̄=5</w:t>
      </w:r>
      <w:r w:rsidR="003F057C">
        <w:rPr>
          <w:color w:val="000000"/>
        </w:rPr>
        <w:t>.</w:t>
      </w:r>
      <w:r w:rsidRPr="00887146">
        <w:rPr>
          <w:color w:val="000000"/>
        </w:rPr>
        <w:t>125), translation from verbal representation (x̄=2</w:t>
      </w:r>
      <w:r w:rsidR="003F057C">
        <w:rPr>
          <w:color w:val="000000"/>
        </w:rPr>
        <w:t>.</w:t>
      </w:r>
      <w:r w:rsidRPr="00887146">
        <w:rPr>
          <w:color w:val="000000"/>
        </w:rPr>
        <w:t>594), and translation from algebraic representation (x̄=3</w:t>
      </w:r>
      <w:r w:rsidR="003F057C">
        <w:rPr>
          <w:color w:val="000000"/>
        </w:rPr>
        <w:t>.</w:t>
      </w:r>
      <w:r w:rsidRPr="00887146">
        <w:rPr>
          <w:color w:val="000000"/>
        </w:rPr>
        <w:t>121). Accordingly, the order of students’ success in the inter-representational success ranking, from most successful to least successful, is as follows: translation from figure, table, graph, algebraic, and verbal representations to other representations.</w:t>
      </w:r>
    </w:p>
    <w:p w:rsidR="00887146" w:rsidRPr="00887146" w:rsidRDefault="00887146" w:rsidP="00887146">
      <w:pPr>
        <w:pBdr>
          <w:top w:val="nil"/>
          <w:left w:val="nil"/>
          <w:bottom w:val="nil"/>
          <w:right w:val="nil"/>
          <w:between w:val="nil"/>
        </w:pBdr>
        <w:ind w:firstLine="720"/>
        <w:rPr>
          <w:color w:val="000000"/>
        </w:rPr>
      </w:pPr>
      <w:r w:rsidRPr="00887146">
        <w:rPr>
          <w:color w:val="000000"/>
        </w:rPr>
        <w:t>Table 3 below displays the frequency and percentage values of the scores obtained by the students.</w:t>
      </w:r>
    </w:p>
    <w:p w:rsidR="00887146" w:rsidRDefault="00757872" w:rsidP="00887146">
      <w:pPr>
        <w:spacing w:line="360" w:lineRule="auto"/>
      </w:pPr>
      <w:r>
        <w:rPr>
          <w:b/>
        </w:rPr>
        <w:t>Table 3</w:t>
      </w:r>
      <w:r w:rsidR="00887146" w:rsidRPr="007A5759">
        <w:t xml:space="preserve"> Frequency and Percentage Values of the Scores</w:t>
      </w:r>
    </w:p>
    <w:tbl>
      <w:tblPr>
        <w:tblStyle w:val="a0"/>
        <w:tblW w:w="8146" w:type="dxa"/>
        <w:tblInd w:w="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704"/>
        <w:gridCol w:w="744"/>
        <w:gridCol w:w="744"/>
        <w:gridCol w:w="744"/>
        <w:gridCol w:w="744"/>
        <w:gridCol w:w="745"/>
        <w:gridCol w:w="744"/>
        <w:gridCol w:w="744"/>
        <w:gridCol w:w="744"/>
        <w:gridCol w:w="744"/>
        <w:gridCol w:w="745"/>
      </w:tblGrid>
      <w:tr w:rsidR="00757872" w:rsidTr="00757872">
        <w:tc>
          <w:tcPr>
            <w:tcW w:w="704" w:type="dxa"/>
            <w:tcBorders>
              <w:bottom w:val="single" w:sz="4" w:space="0" w:color="000000"/>
            </w:tcBorders>
            <w:shd w:val="clear" w:color="auto" w:fill="F2F2F2"/>
          </w:tcPr>
          <w:p w:rsidR="00757872" w:rsidRPr="00057741" w:rsidRDefault="00757872" w:rsidP="00757872">
            <w:pPr>
              <w:rPr>
                <w:b/>
                <w:sz w:val="20"/>
                <w:szCs w:val="20"/>
              </w:rPr>
            </w:pPr>
            <w:r>
              <w:rPr>
                <w:b/>
                <w:sz w:val="20"/>
                <w:szCs w:val="20"/>
              </w:rPr>
              <w:t xml:space="preserve">Score </w:t>
            </w:r>
          </w:p>
        </w:tc>
        <w:tc>
          <w:tcPr>
            <w:tcW w:w="1488" w:type="dxa"/>
            <w:gridSpan w:val="2"/>
            <w:tcBorders>
              <w:bottom w:val="single" w:sz="4" w:space="0" w:color="000000"/>
            </w:tcBorders>
            <w:shd w:val="clear" w:color="auto" w:fill="F2F2F2"/>
          </w:tcPr>
          <w:p w:rsidR="00757872" w:rsidRPr="00057741" w:rsidRDefault="00757872" w:rsidP="00757872">
            <w:pPr>
              <w:rPr>
                <w:b/>
                <w:sz w:val="20"/>
                <w:szCs w:val="20"/>
              </w:rPr>
            </w:pPr>
            <w:r>
              <w:rPr>
                <w:b/>
                <w:sz w:val="20"/>
                <w:szCs w:val="20"/>
              </w:rPr>
              <w:t>Translation</w:t>
            </w:r>
            <w:r w:rsidRPr="00DC0CC4">
              <w:rPr>
                <w:b/>
                <w:sz w:val="20"/>
                <w:szCs w:val="20"/>
              </w:rPr>
              <w:t xml:space="preserve"> from figure representation</w:t>
            </w:r>
          </w:p>
        </w:tc>
        <w:tc>
          <w:tcPr>
            <w:tcW w:w="1488" w:type="dxa"/>
            <w:gridSpan w:val="2"/>
            <w:tcBorders>
              <w:bottom w:val="single" w:sz="4" w:space="0" w:color="000000"/>
            </w:tcBorders>
            <w:shd w:val="clear" w:color="auto" w:fill="F2F2F2"/>
          </w:tcPr>
          <w:p w:rsidR="00757872" w:rsidRPr="00057741" w:rsidRDefault="00757872" w:rsidP="00757872">
            <w:pPr>
              <w:rPr>
                <w:b/>
                <w:sz w:val="20"/>
                <w:szCs w:val="20"/>
              </w:rPr>
            </w:pPr>
            <w:r>
              <w:rPr>
                <w:b/>
                <w:sz w:val="20"/>
                <w:szCs w:val="20"/>
              </w:rPr>
              <w:t>Translation</w:t>
            </w:r>
            <w:r w:rsidRPr="00DC0CC4">
              <w:rPr>
                <w:b/>
                <w:sz w:val="20"/>
                <w:szCs w:val="20"/>
              </w:rPr>
              <w:t xml:space="preserve"> from table representation</w:t>
            </w:r>
          </w:p>
        </w:tc>
        <w:tc>
          <w:tcPr>
            <w:tcW w:w="1489" w:type="dxa"/>
            <w:gridSpan w:val="2"/>
            <w:tcBorders>
              <w:bottom w:val="single" w:sz="4" w:space="0" w:color="000000"/>
            </w:tcBorders>
            <w:shd w:val="clear" w:color="auto" w:fill="F2F2F2"/>
          </w:tcPr>
          <w:p w:rsidR="00757872" w:rsidRPr="00057741" w:rsidRDefault="00757872" w:rsidP="00757872">
            <w:pPr>
              <w:rPr>
                <w:b/>
                <w:sz w:val="20"/>
                <w:szCs w:val="20"/>
              </w:rPr>
            </w:pPr>
            <w:r>
              <w:rPr>
                <w:b/>
                <w:sz w:val="20"/>
                <w:szCs w:val="20"/>
              </w:rPr>
              <w:t>Translation</w:t>
            </w:r>
            <w:r w:rsidRPr="007A5759">
              <w:rPr>
                <w:b/>
                <w:sz w:val="20"/>
                <w:szCs w:val="20"/>
              </w:rPr>
              <w:t xml:space="preserve"> from graphic representation</w:t>
            </w:r>
          </w:p>
        </w:tc>
        <w:tc>
          <w:tcPr>
            <w:tcW w:w="1488" w:type="dxa"/>
            <w:gridSpan w:val="2"/>
            <w:tcBorders>
              <w:bottom w:val="single" w:sz="4" w:space="0" w:color="000000"/>
            </w:tcBorders>
            <w:shd w:val="clear" w:color="auto" w:fill="F2F2F2"/>
          </w:tcPr>
          <w:p w:rsidR="00757872" w:rsidRPr="00057741" w:rsidRDefault="00757872" w:rsidP="00757872">
            <w:pPr>
              <w:rPr>
                <w:b/>
                <w:sz w:val="20"/>
                <w:szCs w:val="20"/>
              </w:rPr>
            </w:pPr>
            <w:r>
              <w:rPr>
                <w:b/>
                <w:sz w:val="20"/>
                <w:szCs w:val="20"/>
              </w:rPr>
              <w:t>Translation</w:t>
            </w:r>
            <w:r w:rsidRPr="007A5759">
              <w:rPr>
                <w:b/>
                <w:sz w:val="20"/>
                <w:szCs w:val="20"/>
              </w:rPr>
              <w:t xml:space="preserve"> from verbal representation</w:t>
            </w:r>
          </w:p>
        </w:tc>
        <w:tc>
          <w:tcPr>
            <w:tcW w:w="1489" w:type="dxa"/>
            <w:gridSpan w:val="2"/>
            <w:tcBorders>
              <w:bottom w:val="single" w:sz="4" w:space="0" w:color="000000"/>
            </w:tcBorders>
            <w:shd w:val="clear" w:color="auto" w:fill="F2F2F2"/>
          </w:tcPr>
          <w:p w:rsidR="00757872" w:rsidRPr="00057741" w:rsidRDefault="00757872" w:rsidP="00757872">
            <w:pPr>
              <w:rPr>
                <w:b/>
                <w:sz w:val="20"/>
                <w:szCs w:val="20"/>
              </w:rPr>
            </w:pPr>
            <w:r>
              <w:rPr>
                <w:b/>
                <w:sz w:val="20"/>
                <w:szCs w:val="20"/>
              </w:rPr>
              <w:t>Translation</w:t>
            </w:r>
            <w:r w:rsidRPr="007A5759">
              <w:rPr>
                <w:b/>
                <w:sz w:val="20"/>
                <w:szCs w:val="20"/>
              </w:rPr>
              <w:t xml:space="preserve"> from </w:t>
            </w:r>
            <w:r>
              <w:rPr>
                <w:b/>
                <w:sz w:val="20"/>
                <w:szCs w:val="20"/>
              </w:rPr>
              <w:t>a</w:t>
            </w:r>
            <w:r w:rsidRPr="007A5759">
              <w:rPr>
                <w:b/>
                <w:sz w:val="20"/>
                <w:szCs w:val="20"/>
              </w:rPr>
              <w:t>lgebraic</w:t>
            </w:r>
            <w:r>
              <w:rPr>
                <w:b/>
                <w:sz w:val="20"/>
                <w:szCs w:val="20"/>
              </w:rPr>
              <w:t xml:space="preserve"> </w:t>
            </w:r>
            <w:r w:rsidRPr="007A5759">
              <w:rPr>
                <w:b/>
                <w:sz w:val="20"/>
                <w:szCs w:val="20"/>
              </w:rPr>
              <w:t xml:space="preserve">representation </w:t>
            </w:r>
          </w:p>
        </w:tc>
      </w:tr>
      <w:tr w:rsidR="00757872" w:rsidTr="00757872">
        <w:tc>
          <w:tcPr>
            <w:tcW w:w="704" w:type="dxa"/>
            <w:tcBorders>
              <w:bottom w:val="nil"/>
            </w:tcBorders>
            <w:shd w:val="clear" w:color="auto" w:fill="auto"/>
          </w:tcPr>
          <w:p w:rsidR="00757872" w:rsidRPr="00057741" w:rsidRDefault="00757872" w:rsidP="00757872">
            <w:pPr>
              <w:rPr>
                <w:b/>
                <w:color w:val="040C28"/>
                <w:sz w:val="20"/>
                <w:szCs w:val="20"/>
              </w:rPr>
            </w:pPr>
          </w:p>
        </w:tc>
        <w:tc>
          <w:tcPr>
            <w:tcW w:w="744" w:type="dxa"/>
            <w:tcBorders>
              <w:bottom w:val="nil"/>
            </w:tcBorders>
            <w:shd w:val="clear" w:color="auto" w:fill="auto"/>
          </w:tcPr>
          <w:p w:rsidR="00757872" w:rsidRPr="00057741" w:rsidRDefault="00757872" w:rsidP="00757872">
            <w:pPr>
              <w:rPr>
                <w:sz w:val="20"/>
                <w:szCs w:val="20"/>
              </w:rPr>
            </w:pPr>
            <w:r w:rsidRPr="00057741">
              <w:rPr>
                <w:sz w:val="20"/>
                <w:szCs w:val="20"/>
              </w:rPr>
              <w:t>f</w:t>
            </w:r>
          </w:p>
        </w:tc>
        <w:tc>
          <w:tcPr>
            <w:tcW w:w="744" w:type="dxa"/>
            <w:tcBorders>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bottom w:val="nil"/>
            </w:tcBorders>
            <w:shd w:val="clear" w:color="auto" w:fill="auto"/>
          </w:tcPr>
          <w:p w:rsidR="00757872" w:rsidRPr="00057741" w:rsidRDefault="00757872" w:rsidP="00757872">
            <w:pPr>
              <w:rPr>
                <w:sz w:val="20"/>
                <w:szCs w:val="20"/>
              </w:rPr>
            </w:pPr>
            <w:r w:rsidRPr="00057741">
              <w:rPr>
                <w:sz w:val="20"/>
                <w:szCs w:val="20"/>
              </w:rPr>
              <w:t>f</w:t>
            </w:r>
          </w:p>
        </w:tc>
        <w:tc>
          <w:tcPr>
            <w:tcW w:w="744" w:type="dxa"/>
            <w:tcBorders>
              <w:bottom w:val="nil"/>
            </w:tcBorders>
            <w:shd w:val="clear" w:color="auto" w:fill="auto"/>
          </w:tcPr>
          <w:p w:rsidR="00757872" w:rsidRPr="00057741" w:rsidRDefault="00757872" w:rsidP="00757872">
            <w:pPr>
              <w:rPr>
                <w:sz w:val="20"/>
                <w:szCs w:val="20"/>
              </w:rPr>
            </w:pPr>
            <w:r w:rsidRPr="00057741">
              <w:rPr>
                <w:sz w:val="20"/>
                <w:szCs w:val="20"/>
              </w:rPr>
              <w:t>%</w:t>
            </w:r>
          </w:p>
        </w:tc>
        <w:tc>
          <w:tcPr>
            <w:tcW w:w="745" w:type="dxa"/>
            <w:tcBorders>
              <w:bottom w:val="nil"/>
            </w:tcBorders>
            <w:shd w:val="clear" w:color="auto" w:fill="auto"/>
          </w:tcPr>
          <w:p w:rsidR="00757872" w:rsidRPr="00057741" w:rsidRDefault="00757872" w:rsidP="00757872">
            <w:pPr>
              <w:rPr>
                <w:sz w:val="20"/>
                <w:szCs w:val="20"/>
              </w:rPr>
            </w:pPr>
            <w:r w:rsidRPr="00057741">
              <w:rPr>
                <w:sz w:val="20"/>
                <w:szCs w:val="20"/>
              </w:rPr>
              <w:t>f</w:t>
            </w:r>
          </w:p>
        </w:tc>
        <w:tc>
          <w:tcPr>
            <w:tcW w:w="744" w:type="dxa"/>
            <w:tcBorders>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bottom w:val="nil"/>
            </w:tcBorders>
            <w:shd w:val="clear" w:color="auto" w:fill="auto"/>
          </w:tcPr>
          <w:p w:rsidR="00757872" w:rsidRPr="00057741" w:rsidRDefault="00757872" w:rsidP="00757872">
            <w:pPr>
              <w:rPr>
                <w:sz w:val="20"/>
                <w:szCs w:val="20"/>
              </w:rPr>
            </w:pPr>
            <w:r w:rsidRPr="00057741">
              <w:rPr>
                <w:sz w:val="20"/>
                <w:szCs w:val="20"/>
              </w:rPr>
              <w:t>f</w:t>
            </w:r>
          </w:p>
        </w:tc>
        <w:tc>
          <w:tcPr>
            <w:tcW w:w="744" w:type="dxa"/>
            <w:tcBorders>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bottom w:val="nil"/>
            </w:tcBorders>
            <w:shd w:val="clear" w:color="auto" w:fill="auto"/>
          </w:tcPr>
          <w:p w:rsidR="00757872" w:rsidRPr="00057741" w:rsidRDefault="00757872" w:rsidP="00757872">
            <w:pPr>
              <w:rPr>
                <w:sz w:val="20"/>
                <w:szCs w:val="20"/>
              </w:rPr>
            </w:pPr>
            <w:r w:rsidRPr="00057741">
              <w:rPr>
                <w:sz w:val="20"/>
                <w:szCs w:val="20"/>
              </w:rPr>
              <w:t>f</w:t>
            </w:r>
          </w:p>
        </w:tc>
        <w:tc>
          <w:tcPr>
            <w:tcW w:w="745" w:type="dxa"/>
            <w:tcBorders>
              <w:bottom w:val="nil"/>
            </w:tcBorders>
            <w:shd w:val="clear" w:color="auto" w:fill="auto"/>
          </w:tcPr>
          <w:p w:rsidR="00757872" w:rsidRPr="00057741" w:rsidRDefault="00757872" w:rsidP="00757872">
            <w:pPr>
              <w:rPr>
                <w:sz w:val="20"/>
                <w:szCs w:val="20"/>
              </w:rPr>
            </w:pPr>
            <w:r w:rsidRPr="00057741">
              <w:rPr>
                <w:sz w:val="20"/>
                <w:szCs w:val="20"/>
              </w:rPr>
              <w:t>%</w:t>
            </w:r>
          </w:p>
        </w:tc>
      </w:tr>
      <w:tr w:rsidR="00757872" w:rsidTr="00757872">
        <w:tc>
          <w:tcPr>
            <w:tcW w:w="704" w:type="dxa"/>
            <w:tcBorders>
              <w:top w:val="nil"/>
              <w:bottom w:val="nil"/>
            </w:tcBorders>
            <w:shd w:val="clear" w:color="auto" w:fill="auto"/>
          </w:tcPr>
          <w:p w:rsidR="00757872" w:rsidRPr="00057741" w:rsidRDefault="00757872" w:rsidP="00757872">
            <w:pPr>
              <w:rPr>
                <w:b/>
                <w:color w:val="040C28"/>
                <w:sz w:val="20"/>
                <w:szCs w:val="20"/>
              </w:rPr>
            </w:pPr>
            <w:r w:rsidRPr="00057741">
              <w:rPr>
                <w:b/>
                <w:color w:val="040C28"/>
                <w:sz w:val="20"/>
                <w:szCs w:val="20"/>
              </w:rPr>
              <w:t>0</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2</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0</w:t>
            </w:r>
            <w:r w:rsidR="003F057C">
              <w:rPr>
                <w:sz w:val="20"/>
                <w:szCs w:val="20"/>
              </w:rPr>
              <w:t>.</w:t>
            </w:r>
            <w:r w:rsidRPr="00057741">
              <w:rPr>
                <w:sz w:val="20"/>
                <w:szCs w:val="20"/>
              </w:rPr>
              <w:t>8</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14</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5</w:t>
            </w:r>
            <w:r w:rsidR="003F057C">
              <w:rPr>
                <w:sz w:val="20"/>
                <w:szCs w:val="20"/>
              </w:rPr>
              <w:t>.</w:t>
            </w:r>
            <w:r w:rsidRPr="00057741">
              <w:rPr>
                <w:sz w:val="20"/>
                <w:szCs w:val="20"/>
              </w:rPr>
              <w:t>9</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66</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27.</w:t>
            </w:r>
            <w:r w:rsidR="00757872" w:rsidRPr="00057741">
              <w:rPr>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95</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39.</w:t>
            </w:r>
            <w:r w:rsidR="00757872" w:rsidRPr="00057741">
              <w:rPr>
                <w:sz w:val="20"/>
                <w:szCs w:val="20"/>
              </w:rPr>
              <w:t>7</w:t>
            </w:r>
          </w:p>
        </w:tc>
      </w:tr>
      <w:tr w:rsidR="00757872" w:rsidTr="00757872">
        <w:tc>
          <w:tcPr>
            <w:tcW w:w="704" w:type="dxa"/>
            <w:tcBorders>
              <w:top w:val="nil"/>
              <w:bottom w:val="nil"/>
            </w:tcBorders>
            <w:shd w:val="clear" w:color="auto" w:fill="auto"/>
          </w:tcPr>
          <w:p w:rsidR="00757872" w:rsidRPr="00057741" w:rsidRDefault="00757872" w:rsidP="00757872">
            <w:pPr>
              <w:rPr>
                <w:b/>
                <w:color w:val="040C28"/>
                <w:sz w:val="20"/>
                <w:szCs w:val="20"/>
              </w:rPr>
            </w:pPr>
            <w:r w:rsidRPr="00057741">
              <w:rPr>
                <w:b/>
                <w:color w:val="040C28"/>
                <w:sz w:val="20"/>
                <w:szCs w:val="20"/>
              </w:rPr>
              <w:t>1</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1</w:t>
            </w:r>
            <w:r w:rsidR="003F057C">
              <w:rPr>
                <w:sz w:val="20"/>
                <w:szCs w:val="20"/>
              </w:rPr>
              <w:t>.</w:t>
            </w:r>
            <w:r w:rsidRPr="00057741">
              <w:rPr>
                <w:sz w:val="20"/>
                <w:szCs w:val="20"/>
              </w:rPr>
              <w:t>3</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4</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w:t>
            </w:r>
            <w:r w:rsidR="00757872" w:rsidRPr="00057741">
              <w:rPr>
                <w:sz w:val="20"/>
                <w:szCs w:val="20"/>
              </w:rPr>
              <w:t>7</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12</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5.</w:t>
            </w:r>
            <w:r w:rsidR="00757872" w:rsidRPr="00057741">
              <w:rPr>
                <w:sz w:val="20"/>
                <w:szCs w:val="20"/>
              </w:rPr>
              <w:t>0</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41</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17.</w:t>
            </w:r>
            <w:r w:rsidR="00757872" w:rsidRPr="00057741">
              <w:rPr>
                <w:sz w:val="20"/>
                <w:szCs w:val="20"/>
              </w:rPr>
              <w:t>2</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27</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11.</w:t>
            </w:r>
            <w:r w:rsidR="00757872" w:rsidRPr="00057741">
              <w:rPr>
                <w:sz w:val="20"/>
                <w:szCs w:val="20"/>
              </w:rPr>
              <w:t>3</w:t>
            </w:r>
          </w:p>
        </w:tc>
      </w:tr>
      <w:tr w:rsidR="00757872" w:rsidTr="00757872">
        <w:tc>
          <w:tcPr>
            <w:tcW w:w="704" w:type="dxa"/>
            <w:tcBorders>
              <w:top w:val="nil"/>
              <w:bottom w:val="nil"/>
            </w:tcBorders>
            <w:shd w:val="clear" w:color="auto" w:fill="auto"/>
          </w:tcPr>
          <w:p w:rsidR="00757872" w:rsidRPr="00057741" w:rsidRDefault="00757872" w:rsidP="00757872">
            <w:pPr>
              <w:rPr>
                <w:b/>
                <w:color w:val="040C28"/>
                <w:sz w:val="20"/>
                <w:szCs w:val="20"/>
              </w:rPr>
            </w:pPr>
            <w:r w:rsidRPr="00057741">
              <w:rPr>
                <w:b/>
                <w:color w:val="040C28"/>
                <w:sz w:val="20"/>
                <w:szCs w:val="20"/>
              </w:rPr>
              <w:t>2</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1</w:t>
            </w:r>
            <w:r w:rsidR="003F057C">
              <w:rPr>
                <w:sz w:val="20"/>
                <w:szCs w:val="20"/>
              </w:rPr>
              <w:t>.</w:t>
            </w:r>
            <w:r w:rsidRPr="00057741">
              <w:rPr>
                <w:sz w:val="20"/>
                <w:szCs w:val="20"/>
              </w:rPr>
              <w:t>3</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16</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6.</w:t>
            </w:r>
            <w:r w:rsidR="00757872" w:rsidRPr="00057741">
              <w:rPr>
                <w:sz w:val="20"/>
                <w:szCs w:val="20"/>
              </w:rPr>
              <w:t>7</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16</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6.</w:t>
            </w:r>
            <w:r w:rsidR="00757872" w:rsidRPr="00057741">
              <w:rPr>
                <w:sz w:val="20"/>
                <w:szCs w:val="20"/>
              </w:rPr>
              <w:t>7</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19</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7.</w:t>
            </w:r>
            <w:r w:rsidR="00757872" w:rsidRPr="00057741">
              <w:rPr>
                <w:sz w:val="20"/>
                <w:szCs w:val="20"/>
              </w:rPr>
              <w:t>9</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12</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5.</w:t>
            </w:r>
            <w:r w:rsidR="00757872" w:rsidRPr="00057741">
              <w:rPr>
                <w:sz w:val="20"/>
                <w:szCs w:val="20"/>
              </w:rPr>
              <w:t>0</w:t>
            </w:r>
          </w:p>
        </w:tc>
      </w:tr>
      <w:tr w:rsidR="00757872" w:rsidTr="00757872">
        <w:tc>
          <w:tcPr>
            <w:tcW w:w="704" w:type="dxa"/>
            <w:tcBorders>
              <w:top w:val="nil"/>
              <w:bottom w:val="nil"/>
            </w:tcBorders>
            <w:shd w:val="clear" w:color="auto" w:fill="auto"/>
          </w:tcPr>
          <w:p w:rsidR="00757872" w:rsidRPr="00057741" w:rsidRDefault="00757872" w:rsidP="00757872">
            <w:pPr>
              <w:rPr>
                <w:b/>
                <w:color w:val="040C28"/>
                <w:sz w:val="20"/>
                <w:szCs w:val="20"/>
              </w:rPr>
            </w:pPr>
            <w:r w:rsidRPr="00057741">
              <w:rPr>
                <w:b/>
                <w:color w:val="040C28"/>
                <w:sz w:val="20"/>
                <w:szCs w:val="20"/>
              </w:rPr>
              <w:t>3</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6</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2.</w:t>
            </w:r>
            <w:r w:rsidR="00757872" w:rsidRPr="00057741">
              <w:rPr>
                <w:sz w:val="20"/>
                <w:szCs w:val="20"/>
              </w:rPr>
              <w:t>5</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22</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9.</w:t>
            </w:r>
            <w:r w:rsidR="00757872" w:rsidRPr="00057741">
              <w:rPr>
                <w:sz w:val="20"/>
                <w:szCs w:val="20"/>
              </w:rPr>
              <w:t>2</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35</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14</w:t>
            </w:r>
            <w:r w:rsidR="003F057C">
              <w:rPr>
                <w:sz w:val="20"/>
                <w:szCs w:val="20"/>
              </w:rPr>
              <w:t>.</w:t>
            </w:r>
            <w:r w:rsidRPr="00057741">
              <w:rPr>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31</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13</w:t>
            </w:r>
            <w:r w:rsidR="003F057C">
              <w:rPr>
                <w:sz w:val="20"/>
                <w:szCs w:val="20"/>
              </w:rPr>
              <w:t>.</w:t>
            </w:r>
            <w:r w:rsidRPr="00057741">
              <w:rPr>
                <w:sz w:val="20"/>
                <w:szCs w:val="20"/>
              </w:rPr>
              <w:t>0</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18</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7.</w:t>
            </w:r>
            <w:r w:rsidR="00757872" w:rsidRPr="00057741">
              <w:rPr>
                <w:sz w:val="20"/>
                <w:szCs w:val="20"/>
              </w:rPr>
              <w:t>5</w:t>
            </w:r>
          </w:p>
        </w:tc>
      </w:tr>
      <w:tr w:rsidR="00757872" w:rsidTr="00757872">
        <w:tc>
          <w:tcPr>
            <w:tcW w:w="704" w:type="dxa"/>
            <w:tcBorders>
              <w:top w:val="nil"/>
              <w:bottom w:val="nil"/>
            </w:tcBorders>
            <w:shd w:val="clear" w:color="auto" w:fill="auto"/>
          </w:tcPr>
          <w:p w:rsidR="00757872" w:rsidRPr="00057741" w:rsidRDefault="00757872" w:rsidP="00757872">
            <w:pPr>
              <w:rPr>
                <w:b/>
                <w:color w:val="040C28"/>
                <w:sz w:val="20"/>
                <w:szCs w:val="20"/>
              </w:rPr>
            </w:pPr>
            <w:r w:rsidRPr="00057741">
              <w:rPr>
                <w:b/>
                <w:color w:val="040C28"/>
                <w:sz w:val="20"/>
                <w:szCs w:val="20"/>
              </w:rPr>
              <w:t>4</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16</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6.</w:t>
            </w:r>
            <w:r w:rsidR="00757872" w:rsidRPr="00057741">
              <w:rPr>
                <w:sz w:val="20"/>
                <w:szCs w:val="20"/>
              </w:rPr>
              <w:t>7</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26</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10</w:t>
            </w:r>
            <w:r w:rsidR="003F057C">
              <w:rPr>
                <w:sz w:val="20"/>
                <w:szCs w:val="20"/>
              </w:rPr>
              <w:t>.</w:t>
            </w:r>
            <w:r w:rsidRPr="00057741">
              <w:rPr>
                <w:sz w:val="20"/>
                <w:szCs w:val="20"/>
              </w:rPr>
              <w:t>9</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24</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10.</w:t>
            </w:r>
            <w:r w:rsidR="00757872" w:rsidRPr="00057741">
              <w:rPr>
                <w:sz w:val="20"/>
                <w:szCs w:val="20"/>
              </w:rPr>
              <w:t>0</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19</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7.</w:t>
            </w:r>
            <w:r w:rsidR="00757872" w:rsidRPr="00057741">
              <w:rPr>
                <w:sz w:val="20"/>
                <w:szCs w:val="20"/>
              </w:rPr>
              <w:t>9</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25</w:t>
            </w:r>
          </w:p>
        </w:tc>
        <w:tc>
          <w:tcPr>
            <w:tcW w:w="745" w:type="dxa"/>
            <w:tcBorders>
              <w:top w:val="nil"/>
              <w:bottom w:val="nil"/>
            </w:tcBorders>
            <w:shd w:val="clear" w:color="auto" w:fill="auto"/>
          </w:tcPr>
          <w:p w:rsidR="00757872" w:rsidRPr="00057741" w:rsidRDefault="00757872" w:rsidP="003F057C">
            <w:pPr>
              <w:rPr>
                <w:sz w:val="20"/>
                <w:szCs w:val="20"/>
              </w:rPr>
            </w:pPr>
            <w:r w:rsidRPr="00057741">
              <w:rPr>
                <w:sz w:val="20"/>
                <w:szCs w:val="20"/>
              </w:rPr>
              <w:t>10</w:t>
            </w:r>
            <w:r w:rsidR="003F057C">
              <w:rPr>
                <w:sz w:val="20"/>
                <w:szCs w:val="20"/>
              </w:rPr>
              <w:t>.</w:t>
            </w:r>
            <w:r w:rsidRPr="00057741">
              <w:rPr>
                <w:sz w:val="20"/>
                <w:szCs w:val="20"/>
              </w:rPr>
              <w:t>5</w:t>
            </w:r>
          </w:p>
        </w:tc>
      </w:tr>
      <w:tr w:rsidR="00757872" w:rsidTr="00757872">
        <w:tc>
          <w:tcPr>
            <w:tcW w:w="704" w:type="dxa"/>
            <w:tcBorders>
              <w:top w:val="nil"/>
              <w:bottom w:val="nil"/>
            </w:tcBorders>
            <w:shd w:val="clear" w:color="auto" w:fill="auto"/>
          </w:tcPr>
          <w:p w:rsidR="00757872" w:rsidRPr="00057741" w:rsidRDefault="00757872" w:rsidP="00757872">
            <w:pPr>
              <w:rPr>
                <w:b/>
                <w:color w:val="040C28"/>
                <w:sz w:val="20"/>
                <w:szCs w:val="20"/>
              </w:rPr>
            </w:pPr>
            <w:r w:rsidRPr="00057741">
              <w:rPr>
                <w:b/>
                <w:color w:val="040C28"/>
                <w:sz w:val="20"/>
                <w:szCs w:val="20"/>
              </w:rPr>
              <w:t>5</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21</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8.</w:t>
            </w:r>
            <w:r w:rsidR="00757872" w:rsidRPr="00057741">
              <w:rPr>
                <w:sz w:val="20"/>
                <w:szCs w:val="20"/>
              </w:rPr>
              <w:t>8</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60</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25.</w:t>
            </w:r>
            <w:r w:rsidR="00757872" w:rsidRPr="00057741">
              <w:rPr>
                <w:sz w:val="20"/>
                <w:szCs w:val="20"/>
              </w:rPr>
              <w:t>1</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23</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9.</w:t>
            </w:r>
            <w:r w:rsidR="00757872" w:rsidRPr="00057741">
              <w:rPr>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25</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10</w:t>
            </w:r>
            <w:r w:rsidR="003F057C">
              <w:rPr>
                <w:sz w:val="20"/>
                <w:szCs w:val="20"/>
              </w:rPr>
              <w:t>.</w:t>
            </w:r>
            <w:r w:rsidRPr="00057741">
              <w:rPr>
                <w:sz w:val="20"/>
                <w:szCs w:val="20"/>
              </w:rPr>
              <w:t>5</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10</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4.</w:t>
            </w:r>
            <w:r w:rsidR="00757872" w:rsidRPr="00057741">
              <w:rPr>
                <w:sz w:val="20"/>
                <w:szCs w:val="20"/>
              </w:rPr>
              <w:t>2</w:t>
            </w:r>
          </w:p>
        </w:tc>
      </w:tr>
      <w:tr w:rsidR="00757872" w:rsidTr="00757872">
        <w:tc>
          <w:tcPr>
            <w:tcW w:w="704" w:type="dxa"/>
            <w:tcBorders>
              <w:top w:val="nil"/>
              <w:bottom w:val="nil"/>
            </w:tcBorders>
            <w:shd w:val="clear" w:color="auto" w:fill="auto"/>
          </w:tcPr>
          <w:p w:rsidR="00757872" w:rsidRPr="00057741" w:rsidRDefault="00757872" w:rsidP="00757872">
            <w:pPr>
              <w:rPr>
                <w:b/>
                <w:color w:val="040C28"/>
                <w:sz w:val="20"/>
                <w:szCs w:val="20"/>
              </w:rPr>
            </w:pPr>
            <w:r w:rsidRPr="00057741">
              <w:rPr>
                <w:b/>
                <w:color w:val="040C28"/>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23</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9.</w:t>
            </w:r>
            <w:r w:rsidR="00757872" w:rsidRPr="00057741">
              <w:rPr>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34</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14.</w:t>
            </w:r>
            <w:r w:rsidR="00757872" w:rsidRPr="00057741">
              <w:rPr>
                <w:sz w:val="20"/>
                <w:szCs w:val="20"/>
              </w:rPr>
              <w:t>2</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32</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13</w:t>
            </w:r>
            <w:r w:rsidR="003F057C">
              <w:rPr>
                <w:sz w:val="20"/>
                <w:szCs w:val="20"/>
              </w:rPr>
              <w:t>.</w:t>
            </w:r>
            <w:r w:rsidRPr="00057741">
              <w:rPr>
                <w:sz w:val="20"/>
                <w:szCs w:val="20"/>
              </w:rPr>
              <w:t>4</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22</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9.</w:t>
            </w:r>
            <w:r w:rsidR="00757872" w:rsidRPr="00057741">
              <w:rPr>
                <w:sz w:val="20"/>
                <w:szCs w:val="20"/>
              </w:rPr>
              <w:t>2</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8</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3.</w:t>
            </w:r>
            <w:r w:rsidR="00757872" w:rsidRPr="00057741">
              <w:rPr>
                <w:sz w:val="20"/>
                <w:szCs w:val="20"/>
              </w:rPr>
              <w:t>3</w:t>
            </w:r>
          </w:p>
        </w:tc>
      </w:tr>
      <w:tr w:rsidR="00757872" w:rsidTr="00757872">
        <w:tc>
          <w:tcPr>
            <w:tcW w:w="704" w:type="dxa"/>
            <w:tcBorders>
              <w:top w:val="nil"/>
              <w:bottom w:val="nil"/>
            </w:tcBorders>
            <w:shd w:val="clear" w:color="auto" w:fill="auto"/>
          </w:tcPr>
          <w:p w:rsidR="00757872" w:rsidRPr="00057741" w:rsidRDefault="00757872" w:rsidP="00757872">
            <w:pPr>
              <w:rPr>
                <w:b/>
                <w:color w:val="040C28"/>
                <w:sz w:val="20"/>
                <w:szCs w:val="20"/>
              </w:rPr>
            </w:pPr>
            <w:r w:rsidRPr="00057741">
              <w:rPr>
                <w:b/>
                <w:color w:val="040C28"/>
                <w:sz w:val="20"/>
                <w:szCs w:val="20"/>
              </w:rPr>
              <w:t>7</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36</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5.</w:t>
            </w:r>
            <w:r w:rsidR="00757872" w:rsidRPr="00057741">
              <w:rPr>
                <w:sz w:val="20"/>
                <w:szCs w:val="20"/>
              </w:rPr>
              <w:t>1</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37</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15.</w:t>
            </w:r>
            <w:r w:rsidR="00757872" w:rsidRPr="00057741">
              <w:rPr>
                <w:sz w:val="20"/>
                <w:szCs w:val="20"/>
              </w:rPr>
              <w:t>5</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30</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12.</w:t>
            </w:r>
            <w:r w:rsidR="00757872" w:rsidRPr="00057741">
              <w:rPr>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13</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5.</w:t>
            </w:r>
            <w:r w:rsidR="00757872" w:rsidRPr="00057741">
              <w:rPr>
                <w:sz w:val="20"/>
                <w:szCs w:val="20"/>
              </w:rPr>
              <w:t>4</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7</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2.</w:t>
            </w:r>
            <w:r w:rsidR="00757872" w:rsidRPr="00057741">
              <w:rPr>
                <w:sz w:val="20"/>
                <w:szCs w:val="20"/>
              </w:rPr>
              <w:t>9</w:t>
            </w:r>
          </w:p>
        </w:tc>
      </w:tr>
      <w:tr w:rsidR="00757872" w:rsidTr="00757872">
        <w:tc>
          <w:tcPr>
            <w:tcW w:w="704" w:type="dxa"/>
            <w:tcBorders>
              <w:top w:val="nil"/>
              <w:bottom w:val="nil"/>
            </w:tcBorders>
            <w:shd w:val="clear" w:color="auto" w:fill="auto"/>
          </w:tcPr>
          <w:p w:rsidR="00757872" w:rsidRPr="00057741" w:rsidRDefault="00757872" w:rsidP="00757872">
            <w:pPr>
              <w:rPr>
                <w:b/>
                <w:sz w:val="20"/>
                <w:szCs w:val="20"/>
              </w:rPr>
            </w:pPr>
            <w:r w:rsidRPr="00057741">
              <w:rPr>
                <w:b/>
                <w:sz w:val="20"/>
                <w:szCs w:val="20"/>
              </w:rPr>
              <w:t>8</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42</w:t>
            </w:r>
          </w:p>
        </w:tc>
        <w:tc>
          <w:tcPr>
            <w:tcW w:w="744" w:type="dxa"/>
            <w:tcBorders>
              <w:top w:val="nil"/>
              <w:bottom w:val="nil"/>
            </w:tcBorders>
            <w:shd w:val="clear" w:color="auto" w:fill="auto"/>
          </w:tcPr>
          <w:p w:rsidR="00757872" w:rsidRPr="00057741" w:rsidRDefault="00757872" w:rsidP="003F057C">
            <w:pPr>
              <w:rPr>
                <w:sz w:val="20"/>
                <w:szCs w:val="20"/>
              </w:rPr>
            </w:pPr>
            <w:r w:rsidRPr="00057741">
              <w:rPr>
                <w:sz w:val="20"/>
                <w:szCs w:val="20"/>
              </w:rPr>
              <w:t>17</w:t>
            </w:r>
            <w:r w:rsidR="003F057C">
              <w:rPr>
                <w:sz w:val="20"/>
                <w:szCs w:val="20"/>
              </w:rPr>
              <w:t>.</w:t>
            </w:r>
            <w:r w:rsidRPr="00057741">
              <w:rPr>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17</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7.</w:t>
            </w:r>
            <w:r w:rsidR="00757872" w:rsidRPr="00057741">
              <w:rPr>
                <w:sz w:val="20"/>
                <w:szCs w:val="20"/>
              </w:rPr>
              <w:t>1</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23</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9.</w:t>
            </w:r>
            <w:r w:rsidR="00757872" w:rsidRPr="00057741">
              <w:rPr>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w:t>
            </w:r>
            <w:r w:rsidR="00757872" w:rsidRPr="00057741">
              <w:rPr>
                <w:sz w:val="20"/>
                <w:szCs w:val="20"/>
              </w:rPr>
              <w:t>3</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1.</w:t>
            </w:r>
            <w:r w:rsidR="00757872" w:rsidRPr="00057741">
              <w:rPr>
                <w:sz w:val="20"/>
                <w:szCs w:val="20"/>
              </w:rPr>
              <w:t>3</w:t>
            </w:r>
          </w:p>
        </w:tc>
      </w:tr>
      <w:tr w:rsidR="00757872" w:rsidTr="00757872">
        <w:tc>
          <w:tcPr>
            <w:tcW w:w="704" w:type="dxa"/>
            <w:tcBorders>
              <w:top w:val="nil"/>
              <w:bottom w:val="nil"/>
            </w:tcBorders>
            <w:shd w:val="clear" w:color="auto" w:fill="auto"/>
          </w:tcPr>
          <w:p w:rsidR="00757872" w:rsidRPr="00057741" w:rsidRDefault="00757872" w:rsidP="00757872">
            <w:pPr>
              <w:rPr>
                <w:b/>
                <w:sz w:val="20"/>
                <w:szCs w:val="20"/>
              </w:rPr>
            </w:pPr>
            <w:r w:rsidRPr="00057741">
              <w:rPr>
                <w:b/>
                <w:sz w:val="20"/>
                <w:szCs w:val="20"/>
              </w:rPr>
              <w:t>9</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42</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17.</w:t>
            </w:r>
            <w:r w:rsidR="00757872" w:rsidRPr="00057741">
              <w:rPr>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11</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4.</w:t>
            </w:r>
            <w:r w:rsidR="00757872" w:rsidRPr="00057741">
              <w:rPr>
                <w:sz w:val="20"/>
                <w:szCs w:val="20"/>
              </w:rPr>
              <w:t>6</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21</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8.</w:t>
            </w:r>
            <w:r w:rsidR="00757872" w:rsidRPr="00057741">
              <w:rPr>
                <w:sz w:val="20"/>
                <w:szCs w:val="20"/>
              </w:rPr>
              <w:t>8</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7</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2.</w:t>
            </w:r>
            <w:r w:rsidR="00757872" w:rsidRPr="00057741">
              <w:rPr>
                <w:sz w:val="20"/>
                <w:szCs w:val="20"/>
              </w:rPr>
              <w:t>9</w:t>
            </w:r>
          </w:p>
        </w:tc>
      </w:tr>
      <w:tr w:rsidR="00757872" w:rsidTr="00757872">
        <w:tc>
          <w:tcPr>
            <w:tcW w:w="704" w:type="dxa"/>
            <w:tcBorders>
              <w:top w:val="nil"/>
              <w:bottom w:val="nil"/>
            </w:tcBorders>
            <w:shd w:val="clear" w:color="auto" w:fill="auto"/>
          </w:tcPr>
          <w:p w:rsidR="00757872" w:rsidRPr="00057741" w:rsidRDefault="00757872" w:rsidP="00757872">
            <w:pPr>
              <w:rPr>
                <w:b/>
                <w:sz w:val="20"/>
                <w:szCs w:val="20"/>
              </w:rPr>
            </w:pPr>
            <w:r w:rsidRPr="00057741">
              <w:rPr>
                <w:b/>
                <w:sz w:val="20"/>
                <w:szCs w:val="20"/>
              </w:rPr>
              <w:t>10</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30</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12.</w:t>
            </w:r>
            <w:r w:rsidR="00757872" w:rsidRPr="00057741">
              <w:rPr>
                <w:sz w:val="20"/>
                <w:szCs w:val="20"/>
              </w:rPr>
              <w:t>6</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10</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4.</w:t>
            </w:r>
            <w:r w:rsidR="00757872" w:rsidRPr="00057741">
              <w:rPr>
                <w:sz w:val="20"/>
                <w:szCs w:val="20"/>
              </w:rPr>
              <w:t>2</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9</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3.</w:t>
            </w:r>
            <w:r w:rsidR="00757872" w:rsidRPr="00057741">
              <w:rPr>
                <w:sz w:val="20"/>
                <w:szCs w:val="20"/>
              </w:rPr>
              <w:t>8</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7</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2.</w:t>
            </w:r>
            <w:r w:rsidR="00757872" w:rsidRPr="00057741">
              <w:rPr>
                <w:sz w:val="20"/>
                <w:szCs w:val="20"/>
              </w:rPr>
              <w:t>9</w:t>
            </w:r>
          </w:p>
        </w:tc>
      </w:tr>
      <w:tr w:rsidR="00757872" w:rsidTr="00757872">
        <w:tc>
          <w:tcPr>
            <w:tcW w:w="704" w:type="dxa"/>
            <w:tcBorders>
              <w:top w:val="nil"/>
              <w:bottom w:val="nil"/>
            </w:tcBorders>
            <w:shd w:val="clear" w:color="auto" w:fill="auto"/>
          </w:tcPr>
          <w:p w:rsidR="00757872" w:rsidRPr="00057741" w:rsidRDefault="00757872" w:rsidP="00757872">
            <w:pPr>
              <w:rPr>
                <w:b/>
                <w:sz w:val="20"/>
                <w:szCs w:val="20"/>
              </w:rPr>
            </w:pPr>
            <w:r w:rsidRPr="00057741">
              <w:rPr>
                <w:b/>
                <w:sz w:val="20"/>
                <w:szCs w:val="20"/>
              </w:rPr>
              <w:t>11</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4</w:t>
            </w:r>
          </w:p>
        </w:tc>
        <w:tc>
          <w:tcPr>
            <w:tcW w:w="744" w:type="dxa"/>
            <w:tcBorders>
              <w:top w:val="nil"/>
              <w:bottom w:val="nil"/>
            </w:tcBorders>
            <w:shd w:val="clear" w:color="auto" w:fill="auto"/>
          </w:tcPr>
          <w:p w:rsidR="00757872" w:rsidRPr="00057741" w:rsidRDefault="003F057C" w:rsidP="00757872">
            <w:pPr>
              <w:rPr>
                <w:sz w:val="20"/>
                <w:szCs w:val="20"/>
              </w:rPr>
            </w:pPr>
            <w:r>
              <w:rPr>
                <w:sz w:val="20"/>
                <w:szCs w:val="20"/>
              </w:rPr>
              <w:t>1.</w:t>
            </w:r>
            <w:r w:rsidR="00757872" w:rsidRPr="00057741">
              <w:rPr>
                <w:sz w:val="20"/>
                <w:szCs w:val="20"/>
              </w:rPr>
              <w:t>7</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5"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bottom w:val="nil"/>
            </w:tcBorders>
            <w:shd w:val="clear" w:color="auto" w:fill="auto"/>
          </w:tcPr>
          <w:p w:rsidR="00757872" w:rsidRPr="00057741" w:rsidRDefault="00757872" w:rsidP="00757872">
            <w:pPr>
              <w:rPr>
                <w:sz w:val="20"/>
                <w:szCs w:val="20"/>
              </w:rPr>
            </w:pPr>
            <w:r w:rsidRPr="00057741">
              <w:rPr>
                <w:sz w:val="20"/>
                <w:szCs w:val="20"/>
              </w:rPr>
              <w:t>3</w:t>
            </w:r>
          </w:p>
        </w:tc>
        <w:tc>
          <w:tcPr>
            <w:tcW w:w="745" w:type="dxa"/>
            <w:tcBorders>
              <w:top w:val="nil"/>
              <w:bottom w:val="nil"/>
            </w:tcBorders>
            <w:shd w:val="clear" w:color="auto" w:fill="auto"/>
          </w:tcPr>
          <w:p w:rsidR="00757872" w:rsidRPr="00057741" w:rsidRDefault="003F057C" w:rsidP="00757872">
            <w:pPr>
              <w:rPr>
                <w:sz w:val="20"/>
                <w:szCs w:val="20"/>
              </w:rPr>
            </w:pPr>
            <w:r>
              <w:rPr>
                <w:sz w:val="20"/>
                <w:szCs w:val="20"/>
              </w:rPr>
              <w:t>1.</w:t>
            </w:r>
            <w:r w:rsidR="00757872" w:rsidRPr="00057741">
              <w:rPr>
                <w:sz w:val="20"/>
                <w:szCs w:val="20"/>
              </w:rPr>
              <w:t>3</w:t>
            </w:r>
          </w:p>
        </w:tc>
      </w:tr>
      <w:tr w:rsidR="00757872" w:rsidTr="00757872">
        <w:tc>
          <w:tcPr>
            <w:tcW w:w="704" w:type="dxa"/>
            <w:tcBorders>
              <w:top w:val="nil"/>
            </w:tcBorders>
            <w:shd w:val="clear" w:color="auto" w:fill="auto"/>
          </w:tcPr>
          <w:p w:rsidR="00757872" w:rsidRPr="00057741" w:rsidRDefault="00757872" w:rsidP="00757872">
            <w:pPr>
              <w:rPr>
                <w:b/>
                <w:sz w:val="20"/>
                <w:szCs w:val="20"/>
              </w:rPr>
            </w:pPr>
            <w:r w:rsidRPr="00057741">
              <w:rPr>
                <w:b/>
                <w:sz w:val="20"/>
                <w:szCs w:val="20"/>
              </w:rPr>
              <w:t>12</w:t>
            </w:r>
          </w:p>
        </w:tc>
        <w:tc>
          <w:tcPr>
            <w:tcW w:w="744" w:type="dxa"/>
            <w:tcBorders>
              <w:top w:val="nil"/>
            </w:tcBorders>
            <w:shd w:val="clear" w:color="auto" w:fill="auto"/>
          </w:tcPr>
          <w:p w:rsidR="00757872" w:rsidRPr="00057741" w:rsidRDefault="00757872" w:rsidP="00757872">
            <w:pPr>
              <w:rPr>
                <w:sz w:val="20"/>
                <w:szCs w:val="20"/>
              </w:rPr>
            </w:pPr>
            <w:r w:rsidRPr="00057741">
              <w:rPr>
                <w:sz w:val="20"/>
                <w:szCs w:val="20"/>
              </w:rPr>
              <w:t>13</w:t>
            </w:r>
          </w:p>
        </w:tc>
        <w:tc>
          <w:tcPr>
            <w:tcW w:w="744" w:type="dxa"/>
            <w:tcBorders>
              <w:top w:val="nil"/>
            </w:tcBorders>
            <w:shd w:val="clear" w:color="auto" w:fill="auto"/>
          </w:tcPr>
          <w:p w:rsidR="00757872" w:rsidRPr="00057741" w:rsidRDefault="003F057C" w:rsidP="00757872">
            <w:pPr>
              <w:rPr>
                <w:sz w:val="20"/>
                <w:szCs w:val="20"/>
              </w:rPr>
            </w:pPr>
            <w:r>
              <w:rPr>
                <w:sz w:val="20"/>
                <w:szCs w:val="20"/>
              </w:rPr>
              <w:t>5.</w:t>
            </w:r>
            <w:r w:rsidR="00757872" w:rsidRPr="00057741">
              <w:rPr>
                <w:sz w:val="20"/>
                <w:szCs w:val="20"/>
              </w:rPr>
              <w:t>4</w:t>
            </w:r>
          </w:p>
        </w:tc>
        <w:tc>
          <w:tcPr>
            <w:tcW w:w="744" w:type="dxa"/>
            <w:tcBorders>
              <w:top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tcBorders>
            <w:shd w:val="clear" w:color="auto" w:fill="auto"/>
          </w:tcPr>
          <w:p w:rsidR="00757872" w:rsidRPr="00057741" w:rsidRDefault="00757872" w:rsidP="00757872">
            <w:pPr>
              <w:rPr>
                <w:sz w:val="20"/>
                <w:szCs w:val="20"/>
              </w:rPr>
            </w:pPr>
            <w:r w:rsidRPr="00057741">
              <w:rPr>
                <w:sz w:val="20"/>
                <w:szCs w:val="20"/>
              </w:rPr>
              <w:t>-</w:t>
            </w:r>
          </w:p>
        </w:tc>
        <w:tc>
          <w:tcPr>
            <w:tcW w:w="745" w:type="dxa"/>
            <w:tcBorders>
              <w:top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tcBorders>
            <w:shd w:val="clear" w:color="auto" w:fill="auto"/>
          </w:tcPr>
          <w:p w:rsidR="00757872" w:rsidRPr="00057741" w:rsidRDefault="00757872" w:rsidP="00757872">
            <w:pPr>
              <w:rPr>
                <w:sz w:val="20"/>
                <w:szCs w:val="20"/>
              </w:rPr>
            </w:pPr>
            <w:r w:rsidRPr="00057741">
              <w:rPr>
                <w:sz w:val="20"/>
                <w:szCs w:val="20"/>
              </w:rPr>
              <w:t>-</w:t>
            </w:r>
          </w:p>
        </w:tc>
        <w:tc>
          <w:tcPr>
            <w:tcW w:w="744" w:type="dxa"/>
            <w:tcBorders>
              <w:top w:val="nil"/>
            </w:tcBorders>
            <w:shd w:val="clear" w:color="auto" w:fill="auto"/>
          </w:tcPr>
          <w:p w:rsidR="00757872" w:rsidRPr="00057741" w:rsidRDefault="00757872" w:rsidP="00757872">
            <w:pPr>
              <w:rPr>
                <w:sz w:val="20"/>
                <w:szCs w:val="20"/>
              </w:rPr>
            </w:pPr>
            <w:r w:rsidRPr="00057741">
              <w:rPr>
                <w:sz w:val="20"/>
                <w:szCs w:val="20"/>
              </w:rPr>
              <w:t>17</w:t>
            </w:r>
          </w:p>
        </w:tc>
        <w:tc>
          <w:tcPr>
            <w:tcW w:w="745" w:type="dxa"/>
            <w:tcBorders>
              <w:top w:val="nil"/>
            </w:tcBorders>
            <w:shd w:val="clear" w:color="auto" w:fill="auto"/>
          </w:tcPr>
          <w:p w:rsidR="00757872" w:rsidRPr="00057741" w:rsidRDefault="003F057C" w:rsidP="00757872">
            <w:pPr>
              <w:rPr>
                <w:sz w:val="20"/>
                <w:szCs w:val="20"/>
              </w:rPr>
            </w:pPr>
            <w:r>
              <w:rPr>
                <w:sz w:val="20"/>
                <w:szCs w:val="20"/>
              </w:rPr>
              <w:t>7.</w:t>
            </w:r>
            <w:r w:rsidR="00757872" w:rsidRPr="00057741">
              <w:rPr>
                <w:sz w:val="20"/>
                <w:szCs w:val="20"/>
              </w:rPr>
              <w:t>1</w:t>
            </w:r>
          </w:p>
        </w:tc>
      </w:tr>
    </w:tbl>
    <w:p w:rsidR="00757872" w:rsidRDefault="00757872" w:rsidP="00887146">
      <w:pPr>
        <w:spacing w:line="360" w:lineRule="auto"/>
      </w:pPr>
    </w:p>
    <w:p w:rsidR="00887146" w:rsidRPr="00887146" w:rsidRDefault="00887146" w:rsidP="00592B4D">
      <w:pPr>
        <w:pBdr>
          <w:top w:val="nil"/>
          <w:left w:val="nil"/>
          <w:bottom w:val="nil"/>
          <w:right w:val="nil"/>
          <w:between w:val="nil"/>
        </w:pBdr>
        <w:ind w:firstLine="720"/>
        <w:rPr>
          <w:color w:val="000000"/>
        </w:rPr>
      </w:pPr>
      <w:r w:rsidRPr="00887146">
        <w:rPr>
          <w:color w:val="000000"/>
        </w:rPr>
        <w:t>Table 3 provides insights into the scores obtained by students in various translations between different representation types. It is noteworthy that students did not receive zero points solely in the translation from figure representation; rather, some students received zero points in all other representation types as well. The highest score attained in translation from verbal representation to other forms was 8, while the highest score achieved in the translation from tables and graphical representations to other forms was 10, and the highest score obtained in the translation from figure and algebraic representations was 12. When each category was examined individually, the highest frequencies were found to be 8 and 9 points for translation from figure representation, 5 points for translation from table representation, 3 points for translation from graphical representation, 1 point for translation from verbal representation, and 0 points for translation from algebraic representation.</w:t>
      </w:r>
    </w:p>
    <w:p w:rsidR="00887146" w:rsidRPr="00887146" w:rsidRDefault="00887146" w:rsidP="00887146">
      <w:pPr>
        <w:pBdr>
          <w:top w:val="nil"/>
          <w:left w:val="nil"/>
          <w:bottom w:val="nil"/>
          <w:right w:val="nil"/>
          <w:between w:val="nil"/>
        </w:pBdr>
        <w:ind w:firstLine="720"/>
        <w:rPr>
          <w:color w:val="000000"/>
        </w:rPr>
      </w:pPr>
      <w:r w:rsidRPr="00887146">
        <w:rPr>
          <w:color w:val="000000"/>
        </w:rPr>
        <w:t>To demonstrate whether students’ multiple representation achievement scores varied according to their grade levels, a one-way analysis of variance (ANOVA) was conducted. The ANOVA results are presented in Table 4 below.</w:t>
      </w:r>
    </w:p>
    <w:p w:rsidR="00887146" w:rsidRDefault="00887146" w:rsidP="00A23267">
      <w:pPr>
        <w:spacing w:line="240" w:lineRule="auto"/>
      </w:pPr>
      <w:r w:rsidRPr="00A23267">
        <w:rPr>
          <w:b/>
        </w:rPr>
        <w:t>Table 4</w:t>
      </w:r>
      <w:r w:rsidRPr="00BA6C6E">
        <w:t xml:space="preserve"> ANOVA results of multiple representation achievement scores according to grade level</w:t>
      </w:r>
    </w:p>
    <w:p w:rsidR="00757872" w:rsidRDefault="00757872" w:rsidP="00A23267">
      <w:pPr>
        <w:spacing w:line="240" w:lineRule="auto"/>
      </w:pPr>
    </w:p>
    <w:tbl>
      <w:tblPr>
        <w:tblStyle w:val="a0"/>
        <w:tblW w:w="8500" w:type="dxa"/>
        <w:tblInd w:w="0" w:type="dxa"/>
        <w:tblBorders>
          <w:top w:val="single" w:sz="4" w:space="0" w:color="000000"/>
          <w:bottom w:val="single" w:sz="4" w:space="0" w:color="000000"/>
          <w:insideH w:val="single" w:sz="4" w:space="0" w:color="000000"/>
        </w:tblBorders>
        <w:tblLayout w:type="fixed"/>
        <w:tblCellMar>
          <w:left w:w="57" w:type="dxa"/>
          <w:right w:w="57" w:type="dxa"/>
        </w:tblCellMar>
        <w:tblLook w:val="0400" w:firstRow="0" w:lastRow="0" w:firstColumn="0" w:lastColumn="0" w:noHBand="0" w:noVBand="1"/>
      </w:tblPr>
      <w:tblGrid>
        <w:gridCol w:w="704"/>
        <w:gridCol w:w="567"/>
        <w:gridCol w:w="851"/>
        <w:gridCol w:w="708"/>
        <w:gridCol w:w="1134"/>
        <w:gridCol w:w="851"/>
        <w:gridCol w:w="709"/>
        <w:gridCol w:w="567"/>
        <w:gridCol w:w="567"/>
        <w:gridCol w:w="598"/>
        <w:gridCol w:w="1244"/>
      </w:tblGrid>
      <w:tr w:rsidR="00A74BD3" w:rsidTr="00A74BD3">
        <w:tc>
          <w:tcPr>
            <w:tcW w:w="704" w:type="dxa"/>
            <w:shd w:val="clear" w:color="auto" w:fill="F2F2F2"/>
          </w:tcPr>
          <w:p w:rsidR="00A74BD3" w:rsidRPr="00057741" w:rsidRDefault="00A74BD3" w:rsidP="00A74BD3">
            <w:pPr>
              <w:rPr>
                <w:b/>
                <w:sz w:val="20"/>
                <w:szCs w:val="20"/>
              </w:rPr>
            </w:pPr>
            <w:r>
              <w:rPr>
                <w:b/>
                <w:sz w:val="20"/>
                <w:szCs w:val="20"/>
              </w:rPr>
              <w:t xml:space="preserve">Grade </w:t>
            </w:r>
          </w:p>
        </w:tc>
        <w:tc>
          <w:tcPr>
            <w:tcW w:w="567" w:type="dxa"/>
            <w:shd w:val="clear" w:color="auto" w:fill="F2F2F2"/>
          </w:tcPr>
          <w:p w:rsidR="00A74BD3" w:rsidRPr="00057741" w:rsidRDefault="00A74BD3" w:rsidP="00A74BD3">
            <w:pPr>
              <w:jc w:val="center"/>
              <w:rPr>
                <w:b/>
                <w:sz w:val="20"/>
                <w:szCs w:val="20"/>
              </w:rPr>
            </w:pPr>
            <w:r w:rsidRPr="00057741">
              <w:rPr>
                <w:b/>
                <w:sz w:val="20"/>
                <w:szCs w:val="20"/>
              </w:rPr>
              <w:t>N</w:t>
            </w:r>
          </w:p>
        </w:tc>
        <w:tc>
          <w:tcPr>
            <w:tcW w:w="851" w:type="dxa"/>
            <w:shd w:val="clear" w:color="auto" w:fill="F2F2F2"/>
          </w:tcPr>
          <w:p w:rsidR="00A74BD3" w:rsidRPr="00057741" w:rsidRDefault="00A74BD3" w:rsidP="00A74BD3">
            <w:pPr>
              <w:jc w:val="center"/>
              <w:rPr>
                <w:b/>
                <w:sz w:val="20"/>
                <w:szCs w:val="20"/>
              </w:rPr>
            </w:pPr>
            <w:r w:rsidRPr="00057741">
              <w:rPr>
                <w:b/>
                <w:color w:val="040C28"/>
                <w:sz w:val="20"/>
                <w:szCs w:val="20"/>
              </w:rPr>
              <w:t>x̄</w:t>
            </w:r>
          </w:p>
        </w:tc>
        <w:tc>
          <w:tcPr>
            <w:tcW w:w="708" w:type="dxa"/>
            <w:shd w:val="clear" w:color="auto" w:fill="F2F2F2"/>
          </w:tcPr>
          <w:p w:rsidR="00A74BD3" w:rsidRPr="00057741" w:rsidRDefault="00A74BD3" w:rsidP="00A74BD3">
            <w:pPr>
              <w:jc w:val="center"/>
              <w:rPr>
                <w:b/>
                <w:sz w:val="20"/>
                <w:szCs w:val="20"/>
              </w:rPr>
            </w:pPr>
            <w:r w:rsidRPr="00057741">
              <w:rPr>
                <w:b/>
                <w:sz w:val="20"/>
                <w:szCs w:val="20"/>
              </w:rPr>
              <w:t>S</w:t>
            </w:r>
            <w:r>
              <w:rPr>
                <w:b/>
                <w:sz w:val="20"/>
                <w:szCs w:val="20"/>
              </w:rPr>
              <w:t>d</w:t>
            </w:r>
          </w:p>
        </w:tc>
        <w:tc>
          <w:tcPr>
            <w:tcW w:w="1134" w:type="dxa"/>
            <w:shd w:val="clear" w:color="auto" w:fill="F2F2F2"/>
          </w:tcPr>
          <w:p w:rsidR="00A74BD3" w:rsidRPr="00BA6C6E" w:rsidRDefault="00A74BD3" w:rsidP="00A74BD3">
            <w:pPr>
              <w:rPr>
                <w:b/>
                <w:bCs/>
                <w:sz w:val="20"/>
                <w:szCs w:val="20"/>
              </w:rPr>
            </w:pPr>
            <w:r w:rsidRPr="00BA6C6E">
              <w:rPr>
                <w:b/>
                <w:bCs/>
                <w:sz w:val="20"/>
                <w:szCs w:val="20"/>
              </w:rPr>
              <w:t>Source of variance</w:t>
            </w:r>
          </w:p>
        </w:tc>
        <w:tc>
          <w:tcPr>
            <w:tcW w:w="851" w:type="dxa"/>
            <w:shd w:val="clear" w:color="auto" w:fill="F2F2F2"/>
          </w:tcPr>
          <w:p w:rsidR="00A74BD3" w:rsidRPr="00057741" w:rsidRDefault="00A74BD3" w:rsidP="00A74BD3">
            <w:pPr>
              <w:rPr>
                <w:b/>
                <w:sz w:val="20"/>
                <w:szCs w:val="20"/>
              </w:rPr>
            </w:pPr>
            <w:r w:rsidRPr="00057741">
              <w:rPr>
                <w:b/>
                <w:sz w:val="20"/>
                <w:szCs w:val="20"/>
              </w:rPr>
              <w:t>KT</w:t>
            </w:r>
          </w:p>
        </w:tc>
        <w:tc>
          <w:tcPr>
            <w:tcW w:w="709" w:type="dxa"/>
            <w:shd w:val="clear" w:color="auto" w:fill="F2F2F2"/>
          </w:tcPr>
          <w:p w:rsidR="00A74BD3" w:rsidRPr="00057741" w:rsidRDefault="00A74BD3" w:rsidP="00A74BD3">
            <w:pPr>
              <w:rPr>
                <w:b/>
                <w:sz w:val="20"/>
                <w:szCs w:val="20"/>
              </w:rPr>
            </w:pPr>
            <w:r w:rsidRPr="00057741">
              <w:rPr>
                <w:b/>
                <w:sz w:val="20"/>
                <w:szCs w:val="20"/>
              </w:rPr>
              <w:t>sd</w:t>
            </w:r>
          </w:p>
        </w:tc>
        <w:tc>
          <w:tcPr>
            <w:tcW w:w="567" w:type="dxa"/>
            <w:shd w:val="clear" w:color="auto" w:fill="F2F2F2"/>
          </w:tcPr>
          <w:p w:rsidR="00A74BD3" w:rsidRPr="00057741" w:rsidRDefault="00A74BD3" w:rsidP="00A74BD3">
            <w:pPr>
              <w:rPr>
                <w:b/>
                <w:sz w:val="20"/>
                <w:szCs w:val="20"/>
              </w:rPr>
            </w:pPr>
            <w:r w:rsidRPr="00057741">
              <w:rPr>
                <w:b/>
                <w:sz w:val="20"/>
                <w:szCs w:val="20"/>
              </w:rPr>
              <w:t>KO</w:t>
            </w:r>
          </w:p>
        </w:tc>
        <w:tc>
          <w:tcPr>
            <w:tcW w:w="567" w:type="dxa"/>
            <w:shd w:val="clear" w:color="auto" w:fill="F2F2F2"/>
          </w:tcPr>
          <w:p w:rsidR="00A74BD3" w:rsidRPr="00057741" w:rsidRDefault="00A74BD3" w:rsidP="00A74BD3">
            <w:pPr>
              <w:rPr>
                <w:b/>
                <w:sz w:val="20"/>
                <w:szCs w:val="20"/>
              </w:rPr>
            </w:pPr>
            <w:r w:rsidRPr="00057741">
              <w:rPr>
                <w:b/>
                <w:sz w:val="20"/>
                <w:szCs w:val="20"/>
              </w:rPr>
              <w:t>F</w:t>
            </w:r>
          </w:p>
        </w:tc>
        <w:tc>
          <w:tcPr>
            <w:tcW w:w="598" w:type="dxa"/>
            <w:shd w:val="clear" w:color="auto" w:fill="F2F2F2"/>
          </w:tcPr>
          <w:p w:rsidR="00A74BD3" w:rsidRPr="00057741" w:rsidRDefault="00A74BD3" w:rsidP="00A74BD3">
            <w:pPr>
              <w:rPr>
                <w:b/>
                <w:sz w:val="20"/>
                <w:szCs w:val="20"/>
              </w:rPr>
            </w:pPr>
            <w:r w:rsidRPr="00057741">
              <w:rPr>
                <w:b/>
                <w:sz w:val="20"/>
                <w:szCs w:val="20"/>
              </w:rPr>
              <w:t>p</w:t>
            </w:r>
          </w:p>
        </w:tc>
        <w:tc>
          <w:tcPr>
            <w:tcW w:w="1244" w:type="dxa"/>
            <w:shd w:val="clear" w:color="auto" w:fill="F2F2F2"/>
          </w:tcPr>
          <w:p w:rsidR="00A74BD3" w:rsidRPr="00057741" w:rsidRDefault="00A74BD3" w:rsidP="00A74BD3">
            <w:pPr>
              <w:rPr>
                <w:b/>
                <w:sz w:val="20"/>
                <w:szCs w:val="20"/>
              </w:rPr>
            </w:pPr>
            <w:r>
              <w:rPr>
                <w:b/>
                <w:sz w:val="20"/>
                <w:szCs w:val="20"/>
              </w:rPr>
              <w:t xml:space="preserve">Significance </w:t>
            </w:r>
          </w:p>
        </w:tc>
      </w:tr>
      <w:tr w:rsidR="00A74BD3" w:rsidTr="00A74BD3">
        <w:tc>
          <w:tcPr>
            <w:tcW w:w="704" w:type="dxa"/>
            <w:shd w:val="clear" w:color="auto" w:fill="auto"/>
          </w:tcPr>
          <w:p w:rsidR="00A74BD3" w:rsidRPr="00057741" w:rsidRDefault="00A74BD3" w:rsidP="00A74BD3">
            <w:pPr>
              <w:rPr>
                <w:sz w:val="20"/>
                <w:szCs w:val="20"/>
              </w:rPr>
            </w:pPr>
            <w:r>
              <w:rPr>
                <w:sz w:val="20"/>
                <w:szCs w:val="20"/>
              </w:rPr>
              <w:lastRenderedPageBreak/>
              <w:t>9th</w:t>
            </w:r>
            <w:r w:rsidRPr="00057741">
              <w:rPr>
                <w:sz w:val="20"/>
                <w:szCs w:val="20"/>
              </w:rPr>
              <w:t xml:space="preserve"> </w:t>
            </w:r>
            <w:r>
              <w:rPr>
                <w:sz w:val="20"/>
                <w:szCs w:val="20"/>
              </w:rPr>
              <w:t>grade</w:t>
            </w:r>
          </w:p>
        </w:tc>
        <w:tc>
          <w:tcPr>
            <w:tcW w:w="567" w:type="dxa"/>
            <w:shd w:val="clear" w:color="auto" w:fill="auto"/>
          </w:tcPr>
          <w:p w:rsidR="00A74BD3" w:rsidRPr="00057741" w:rsidRDefault="00A74BD3" w:rsidP="00A74BD3">
            <w:pPr>
              <w:rPr>
                <w:sz w:val="20"/>
                <w:szCs w:val="20"/>
              </w:rPr>
            </w:pPr>
            <w:r w:rsidRPr="00057741">
              <w:rPr>
                <w:sz w:val="20"/>
                <w:szCs w:val="20"/>
              </w:rPr>
              <w:t>84</w:t>
            </w:r>
          </w:p>
        </w:tc>
        <w:tc>
          <w:tcPr>
            <w:tcW w:w="851" w:type="dxa"/>
            <w:shd w:val="clear" w:color="auto" w:fill="auto"/>
          </w:tcPr>
          <w:p w:rsidR="00A74BD3" w:rsidRPr="00057741" w:rsidRDefault="003F057C" w:rsidP="00A74BD3">
            <w:pPr>
              <w:rPr>
                <w:sz w:val="20"/>
                <w:szCs w:val="20"/>
              </w:rPr>
            </w:pPr>
            <w:r>
              <w:rPr>
                <w:sz w:val="20"/>
                <w:szCs w:val="20"/>
              </w:rPr>
              <w:t>4.</w:t>
            </w:r>
            <w:r w:rsidR="00A74BD3" w:rsidRPr="00057741">
              <w:rPr>
                <w:sz w:val="20"/>
                <w:szCs w:val="20"/>
              </w:rPr>
              <w:t>495</w:t>
            </w:r>
          </w:p>
        </w:tc>
        <w:tc>
          <w:tcPr>
            <w:tcW w:w="708" w:type="dxa"/>
            <w:shd w:val="clear" w:color="auto" w:fill="auto"/>
          </w:tcPr>
          <w:p w:rsidR="00A74BD3" w:rsidRPr="00057741" w:rsidRDefault="003F057C" w:rsidP="00A74BD3">
            <w:pPr>
              <w:rPr>
                <w:sz w:val="20"/>
                <w:szCs w:val="20"/>
              </w:rPr>
            </w:pPr>
            <w:r>
              <w:rPr>
                <w:sz w:val="20"/>
                <w:szCs w:val="20"/>
              </w:rPr>
              <w:t>1.</w:t>
            </w:r>
            <w:r w:rsidR="00A74BD3" w:rsidRPr="00057741">
              <w:rPr>
                <w:sz w:val="20"/>
                <w:szCs w:val="20"/>
              </w:rPr>
              <w:t>391</w:t>
            </w:r>
          </w:p>
        </w:tc>
        <w:tc>
          <w:tcPr>
            <w:tcW w:w="1134" w:type="dxa"/>
            <w:shd w:val="clear" w:color="auto" w:fill="auto"/>
          </w:tcPr>
          <w:p w:rsidR="00A74BD3" w:rsidRPr="00057741" w:rsidRDefault="00A74BD3" w:rsidP="00A74BD3">
            <w:pPr>
              <w:rPr>
                <w:b/>
                <w:sz w:val="20"/>
                <w:szCs w:val="20"/>
              </w:rPr>
            </w:pPr>
            <w:r>
              <w:rPr>
                <w:b/>
                <w:sz w:val="20"/>
                <w:szCs w:val="20"/>
              </w:rPr>
              <w:t xml:space="preserve">Intergroup </w:t>
            </w:r>
          </w:p>
        </w:tc>
        <w:tc>
          <w:tcPr>
            <w:tcW w:w="851" w:type="dxa"/>
            <w:shd w:val="clear" w:color="auto" w:fill="auto"/>
          </w:tcPr>
          <w:p w:rsidR="00A74BD3" w:rsidRPr="00057741" w:rsidRDefault="003F057C" w:rsidP="00A74BD3">
            <w:pPr>
              <w:rPr>
                <w:sz w:val="20"/>
                <w:szCs w:val="20"/>
              </w:rPr>
            </w:pPr>
            <w:r>
              <w:rPr>
                <w:sz w:val="20"/>
                <w:szCs w:val="20"/>
              </w:rPr>
              <w:t>17.</w:t>
            </w:r>
            <w:r w:rsidR="00A74BD3" w:rsidRPr="00057741">
              <w:rPr>
                <w:sz w:val="20"/>
                <w:szCs w:val="20"/>
              </w:rPr>
              <w:t>598</w:t>
            </w:r>
          </w:p>
        </w:tc>
        <w:tc>
          <w:tcPr>
            <w:tcW w:w="709" w:type="dxa"/>
            <w:shd w:val="clear" w:color="auto" w:fill="auto"/>
          </w:tcPr>
          <w:p w:rsidR="00A74BD3" w:rsidRPr="00057741" w:rsidRDefault="00A74BD3" w:rsidP="00A74BD3">
            <w:pPr>
              <w:rPr>
                <w:sz w:val="20"/>
                <w:szCs w:val="20"/>
              </w:rPr>
            </w:pPr>
            <w:r w:rsidRPr="00057741">
              <w:rPr>
                <w:sz w:val="20"/>
                <w:szCs w:val="20"/>
              </w:rPr>
              <w:t>2</w:t>
            </w:r>
          </w:p>
        </w:tc>
        <w:tc>
          <w:tcPr>
            <w:tcW w:w="567" w:type="dxa"/>
            <w:shd w:val="clear" w:color="auto" w:fill="auto"/>
          </w:tcPr>
          <w:p w:rsidR="00A74BD3" w:rsidRPr="00057741" w:rsidRDefault="003F057C" w:rsidP="00A74BD3">
            <w:pPr>
              <w:rPr>
                <w:sz w:val="20"/>
                <w:szCs w:val="20"/>
              </w:rPr>
            </w:pPr>
            <w:r>
              <w:rPr>
                <w:sz w:val="20"/>
                <w:szCs w:val="20"/>
              </w:rPr>
              <w:t>8.</w:t>
            </w:r>
            <w:r w:rsidR="00A74BD3" w:rsidRPr="00057741">
              <w:rPr>
                <w:sz w:val="20"/>
                <w:szCs w:val="20"/>
              </w:rPr>
              <w:t>799</w:t>
            </w:r>
          </w:p>
        </w:tc>
        <w:tc>
          <w:tcPr>
            <w:tcW w:w="567" w:type="dxa"/>
            <w:vMerge w:val="restart"/>
            <w:shd w:val="clear" w:color="auto" w:fill="auto"/>
            <w:vAlign w:val="center"/>
          </w:tcPr>
          <w:p w:rsidR="00A74BD3" w:rsidRPr="00057741" w:rsidRDefault="003F057C" w:rsidP="00A74BD3">
            <w:pPr>
              <w:jc w:val="center"/>
              <w:rPr>
                <w:sz w:val="20"/>
                <w:szCs w:val="20"/>
              </w:rPr>
            </w:pPr>
            <w:r>
              <w:rPr>
                <w:sz w:val="20"/>
                <w:szCs w:val="20"/>
              </w:rPr>
              <w:t>3.</w:t>
            </w:r>
            <w:r w:rsidR="00A74BD3" w:rsidRPr="00057741">
              <w:rPr>
                <w:sz w:val="20"/>
                <w:szCs w:val="20"/>
              </w:rPr>
              <w:t>963</w:t>
            </w:r>
          </w:p>
        </w:tc>
        <w:tc>
          <w:tcPr>
            <w:tcW w:w="598" w:type="dxa"/>
            <w:vMerge w:val="restart"/>
            <w:shd w:val="clear" w:color="auto" w:fill="auto"/>
            <w:vAlign w:val="center"/>
          </w:tcPr>
          <w:p w:rsidR="00A74BD3" w:rsidRPr="00057741" w:rsidRDefault="003F057C" w:rsidP="00A74BD3">
            <w:pPr>
              <w:jc w:val="center"/>
              <w:rPr>
                <w:sz w:val="20"/>
                <w:szCs w:val="20"/>
              </w:rPr>
            </w:pPr>
            <w:r>
              <w:rPr>
                <w:sz w:val="20"/>
                <w:szCs w:val="20"/>
              </w:rPr>
              <w:t>0.</w:t>
            </w:r>
            <w:r w:rsidR="00A74BD3" w:rsidRPr="00057741">
              <w:rPr>
                <w:sz w:val="20"/>
                <w:szCs w:val="20"/>
              </w:rPr>
              <w:t>02</w:t>
            </w:r>
          </w:p>
        </w:tc>
        <w:tc>
          <w:tcPr>
            <w:tcW w:w="1244" w:type="dxa"/>
            <w:vMerge w:val="restart"/>
            <w:shd w:val="clear" w:color="auto" w:fill="auto"/>
            <w:vAlign w:val="center"/>
          </w:tcPr>
          <w:p w:rsidR="00A74BD3" w:rsidRPr="00057741" w:rsidRDefault="00A74BD3" w:rsidP="00A74BD3">
            <w:pPr>
              <w:jc w:val="center"/>
              <w:rPr>
                <w:sz w:val="20"/>
                <w:szCs w:val="20"/>
              </w:rPr>
            </w:pPr>
            <w:r w:rsidRPr="00057741">
              <w:rPr>
                <w:sz w:val="20"/>
                <w:szCs w:val="20"/>
              </w:rPr>
              <w:t>9-11;11-9</w:t>
            </w:r>
          </w:p>
        </w:tc>
      </w:tr>
      <w:tr w:rsidR="00A74BD3" w:rsidTr="00A74BD3">
        <w:tc>
          <w:tcPr>
            <w:tcW w:w="704" w:type="dxa"/>
            <w:shd w:val="clear" w:color="auto" w:fill="auto"/>
          </w:tcPr>
          <w:p w:rsidR="00A74BD3" w:rsidRPr="00057741" w:rsidRDefault="00A74BD3" w:rsidP="00A74BD3">
            <w:pPr>
              <w:rPr>
                <w:sz w:val="20"/>
                <w:szCs w:val="20"/>
              </w:rPr>
            </w:pPr>
            <w:r>
              <w:rPr>
                <w:sz w:val="20"/>
                <w:szCs w:val="20"/>
              </w:rPr>
              <w:t>10th</w:t>
            </w:r>
            <w:r w:rsidRPr="00057741">
              <w:rPr>
                <w:sz w:val="20"/>
                <w:szCs w:val="20"/>
              </w:rPr>
              <w:t xml:space="preserve"> </w:t>
            </w:r>
            <w:r>
              <w:rPr>
                <w:sz w:val="20"/>
                <w:szCs w:val="20"/>
              </w:rPr>
              <w:t>grade</w:t>
            </w:r>
          </w:p>
        </w:tc>
        <w:tc>
          <w:tcPr>
            <w:tcW w:w="567" w:type="dxa"/>
            <w:shd w:val="clear" w:color="auto" w:fill="auto"/>
          </w:tcPr>
          <w:p w:rsidR="00A74BD3" w:rsidRPr="00057741" w:rsidRDefault="00A74BD3" w:rsidP="00A74BD3">
            <w:pPr>
              <w:rPr>
                <w:sz w:val="20"/>
                <w:szCs w:val="20"/>
              </w:rPr>
            </w:pPr>
            <w:r w:rsidRPr="00057741">
              <w:rPr>
                <w:sz w:val="20"/>
                <w:szCs w:val="20"/>
              </w:rPr>
              <w:t>106</w:t>
            </w:r>
          </w:p>
        </w:tc>
        <w:tc>
          <w:tcPr>
            <w:tcW w:w="851" w:type="dxa"/>
            <w:shd w:val="clear" w:color="auto" w:fill="auto"/>
          </w:tcPr>
          <w:p w:rsidR="00A74BD3" w:rsidRPr="00057741" w:rsidRDefault="003F057C" w:rsidP="00A74BD3">
            <w:pPr>
              <w:rPr>
                <w:sz w:val="20"/>
                <w:szCs w:val="20"/>
              </w:rPr>
            </w:pPr>
            <w:r>
              <w:rPr>
                <w:sz w:val="20"/>
                <w:szCs w:val="20"/>
              </w:rPr>
              <w:t>4.</w:t>
            </w:r>
            <w:r w:rsidR="00A74BD3" w:rsidRPr="00057741">
              <w:rPr>
                <w:sz w:val="20"/>
                <w:szCs w:val="20"/>
              </w:rPr>
              <w:t>757</w:t>
            </w:r>
          </w:p>
        </w:tc>
        <w:tc>
          <w:tcPr>
            <w:tcW w:w="708" w:type="dxa"/>
            <w:shd w:val="clear" w:color="auto" w:fill="auto"/>
          </w:tcPr>
          <w:p w:rsidR="00A74BD3" w:rsidRPr="00057741" w:rsidRDefault="003F057C" w:rsidP="00A74BD3">
            <w:pPr>
              <w:rPr>
                <w:sz w:val="20"/>
                <w:szCs w:val="20"/>
              </w:rPr>
            </w:pPr>
            <w:r>
              <w:rPr>
                <w:sz w:val="20"/>
                <w:szCs w:val="20"/>
              </w:rPr>
              <w:t>1.</w:t>
            </w:r>
            <w:r w:rsidR="00A74BD3" w:rsidRPr="00057741">
              <w:rPr>
                <w:sz w:val="20"/>
                <w:szCs w:val="20"/>
              </w:rPr>
              <w:t>519</w:t>
            </w:r>
          </w:p>
        </w:tc>
        <w:tc>
          <w:tcPr>
            <w:tcW w:w="1134" w:type="dxa"/>
            <w:shd w:val="clear" w:color="auto" w:fill="auto"/>
          </w:tcPr>
          <w:p w:rsidR="00A74BD3" w:rsidRPr="00057741" w:rsidRDefault="00A74BD3" w:rsidP="00A74BD3">
            <w:pPr>
              <w:rPr>
                <w:b/>
                <w:sz w:val="20"/>
                <w:szCs w:val="20"/>
              </w:rPr>
            </w:pPr>
            <w:r>
              <w:rPr>
                <w:b/>
                <w:sz w:val="20"/>
                <w:szCs w:val="20"/>
              </w:rPr>
              <w:t xml:space="preserve">Intragroup </w:t>
            </w:r>
          </w:p>
        </w:tc>
        <w:tc>
          <w:tcPr>
            <w:tcW w:w="851" w:type="dxa"/>
            <w:shd w:val="clear" w:color="auto" w:fill="auto"/>
          </w:tcPr>
          <w:p w:rsidR="00A74BD3" w:rsidRPr="00057741" w:rsidRDefault="00A74BD3" w:rsidP="003F057C">
            <w:pPr>
              <w:rPr>
                <w:sz w:val="20"/>
                <w:szCs w:val="20"/>
              </w:rPr>
            </w:pPr>
            <w:r w:rsidRPr="00057741">
              <w:rPr>
                <w:sz w:val="20"/>
                <w:szCs w:val="20"/>
              </w:rPr>
              <w:t>523</w:t>
            </w:r>
            <w:r w:rsidR="003F057C">
              <w:rPr>
                <w:sz w:val="20"/>
                <w:szCs w:val="20"/>
              </w:rPr>
              <w:t>.</w:t>
            </w:r>
            <w:r w:rsidRPr="00057741">
              <w:rPr>
                <w:sz w:val="20"/>
                <w:szCs w:val="20"/>
              </w:rPr>
              <w:t>921</w:t>
            </w:r>
          </w:p>
        </w:tc>
        <w:tc>
          <w:tcPr>
            <w:tcW w:w="709" w:type="dxa"/>
            <w:shd w:val="clear" w:color="auto" w:fill="auto"/>
          </w:tcPr>
          <w:p w:rsidR="00A74BD3" w:rsidRPr="00057741" w:rsidRDefault="00A74BD3" w:rsidP="00A74BD3">
            <w:pPr>
              <w:rPr>
                <w:sz w:val="20"/>
                <w:szCs w:val="20"/>
              </w:rPr>
            </w:pPr>
            <w:r w:rsidRPr="00057741">
              <w:rPr>
                <w:sz w:val="20"/>
                <w:szCs w:val="20"/>
              </w:rPr>
              <w:t>236</w:t>
            </w:r>
          </w:p>
        </w:tc>
        <w:tc>
          <w:tcPr>
            <w:tcW w:w="567" w:type="dxa"/>
            <w:shd w:val="clear" w:color="auto" w:fill="auto"/>
          </w:tcPr>
          <w:p w:rsidR="00A74BD3" w:rsidRPr="00057741" w:rsidRDefault="003F057C" w:rsidP="00A74BD3">
            <w:pPr>
              <w:rPr>
                <w:sz w:val="20"/>
                <w:szCs w:val="20"/>
              </w:rPr>
            </w:pPr>
            <w:r>
              <w:rPr>
                <w:sz w:val="20"/>
                <w:szCs w:val="20"/>
              </w:rPr>
              <w:t>2.</w:t>
            </w:r>
            <w:r w:rsidR="00A74BD3" w:rsidRPr="00057741">
              <w:rPr>
                <w:sz w:val="20"/>
                <w:szCs w:val="20"/>
              </w:rPr>
              <w:t>220</w:t>
            </w:r>
          </w:p>
        </w:tc>
        <w:tc>
          <w:tcPr>
            <w:tcW w:w="567" w:type="dxa"/>
            <w:vMerge/>
            <w:shd w:val="clear" w:color="auto" w:fill="auto"/>
          </w:tcPr>
          <w:p w:rsidR="00A74BD3" w:rsidRPr="00057741" w:rsidRDefault="00A74BD3" w:rsidP="00A74BD3">
            <w:pPr>
              <w:jc w:val="center"/>
              <w:rPr>
                <w:sz w:val="20"/>
                <w:szCs w:val="20"/>
              </w:rPr>
            </w:pPr>
          </w:p>
        </w:tc>
        <w:tc>
          <w:tcPr>
            <w:tcW w:w="598" w:type="dxa"/>
            <w:vMerge/>
            <w:shd w:val="clear" w:color="auto" w:fill="auto"/>
          </w:tcPr>
          <w:p w:rsidR="00A74BD3" w:rsidRPr="00057741" w:rsidRDefault="00A74BD3" w:rsidP="00A74BD3">
            <w:pPr>
              <w:jc w:val="center"/>
              <w:rPr>
                <w:sz w:val="20"/>
                <w:szCs w:val="20"/>
              </w:rPr>
            </w:pPr>
          </w:p>
        </w:tc>
        <w:tc>
          <w:tcPr>
            <w:tcW w:w="1244" w:type="dxa"/>
            <w:vMerge/>
            <w:shd w:val="clear" w:color="auto" w:fill="auto"/>
          </w:tcPr>
          <w:p w:rsidR="00A74BD3" w:rsidRPr="00057741" w:rsidRDefault="00A74BD3" w:rsidP="00A74BD3">
            <w:pPr>
              <w:jc w:val="center"/>
              <w:rPr>
                <w:sz w:val="20"/>
                <w:szCs w:val="20"/>
              </w:rPr>
            </w:pPr>
          </w:p>
        </w:tc>
      </w:tr>
      <w:tr w:rsidR="00A74BD3" w:rsidTr="00A74BD3">
        <w:tc>
          <w:tcPr>
            <w:tcW w:w="704" w:type="dxa"/>
            <w:shd w:val="clear" w:color="auto" w:fill="auto"/>
          </w:tcPr>
          <w:p w:rsidR="00A74BD3" w:rsidRPr="00057741" w:rsidRDefault="00A74BD3" w:rsidP="00A74BD3">
            <w:pPr>
              <w:rPr>
                <w:sz w:val="20"/>
                <w:szCs w:val="20"/>
              </w:rPr>
            </w:pPr>
            <w:r>
              <w:rPr>
                <w:sz w:val="20"/>
                <w:szCs w:val="20"/>
              </w:rPr>
              <w:t>11th</w:t>
            </w:r>
            <w:r w:rsidRPr="00057741">
              <w:rPr>
                <w:sz w:val="20"/>
                <w:szCs w:val="20"/>
              </w:rPr>
              <w:t xml:space="preserve"> </w:t>
            </w:r>
            <w:r>
              <w:rPr>
                <w:sz w:val="20"/>
                <w:szCs w:val="20"/>
              </w:rPr>
              <w:t>grade</w:t>
            </w:r>
          </w:p>
        </w:tc>
        <w:tc>
          <w:tcPr>
            <w:tcW w:w="567" w:type="dxa"/>
            <w:shd w:val="clear" w:color="auto" w:fill="auto"/>
          </w:tcPr>
          <w:p w:rsidR="00A74BD3" w:rsidRPr="00057741" w:rsidRDefault="00A74BD3" w:rsidP="00A74BD3">
            <w:pPr>
              <w:rPr>
                <w:sz w:val="20"/>
                <w:szCs w:val="20"/>
              </w:rPr>
            </w:pPr>
            <w:r w:rsidRPr="00057741">
              <w:rPr>
                <w:sz w:val="20"/>
                <w:szCs w:val="20"/>
              </w:rPr>
              <w:t>49</w:t>
            </w:r>
          </w:p>
        </w:tc>
        <w:tc>
          <w:tcPr>
            <w:tcW w:w="851" w:type="dxa"/>
            <w:shd w:val="clear" w:color="auto" w:fill="auto"/>
          </w:tcPr>
          <w:p w:rsidR="00A74BD3" w:rsidRPr="00057741" w:rsidRDefault="003F057C" w:rsidP="00A74BD3">
            <w:pPr>
              <w:rPr>
                <w:sz w:val="20"/>
                <w:szCs w:val="20"/>
              </w:rPr>
            </w:pPr>
            <w:r>
              <w:rPr>
                <w:sz w:val="20"/>
                <w:szCs w:val="20"/>
              </w:rPr>
              <w:t>5.</w:t>
            </w:r>
            <w:r w:rsidR="00A74BD3" w:rsidRPr="00057741">
              <w:rPr>
                <w:sz w:val="20"/>
                <w:szCs w:val="20"/>
              </w:rPr>
              <w:t>249</w:t>
            </w:r>
          </w:p>
        </w:tc>
        <w:tc>
          <w:tcPr>
            <w:tcW w:w="708" w:type="dxa"/>
            <w:shd w:val="clear" w:color="auto" w:fill="auto"/>
          </w:tcPr>
          <w:p w:rsidR="00A74BD3" w:rsidRPr="00057741" w:rsidRDefault="003F057C" w:rsidP="00A74BD3">
            <w:pPr>
              <w:rPr>
                <w:sz w:val="20"/>
                <w:szCs w:val="20"/>
              </w:rPr>
            </w:pPr>
            <w:r>
              <w:rPr>
                <w:sz w:val="20"/>
                <w:szCs w:val="20"/>
              </w:rPr>
              <w:t>1.</w:t>
            </w:r>
            <w:r w:rsidR="00A74BD3" w:rsidRPr="00057741">
              <w:rPr>
                <w:sz w:val="20"/>
                <w:szCs w:val="20"/>
              </w:rPr>
              <w:t>586</w:t>
            </w:r>
          </w:p>
        </w:tc>
        <w:tc>
          <w:tcPr>
            <w:tcW w:w="1134" w:type="dxa"/>
            <w:shd w:val="clear" w:color="auto" w:fill="auto"/>
          </w:tcPr>
          <w:p w:rsidR="00A74BD3" w:rsidRPr="00057741" w:rsidRDefault="00A74BD3" w:rsidP="00A74BD3">
            <w:pPr>
              <w:rPr>
                <w:b/>
                <w:sz w:val="20"/>
                <w:szCs w:val="20"/>
              </w:rPr>
            </w:pPr>
            <w:r w:rsidRPr="00057741">
              <w:rPr>
                <w:b/>
                <w:sz w:val="20"/>
                <w:szCs w:val="20"/>
              </w:rPr>
              <w:t>To</w:t>
            </w:r>
            <w:r>
              <w:rPr>
                <w:b/>
                <w:sz w:val="20"/>
                <w:szCs w:val="20"/>
              </w:rPr>
              <w:t>tal</w:t>
            </w:r>
          </w:p>
        </w:tc>
        <w:tc>
          <w:tcPr>
            <w:tcW w:w="851" w:type="dxa"/>
            <w:shd w:val="clear" w:color="auto" w:fill="auto"/>
          </w:tcPr>
          <w:p w:rsidR="00A74BD3" w:rsidRPr="00057741" w:rsidRDefault="003F057C" w:rsidP="00A74BD3">
            <w:pPr>
              <w:rPr>
                <w:sz w:val="20"/>
                <w:szCs w:val="20"/>
              </w:rPr>
            </w:pPr>
            <w:r>
              <w:rPr>
                <w:sz w:val="20"/>
                <w:szCs w:val="20"/>
              </w:rPr>
              <w:t>541.</w:t>
            </w:r>
            <w:r w:rsidR="00A74BD3" w:rsidRPr="00057741">
              <w:rPr>
                <w:sz w:val="20"/>
                <w:szCs w:val="20"/>
              </w:rPr>
              <w:t>519</w:t>
            </w:r>
          </w:p>
        </w:tc>
        <w:tc>
          <w:tcPr>
            <w:tcW w:w="709" w:type="dxa"/>
            <w:shd w:val="clear" w:color="auto" w:fill="auto"/>
          </w:tcPr>
          <w:p w:rsidR="00A74BD3" w:rsidRPr="00057741" w:rsidRDefault="00A74BD3" w:rsidP="00A74BD3">
            <w:pPr>
              <w:rPr>
                <w:sz w:val="20"/>
                <w:szCs w:val="20"/>
              </w:rPr>
            </w:pPr>
            <w:r w:rsidRPr="00057741">
              <w:rPr>
                <w:sz w:val="20"/>
                <w:szCs w:val="20"/>
              </w:rPr>
              <w:t>238</w:t>
            </w:r>
          </w:p>
        </w:tc>
        <w:tc>
          <w:tcPr>
            <w:tcW w:w="567" w:type="dxa"/>
            <w:shd w:val="clear" w:color="auto" w:fill="auto"/>
          </w:tcPr>
          <w:p w:rsidR="00A74BD3" w:rsidRPr="00057741" w:rsidRDefault="00A74BD3" w:rsidP="00A74BD3">
            <w:pPr>
              <w:rPr>
                <w:sz w:val="20"/>
                <w:szCs w:val="20"/>
              </w:rPr>
            </w:pPr>
          </w:p>
        </w:tc>
        <w:tc>
          <w:tcPr>
            <w:tcW w:w="567" w:type="dxa"/>
            <w:vMerge/>
            <w:shd w:val="clear" w:color="auto" w:fill="auto"/>
          </w:tcPr>
          <w:p w:rsidR="00A74BD3" w:rsidRPr="00057741" w:rsidRDefault="00A74BD3" w:rsidP="00A74BD3">
            <w:pPr>
              <w:jc w:val="center"/>
              <w:rPr>
                <w:sz w:val="20"/>
                <w:szCs w:val="20"/>
              </w:rPr>
            </w:pPr>
          </w:p>
        </w:tc>
        <w:tc>
          <w:tcPr>
            <w:tcW w:w="598" w:type="dxa"/>
            <w:vMerge/>
            <w:shd w:val="clear" w:color="auto" w:fill="auto"/>
          </w:tcPr>
          <w:p w:rsidR="00A74BD3" w:rsidRPr="00057741" w:rsidRDefault="00A74BD3" w:rsidP="00A74BD3">
            <w:pPr>
              <w:jc w:val="center"/>
              <w:rPr>
                <w:sz w:val="20"/>
                <w:szCs w:val="20"/>
              </w:rPr>
            </w:pPr>
          </w:p>
        </w:tc>
        <w:tc>
          <w:tcPr>
            <w:tcW w:w="1244" w:type="dxa"/>
            <w:vMerge/>
            <w:shd w:val="clear" w:color="auto" w:fill="auto"/>
          </w:tcPr>
          <w:p w:rsidR="00A74BD3" w:rsidRPr="00057741" w:rsidRDefault="00A74BD3" w:rsidP="00A74BD3">
            <w:pPr>
              <w:jc w:val="center"/>
              <w:rPr>
                <w:sz w:val="20"/>
                <w:szCs w:val="20"/>
              </w:rPr>
            </w:pPr>
          </w:p>
        </w:tc>
      </w:tr>
      <w:tr w:rsidR="00A74BD3" w:rsidTr="00A74BD3">
        <w:tc>
          <w:tcPr>
            <w:tcW w:w="704" w:type="dxa"/>
            <w:shd w:val="clear" w:color="auto" w:fill="auto"/>
          </w:tcPr>
          <w:p w:rsidR="00A74BD3" w:rsidRPr="00057741" w:rsidRDefault="00A74BD3" w:rsidP="00A74BD3">
            <w:pPr>
              <w:rPr>
                <w:b/>
                <w:sz w:val="20"/>
                <w:szCs w:val="20"/>
              </w:rPr>
            </w:pPr>
            <w:r w:rsidRPr="00057741">
              <w:rPr>
                <w:b/>
                <w:sz w:val="20"/>
                <w:szCs w:val="20"/>
              </w:rPr>
              <w:t>To</w:t>
            </w:r>
            <w:r>
              <w:rPr>
                <w:b/>
                <w:sz w:val="20"/>
                <w:szCs w:val="20"/>
              </w:rPr>
              <w:t>tal</w:t>
            </w:r>
          </w:p>
        </w:tc>
        <w:tc>
          <w:tcPr>
            <w:tcW w:w="567" w:type="dxa"/>
            <w:shd w:val="clear" w:color="auto" w:fill="auto"/>
          </w:tcPr>
          <w:p w:rsidR="00A74BD3" w:rsidRPr="00057741" w:rsidRDefault="00A74BD3" w:rsidP="00A74BD3">
            <w:pPr>
              <w:rPr>
                <w:sz w:val="20"/>
                <w:szCs w:val="20"/>
              </w:rPr>
            </w:pPr>
            <w:r w:rsidRPr="00057741">
              <w:rPr>
                <w:sz w:val="20"/>
                <w:szCs w:val="20"/>
              </w:rPr>
              <w:t>239</w:t>
            </w:r>
          </w:p>
        </w:tc>
        <w:tc>
          <w:tcPr>
            <w:tcW w:w="851" w:type="dxa"/>
            <w:shd w:val="clear" w:color="auto" w:fill="auto"/>
          </w:tcPr>
          <w:p w:rsidR="00A74BD3" w:rsidRPr="00057741" w:rsidRDefault="003F057C" w:rsidP="00A74BD3">
            <w:pPr>
              <w:rPr>
                <w:sz w:val="20"/>
                <w:szCs w:val="20"/>
              </w:rPr>
            </w:pPr>
            <w:r>
              <w:rPr>
                <w:sz w:val="20"/>
                <w:szCs w:val="20"/>
              </w:rPr>
              <w:t>4.</w:t>
            </w:r>
            <w:r w:rsidR="00A74BD3" w:rsidRPr="00057741">
              <w:rPr>
                <w:sz w:val="20"/>
                <w:szCs w:val="20"/>
              </w:rPr>
              <w:t>766</w:t>
            </w:r>
          </w:p>
        </w:tc>
        <w:tc>
          <w:tcPr>
            <w:tcW w:w="708" w:type="dxa"/>
            <w:shd w:val="clear" w:color="auto" w:fill="auto"/>
          </w:tcPr>
          <w:p w:rsidR="00A74BD3" w:rsidRPr="00057741" w:rsidRDefault="003F057C" w:rsidP="00A74BD3">
            <w:pPr>
              <w:rPr>
                <w:sz w:val="20"/>
                <w:szCs w:val="20"/>
              </w:rPr>
            </w:pPr>
            <w:r>
              <w:rPr>
                <w:sz w:val="20"/>
                <w:szCs w:val="20"/>
              </w:rPr>
              <w:t>1.</w:t>
            </w:r>
            <w:r w:rsidR="00A74BD3" w:rsidRPr="00057741">
              <w:rPr>
                <w:sz w:val="20"/>
                <w:szCs w:val="20"/>
              </w:rPr>
              <w:t>508</w:t>
            </w:r>
          </w:p>
        </w:tc>
        <w:tc>
          <w:tcPr>
            <w:tcW w:w="1134" w:type="dxa"/>
            <w:shd w:val="clear" w:color="auto" w:fill="auto"/>
          </w:tcPr>
          <w:p w:rsidR="00A74BD3" w:rsidRPr="00057741" w:rsidRDefault="00A74BD3" w:rsidP="00A74BD3">
            <w:pPr>
              <w:rPr>
                <w:sz w:val="20"/>
                <w:szCs w:val="20"/>
              </w:rPr>
            </w:pPr>
          </w:p>
        </w:tc>
        <w:tc>
          <w:tcPr>
            <w:tcW w:w="851" w:type="dxa"/>
            <w:shd w:val="clear" w:color="auto" w:fill="auto"/>
          </w:tcPr>
          <w:p w:rsidR="00A74BD3" w:rsidRPr="00057741" w:rsidRDefault="00A74BD3" w:rsidP="00A74BD3">
            <w:pPr>
              <w:rPr>
                <w:sz w:val="20"/>
                <w:szCs w:val="20"/>
              </w:rPr>
            </w:pPr>
          </w:p>
        </w:tc>
        <w:tc>
          <w:tcPr>
            <w:tcW w:w="709" w:type="dxa"/>
            <w:shd w:val="clear" w:color="auto" w:fill="auto"/>
          </w:tcPr>
          <w:p w:rsidR="00A74BD3" w:rsidRPr="00057741" w:rsidRDefault="00A74BD3" w:rsidP="00A74BD3">
            <w:pPr>
              <w:rPr>
                <w:sz w:val="20"/>
                <w:szCs w:val="20"/>
              </w:rPr>
            </w:pPr>
          </w:p>
        </w:tc>
        <w:tc>
          <w:tcPr>
            <w:tcW w:w="567" w:type="dxa"/>
            <w:shd w:val="clear" w:color="auto" w:fill="auto"/>
          </w:tcPr>
          <w:p w:rsidR="00A74BD3" w:rsidRPr="00057741" w:rsidRDefault="00A74BD3" w:rsidP="00A74BD3">
            <w:pPr>
              <w:rPr>
                <w:sz w:val="20"/>
                <w:szCs w:val="20"/>
              </w:rPr>
            </w:pPr>
          </w:p>
        </w:tc>
        <w:tc>
          <w:tcPr>
            <w:tcW w:w="567" w:type="dxa"/>
            <w:vMerge/>
            <w:shd w:val="clear" w:color="auto" w:fill="auto"/>
          </w:tcPr>
          <w:p w:rsidR="00A74BD3" w:rsidRPr="00057741" w:rsidRDefault="00A74BD3" w:rsidP="00A74BD3">
            <w:pPr>
              <w:jc w:val="center"/>
              <w:rPr>
                <w:sz w:val="20"/>
                <w:szCs w:val="20"/>
              </w:rPr>
            </w:pPr>
          </w:p>
        </w:tc>
        <w:tc>
          <w:tcPr>
            <w:tcW w:w="598" w:type="dxa"/>
            <w:vMerge/>
            <w:shd w:val="clear" w:color="auto" w:fill="auto"/>
          </w:tcPr>
          <w:p w:rsidR="00A74BD3" w:rsidRPr="00057741" w:rsidRDefault="00A74BD3" w:rsidP="00A74BD3">
            <w:pPr>
              <w:jc w:val="center"/>
              <w:rPr>
                <w:sz w:val="20"/>
                <w:szCs w:val="20"/>
              </w:rPr>
            </w:pPr>
          </w:p>
        </w:tc>
        <w:tc>
          <w:tcPr>
            <w:tcW w:w="1244" w:type="dxa"/>
            <w:vMerge/>
            <w:shd w:val="clear" w:color="auto" w:fill="auto"/>
          </w:tcPr>
          <w:p w:rsidR="00A74BD3" w:rsidRPr="00057741" w:rsidRDefault="00A74BD3" w:rsidP="00A74BD3">
            <w:pPr>
              <w:jc w:val="center"/>
              <w:rPr>
                <w:sz w:val="20"/>
                <w:szCs w:val="20"/>
              </w:rPr>
            </w:pPr>
          </w:p>
        </w:tc>
      </w:tr>
    </w:tbl>
    <w:p w:rsidR="00757872" w:rsidRDefault="00757872" w:rsidP="00A23267">
      <w:pPr>
        <w:spacing w:line="240" w:lineRule="auto"/>
      </w:pPr>
    </w:p>
    <w:p w:rsidR="00887146" w:rsidRDefault="00887146" w:rsidP="00054EA3">
      <w:pPr>
        <w:pBdr>
          <w:top w:val="nil"/>
          <w:left w:val="nil"/>
          <w:bottom w:val="nil"/>
          <w:right w:val="nil"/>
          <w:between w:val="nil"/>
        </w:pBdr>
        <w:ind w:firstLine="720"/>
        <w:rPr>
          <w:color w:val="000000"/>
        </w:rPr>
      </w:pPr>
      <w:r w:rsidRPr="00887146">
        <w:rPr>
          <w:color w:val="000000"/>
        </w:rPr>
        <w:t>Table 4 indicates a significant difference between students’ grades and their multiple representation achievements (F=3</w:t>
      </w:r>
      <w:r w:rsidR="003F057C">
        <w:rPr>
          <w:color w:val="000000"/>
        </w:rPr>
        <w:t>.</w:t>
      </w:r>
      <w:r w:rsidRPr="00887146">
        <w:rPr>
          <w:color w:val="000000"/>
        </w:rPr>
        <w:t>969; p&lt;0</w:t>
      </w:r>
      <w:r w:rsidR="003F057C">
        <w:rPr>
          <w:color w:val="000000"/>
        </w:rPr>
        <w:t>.</w:t>
      </w:r>
      <w:r w:rsidRPr="00887146">
        <w:rPr>
          <w:color w:val="000000"/>
        </w:rPr>
        <w:t>05). According to the LSD test results for the distribution of students’ multiple representation levels across grades, the multiple representation test scores of 9th-grade students (x̄=4</w:t>
      </w:r>
      <w:r w:rsidR="003F057C">
        <w:rPr>
          <w:color w:val="000000"/>
        </w:rPr>
        <w:t>.</w:t>
      </w:r>
      <w:r w:rsidRPr="00887146">
        <w:rPr>
          <w:color w:val="000000"/>
        </w:rPr>
        <w:t>495) were lower than those of 11th-grade students (x̄=5</w:t>
      </w:r>
      <w:r w:rsidR="003F057C">
        <w:rPr>
          <w:color w:val="000000"/>
        </w:rPr>
        <w:t>.</w:t>
      </w:r>
      <w:r w:rsidRPr="00887146">
        <w:rPr>
          <w:color w:val="000000"/>
        </w:rPr>
        <w:t>249). However, there was no significant difference observed for the other grades.</w:t>
      </w:r>
    </w:p>
    <w:p w:rsidR="00887146" w:rsidRDefault="00887146">
      <w:pPr>
        <w:pBdr>
          <w:top w:val="nil"/>
          <w:left w:val="nil"/>
          <w:bottom w:val="nil"/>
          <w:right w:val="nil"/>
          <w:between w:val="nil"/>
        </w:pBdr>
        <w:ind w:firstLine="720"/>
        <w:rPr>
          <w:color w:val="000000"/>
        </w:rPr>
      </w:pPr>
    </w:p>
    <w:p w:rsidR="00614770" w:rsidRDefault="003C3E4F">
      <w:pPr>
        <w:rPr>
          <w:b/>
        </w:rPr>
      </w:pPr>
      <w:r>
        <w:rPr>
          <w:b/>
        </w:rPr>
        <w:t xml:space="preserve">4. </w:t>
      </w:r>
      <w:r w:rsidR="00592B4D">
        <w:rPr>
          <w:b/>
        </w:rPr>
        <w:t>Discussion</w:t>
      </w:r>
    </w:p>
    <w:p w:rsidR="00887146" w:rsidRPr="00887146" w:rsidRDefault="00887146" w:rsidP="00887146">
      <w:pPr>
        <w:pBdr>
          <w:top w:val="nil"/>
          <w:left w:val="nil"/>
          <w:bottom w:val="nil"/>
          <w:right w:val="nil"/>
          <w:between w:val="nil"/>
        </w:pBdr>
        <w:ind w:firstLine="720"/>
        <w:rPr>
          <w:color w:val="000000"/>
        </w:rPr>
      </w:pPr>
      <w:r w:rsidRPr="00887146">
        <w:rPr>
          <w:color w:val="000000"/>
        </w:rPr>
        <w:t>This study focused primarily on investigating the multiple representation translation skills of high school students and examining how these skills vary across different grade levels. The sub-problems within this study were thoroughly examined, leading to insightful discussions and meaningful conclusions.</w:t>
      </w:r>
    </w:p>
    <w:p w:rsidR="00887146" w:rsidRPr="00887146" w:rsidRDefault="00887146" w:rsidP="00887146">
      <w:pPr>
        <w:pBdr>
          <w:top w:val="nil"/>
          <w:left w:val="nil"/>
          <w:bottom w:val="nil"/>
          <w:right w:val="nil"/>
          <w:between w:val="nil"/>
        </w:pBdr>
        <w:ind w:firstLine="720"/>
        <w:rPr>
          <w:color w:val="000000"/>
        </w:rPr>
      </w:pPr>
      <w:r w:rsidRPr="00887146">
        <w:rPr>
          <w:color w:val="000000"/>
        </w:rPr>
        <w:t xml:space="preserve">Addressing the first sub-problem, which explored multiple representation translation skills, the findings indicated that translation from figure representation to other forms exhibited the highest level of success. This was followed by a translation from tables and graphical representations. In contrast, the least successful type of translation was observed in verbal representation. Previous research on translation skills can be categorized into two main areas: studies conducted with students and studies analyzing textbooks. When considering students’ translation skills, variations were observed based on their grade levels. For example, in a study conducted with eighth-grade students, it was found that they encountered the greatest difficulty in translation from verbal </w:t>
      </w:r>
      <w:r w:rsidRPr="00887146">
        <w:rPr>
          <w:color w:val="000000"/>
        </w:rPr>
        <w:lastRenderedPageBreak/>
        <w:t xml:space="preserve">representation to other forms, while their most successful translation occurred from other representations to table representation (Sert, 2007). Another study involving 8th-grade students revealed that the most challenging translation was from other representations to graphs, whereas the most successful translation was from other representations to table representations (Gürbüz &amp; Şahin, 2015). Additional insights into students’ multiple representation skills can be gained from various studies conducted at the high school level. These studies shed light on the specific challenges and proficiency levels exhibited by students when working with different representation formats. For instance, in a study focusing on 9th-grade students’ multiple representation skills in expressing algebraic concepts of functions, it was found that students demonstrated proficiency in algebraic representations but encountered difficulties with verbal and graphical representations (Baştürk, 2010). Similarly, Mercan (2020) investigated multiple representations among 9th-grade students in the context of equations and inequalities and revealed that students exhibited success in translation between representations, with graphical representations being the most proficient, followed by table, verbal, and algebraic representations. At the university level, a study involving prospective pre-service primary school teachers found that these students faced challenges in creating graphical representations and lacked proficiency in utilizing scientific methods, often resorting to repeating answers without proper explanations (Çelik &amp; Sağlam-Arslan, 2012). Another study focused on graph drawing for motion among university students and identified difficulties in creating graphs related to objects and shapes in motion (Kusairi, Noviandari, &amp; Pratiwi, 2019). In the context of the kinematics of motion, a study tasked students with solving a given problem using different representations. The results indicated that students initially attempted to solve the problem algebraically but, when unsuccessful, turned to graphical </w:t>
      </w:r>
      <w:r w:rsidRPr="00887146">
        <w:rPr>
          <w:color w:val="000000"/>
        </w:rPr>
        <w:lastRenderedPageBreak/>
        <w:t xml:space="preserve">solutions and then verbal representations, with limited success (Puspitaningtyas et al., 2021). Additionally, university students were found to encounter challenges when solving verbal questions related to one-dimensional motion, requiring more time and leaving more questions unanswered (Güzel &amp; Yener, 2010). Overall, when examining studies conducted on students, it becomes evident that the most challenging areas lie in the translation from verbal and graphical representations to other forms, which is partly consistent with the findings of the current study. Furthermore, the investigation of textbooks concerning multiple representations revealed that algebraic representations were predominantly utilized in secondary school mathematics textbooks (İncikabı, 2017; İncikabı &amp; Biber, 2018; Karakuzu, 2017), and verbal representations ranked second in frequency, while table and graphic representations were employed the least (İncikabı, 2017; İncikabı &amp; Biber, 2018). Consistent with the present study, a similar pattern emerged when examining mathematics subjects covered in high school textbooks. Figurative representation emerged as the most prevalent representation type, whereas verbal and algebraic representations were the least commonly used (Eroğlu &amp; Akkuş, 2021). However, Baştürk (2007) discovered that algebraic representation overwhelmingly dominated the 9th grade mathematics textbooks analyzed in their study, with other representation types not being adequately addressed. Consequently, one possible explanation for students’ struggles with verbal representations in this study could be their limited exposure to such applications. The insufficient proficiency displayed across representation types indicates an underdeveloped conceptual understanding among students (Baştürk, 2010). The success of figure, table, and graphic representations, observed in alignment with other studies, may be attributed to their incorporation into diverse courses such as mathematics, chemistry, biology, and geography, thereby </w:t>
      </w:r>
      <w:r w:rsidRPr="00887146">
        <w:rPr>
          <w:color w:val="000000"/>
        </w:rPr>
        <w:lastRenderedPageBreak/>
        <w:t xml:space="preserve">increasing students’ familiarity and usage (Gürbüz &amp; Şahin, 2015). Another factor contributing to the difficulty encountered with different representation types could be the tendency of students to rely solely on a single representation, leading them to solve problems exclusively within that framework and ultimately failing to learn alternative representation formats (Saputra et al., 2019). </w:t>
      </w:r>
    </w:p>
    <w:p w:rsidR="00887146" w:rsidRDefault="00887146" w:rsidP="00887146">
      <w:pPr>
        <w:pBdr>
          <w:top w:val="nil"/>
          <w:left w:val="nil"/>
          <w:bottom w:val="nil"/>
          <w:right w:val="nil"/>
          <w:between w:val="nil"/>
        </w:pBdr>
        <w:ind w:firstLine="720"/>
        <w:rPr>
          <w:color w:val="000000"/>
        </w:rPr>
      </w:pPr>
      <w:r w:rsidRPr="00887146">
        <w:rPr>
          <w:color w:val="000000"/>
        </w:rPr>
        <w:t xml:space="preserve">Significant differences in representation skills were observed between the 9th and 11th grades, with 11th graders demonstrating superior proficiency. However, no significant differences were found among other grade levels. The lower achievement of students in lower grades may be attributed to their incomplete conceptual understanding of physics, particularly in the context of one-dimensional motion (Umrotul et al., 2022). Difficulties with graph interpretation in kinematics, inadequate comprehension of subject content, and insufficient knowledge of graph construction may contribute to lower scores (Foster, 2004). A study investigating kinematics graphs among 9th graders identified a lack of understanding of relevant topics and failure to recognize relationships between graphs as reasons for students' inability to draw accurate graphs (Demirci &amp; Uyanık, 2009). In this study, one possible reason for the improvement in multiple representation skills among higher grade levels may be the reinforcement and consolidation of subject matter as students progress through subsequent grades. Furthermore, it was observed that students did not exhibit significant progress in consecutive grade levels, except for a significant development in inter-representational skills between the 9th and 11th grades. Students’ limited improvement in inter-representational translation skills may be attributed to the perception of these skills as difficult, unnecessary tasks, or time-consuming activities (Van Heuvelen &amp; Zou, 2001). Another contributing factor to this lack of progress could be the reliance on multiple-choice question formats in central </w:t>
      </w:r>
      <w:r w:rsidRPr="00887146">
        <w:rPr>
          <w:color w:val="000000"/>
        </w:rPr>
        <w:lastRenderedPageBreak/>
        <w:t>exams in Turkey (Gürbüz &amp; Şahin, 2015), which leads to an exam-oriented educational approach. This examination format often neglects the assessment of higher cognitive domains, thereby hindering the development of students’ conceptual understanding.</w:t>
      </w:r>
    </w:p>
    <w:p w:rsidR="00592B4D" w:rsidRDefault="00592B4D" w:rsidP="00887146">
      <w:pPr>
        <w:pBdr>
          <w:top w:val="nil"/>
          <w:left w:val="nil"/>
          <w:bottom w:val="nil"/>
          <w:right w:val="nil"/>
          <w:between w:val="nil"/>
        </w:pBdr>
        <w:ind w:firstLine="720"/>
        <w:rPr>
          <w:color w:val="000000"/>
        </w:rPr>
      </w:pPr>
      <w:r>
        <w:rPr>
          <w:b/>
        </w:rPr>
        <w:t>5.</w:t>
      </w:r>
      <w:r>
        <w:rPr>
          <w:b/>
        </w:rPr>
        <w:t xml:space="preserve"> Conclusion</w:t>
      </w:r>
      <w:r w:rsidRPr="00887146">
        <w:rPr>
          <w:color w:val="000000"/>
        </w:rPr>
        <w:t xml:space="preserve"> </w:t>
      </w:r>
    </w:p>
    <w:p w:rsidR="00614770" w:rsidRDefault="00887146" w:rsidP="00887146">
      <w:pPr>
        <w:pBdr>
          <w:top w:val="nil"/>
          <w:left w:val="nil"/>
          <w:bottom w:val="nil"/>
          <w:right w:val="nil"/>
          <w:between w:val="nil"/>
        </w:pBdr>
        <w:ind w:firstLine="720"/>
        <w:rPr>
          <w:color w:val="000000"/>
        </w:rPr>
      </w:pPr>
      <w:r w:rsidRPr="00887146">
        <w:rPr>
          <w:color w:val="000000"/>
        </w:rPr>
        <w:t xml:space="preserve">The key finding of this study highlights the lack of success among high school students in effectively utilizing multiple representations to express the concept of </w:t>
      </w:r>
      <w:r w:rsidR="00EB146F">
        <w:rPr>
          <w:color w:val="000000"/>
        </w:rPr>
        <w:t>one-</w:t>
      </w:r>
      <w:r w:rsidRPr="00887146">
        <w:rPr>
          <w:color w:val="000000"/>
        </w:rPr>
        <w:t>dimensional motion, indicating insufficient knowledge and experience in this area. The ability to translation between representations is influenced by the types of representations employed in classroom instruction and the level of familiarity students have with them. Furthermore, the success rates demonstrated an upward trend with increasing grade levels, suggesting a positive correlation between subject learning and the development of multiple representation translation skills. This finding underscores the interdependence between subject comprehension and the ability to effectively translate knowledge across different representation formats.</w:t>
      </w:r>
    </w:p>
    <w:p w:rsidR="00614770" w:rsidRDefault="00614770" w:rsidP="00887146">
      <w:pPr>
        <w:pBdr>
          <w:top w:val="nil"/>
          <w:left w:val="nil"/>
          <w:bottom w:val="nil"/>
          <w:right w:val="nil"/>
          <w:between w:val="nil"/>
        </w:pBdr>
        <w:rPr>
          <w:color w:val="000000"/>
        </w:rPr>
      </w:pPr>
    </w:p>
    <w:p w:rsidR="00614770" w:rsidRDefault="003C3E4F">
      <w:pPr>
        <w:rPr>
          <w:b/>
        </w:rPr>
      </w:pPr>
      <w:r>
        <w:rPr>
          <w:b/>
        </w:rPr>
        <w:t xml:space="preserve">References  </w:t>
      </w:r>
    </w:p>
    <w:p w:rsidR="00887146" w:rsidRPr="006A47F0" w:rsidRDefault="00887146" w:rsidP="00887146">
      <w:pPr>
        <w:ind w:left="709" w:hanging="709"/>
      </w:pPr>
      <w:r w:rsidRPr="006A47F0">
        <w:t>Ainley, J., Barton, B., Jones, K., Pfannkuch, M.</w:t>
      </w:r>
      <w:r>
        <w:t>,</w:t>
      </w:r>
      <w:r w:rsidRPr="006A47F0">
        <w:t xml:space="preserve"> </w:t>
      </w:r>
      <w:r>
        <w:t>&amp;</w:t>
      </w:r>
      <w:r w:rsidRPr="006A47F0">
        <w:t xml:space="preserve"> Thomas, M. (2002) Is what you see what you get? Representations, metaphors and tools in mathematics didactics, Novotna, J. (ed.) </w:t>
      </w:r>
      <w:r w:rsidRPr="006A47F0">
        <w:rPr>
          <w:i/>
        </w:rPr>
        <w:t>European Research in Mathematics Education II.</w:t>
      </w:r>
      <w:r w:rsidRPr="006A47F0">
        <w:t xml:space="preserve"> Charles University Press, 128-138. </w:t>
      </w:r>
    </w:p>
    <w:p w:rsidR="00887146" w:rsidRPr="006A47F0" w:rsidRDefault="00887146" w:rsidP="00887146">
      <w:pPr>
        <w:ind w:left="709" w:hanging="709"/>
      </w:pPr>
      <w:r w:rsidRPr="006A47F0">
        <w:t xml:space="preserve">Başkan, Z. (2011). Doğrusal ve düzlemde hareket ünitelerinin matematiksel modelleme kullanılarak öğretiminin öğretmen adaylarının öğrenmelerine etkileri [The effectivenes of teaching one and two dimensional motion on prospective teachers’ </w:t>
      </w:r>
      <w:r w:rsidRPr="006A47F0">
        <w:lastRenderedPageBreak/>
        <w:t>learning using mathematical modelling], Doctoral Thesis. Karadeniz Technical University.</w:t>
      </w:r>
    </w:p>
    <w:p w:rsidR="00887146" w:rsidRPr="006A47F0" w:rsidRDefault="00887146" w:rsidP="00887146">
      <w:pPr>
        <w:ind w:left="709" w:hanging="709"/>
      </w:pPr>
      <w:r w:rsidRPr="006A47F0">
        <w:t xml:space="preserve">Baştürk, S. (2007). Fonksiyon kavramının öğretiminin 9. sınıf ders kitapları bağlamında incelenmesi </w:t>
      </w:r>
      <w:r w:rsidRPr="006A47F0">
        <w:rPr>
          <w:rFonts w:ascii="Calibri" w:hAnsi="Calibri" w:cs="Calibri"/>
        </w:rPr>
        <w:t>[</w:t>
      </w:r>
      <w:r w:rsidRPr="006A47F0">
        <w:t>Exemination of the functions in first year high school mathematics textbooks</w:t>
      </w:r>
      <w:r w:rsidRPr="006A47F0">
        <w:rPr>
          <w:rFonts w:ascii="Calibri" w:hAnsi="Calibri" w:cs="Calibri"/>
        </w:rPr>
        <w:t>]</w:t>
      </w:r>
      <w:r w:rsidRPr="006A47F0">
        <w:t xml:space="preserve">. </w:t>
      </w:r>
      <w:r w:rsidRPr="006A47F0">
        <w:rPr>
          <w:i/>
        </w:rPr>
        <w:t>Sakarya University Journal of Science</w:t>
      </w:r>
      <w:r w:rsidRPr="006A47F0">
        <w:t xml:space="preserve">, 9, 270-283. </w:t>
      </w:r>
    </w:p>
    <w:p w:rsidR="00887146" w:rsidRPr="006A47F0" w:rsidRDefault="00887146" w:rsidP="00887146">
      <w:pPr>
        <w:ind w:left="709" w:hanging="709"/>
        <w:rPr>
          <w:shd w:val="clear" w:color="auto" w:fill="FFFFFF"/>
        </w:rPr>
      </w:pPr>
      <w:r w:rsidRPr="006A47F0">
        <w:rPr>
          <w:shd w:val="clear" w:color="auto" w:fill="FFFFFF"/>
        </w:rPr>
        <w:t xml:space="preserve">Baştürk, S. (2010). Öğrencilerinin fonksiyon kavramının farklı temsillerindeki matematik dersi performansları </w:t>
      </w:r>
      <w:r w:rsidRPr="006A47F0">
        <w:rPr>
          <w:rFonts w:ascii="Calibri" w:hAnsi="Calibri" w:cs="Calibri"/>
          <w:shd w:val="clear" w:color="auto" w:fill="FFFFFF"/>
        </w:rPr>
        <w:t>[</w:t>
      </w:r>
      <w:r w:rsidRPr="006A47F0">
        <w:t>Students’ mathematical performance in using different representations of function concept</w:t>
      </w:r>
      <w:r w:rsidRPr="006A47F0">
        <w:rPr>
          <w:shd w:val="clear" w:color="auto" w:fill="FFFFFF"/>
        </w:rPr>
        <w:t>]. </w:t>
      </w:r>
      <w:r w:rsidRPr="006A47F0">
        <w:rPr>
          <w:rStyle w:val="Vurgu"/>
          <w:bCs/>
          <w:iCs w:val="0"/>
          <w:shd w:val="clear" w:color="auto" w:fill="FFFFFF"/>
        </w:rPr>
        <w:t>Gazi University Journal of Gazi Educational Faculty</w:t>
      </w:r>
      <w:r w:rsidRPr="006A47F0">
        <w:rPr>
          <w:shd w:val="clear" w:color="auto" w:fill="FFFFFF"/>
        </w:rPr>
        <w:t>, </w:t>
      </w:r>
      <w:r w:rsidRPr="006A47F0">
        <w:rPr>
          <w:i/>
          <w:iCs/>
          <w:shd w:val="clear" w:color="auto" w:fill="FFFFFF"/>
        </w:rPr>
        <w:t>30</w:t>
      </w:r>
      <w:r w:rsidRPr="006A47F0">
        <w:rPr>
          <w:shd w:val="clear" w:color="auto" w:fill="FFFFFF"/>
        </w:rPr>
        <w:t>(2), 465-482.</w:t>
      </w:r>
    </w:p>
    <w:p w:rsidR="00887146" w:rsidRPr="006A47F0" w:rsidRDefault="00887146" w:rsidP="00887146">
      <w:pPr>
        <w:ind w:left="709" w:hanging="709"/>
      </w:pPr>
      <w:r w:rsidRPr="006A47F0">
        <w:t xml:space="preserve">Birgin, O. (2012). Investigation of eighth-grade students’ understanding of the slope of the linear function. </w:t>
      </w:r>
      <w:r w:rsidRPr="006A47F0">
        <w:rPr>
          <w:i/>
        </w:rPr>
        <w:t>Bolema: Boletim de Educação Matemática</w:t>
      </w:r>
      <w:r w:rsidRPr="006A47F0">
        <w:t>, 26(42A), 139–162. https://doi.org/10.1590/ S0103-636X2012000100008</w:t>
      </w:r>
    </w:p>
    <w:p w:rsidR="00887146" w:rsidRPr="006A47F0" w:rsidRDefault="00887146" w:rsidP="00887146">
      <w:pPr>
        <w:ind w:left="709" w:hanging="709"/>
        <w:rPr>
          <w:shd w:val="clear" w:color="auto" w:fill="FFFFFF"/>
        </w:rPr>
      </w:pPr>
      <w:r w:rsidRPr="006A47F0">
        <w:rPr>
          <w:shd w:val="clear" w:color="auto" w:fill="FFFFFF"/>
        </w:rPr>
        <w:t xml:space="preserve">Çelik, D., &amp; Sağlam-Arslan, A. (2012). Öğretmen adaylarının çoklu gösterimleri kullanma becerilerinin analizi </w:t>
      </w:r>
      <w:r w:rsidRPr="006A47F0">
        <w:rPr>
          <w:rFonts w:ascii="Calibri" w:hAnsi="Calibri" w:cs="Calibri"/>
          <w:shd w:val="clear" w:color="auto" w:fill="FFFFFF"/>
        </w:rPr>
        <w:t>[</w:t>
      </w:r>
      <w:r w:rsidRPr="006A47F0">
        <w:t>The analysis of teacher candidates’ translating skills in multiple representations</w:t>
      </w:r>
      <w:r w:rsidRPr="006A47F0">
        <w:rPr>
          <w:rFonts w:ascii="Calibri" w:hAnsi="Calibri" w:cs="Calibri"/>
          <w:shd w:val="clear" w:color="auto" w:fill="FFFFFF"/>
        </w:rPr>
        <w:t>]</w:t>
      </w:r>
      <w:r w:rsidRPr="006A47F0">
        <w:rPr>
          <w:shd w:val="clear" w:color="auto" w:fill="FFFFFF"/>
        </w:rPr>
        <w:t>. </w:t>
      </w:r>
      <w:r w:rsidRPr="006A47F0">
        <w:rPr>
          <w:i/>
          <w:iCs/>
          <w:shd w:val="clear" w:color="auto" w:fill="FFFFFF"/>
        </w:rPr>
        <w:t>Elementary Education Online</w:t>
      </w:r>
      <w:r w:rsidRPr="006A47F0">
        <w:rPr>
          <w:shd w:val="clear" w:color="auto" w:fill="FFFFFF"/>
        </w:rPr>
        <w:t>, </w:t>
      </w:r>
      <w:r w:rsidRPr="006A47F0">
        <w:rPr>
          <w:i/>
          <w:iCs/>
          <w:shd w:val="clear" w:color="auto" w:fill="FFFFFF"/>
        </w:rPr>
        <w:t>11</w:t>
      </w:r>
      <w:r w:rsidRPr="006A47F0">
        <w:rPr>
          <w:shd w:val="clear" w:color="auto" w:fill="FFFFFF"/>
        </w:rPr>
        <w:t>(1), 239-250.</w:t>
      </w:r>
    </w:p>
    <w:p w:rsidR="00887146" w:rsidRPr="006A47F0" w:rsidRDefault="00887146" w:rsidP="00887146">
      <w:pPr>
        <w:ind w:left="709" w:hanging="709"/>
      </w:pPr>
      <w:r w:rsidRPr="006A47F0">
        <w:t xml:space="preserve">Çepni, S. (2010). </w:t>
      </w:r>
      <w:r w:rsidRPr="006A47F0">
        <w:rPr>
          <w:i/>
        </w:rPr>
        <w:t>Araştırma ve proje çalışmalarına giriş</w:t>
      </w:r>
      <w:r>
        <w:rPr>
          <w:i/>
        </w:rPr>
        <w:t xml:space="preserve"> </w:t>
      </w:r>
      <w:r w:rsidRPr="006A47F0">
        <w:rPr>
          <w:rFonts w:ascii="Calibri" w:hAnsi="Calibri" w:cs="Calibri"/>
          <w:i/>
        </w:rPr>
        <w:t>[</w:t>
      </w:r>
      <w:r w:rsidRPr="006A47F0">
        <w:rPr>
          <w:i/>
        </w:rPr>
        <w:t>Intoduction Research and Project study</w:t>
      </w:r>
      <w:r w:rsidRPr="006A47F0">
        <w:rPr>
          <w:rFonts w:ascii="Calibri" w:hAnsi="Calibri" w:cs="Calibri"/>
          <w:i/>
        </w:rPr>
        <w:t>]</w:t>
      </w:r>
      <w:r w:rsidRPr="006A47F0">
        <w:t>. Trabzon: Celepler Matbaacılık</w:t>
      </w:r>
    </w:p>
    <w:p w:rsidR="00887146" w:rsidRPr="006A47F0" w:rsidRDefault="00887146" w:rsidP="00887146">
      <w:pPr>
        <w:ind w:left="709" w:hanging="709"/>
      </w:pPr>
      <w:r w:rsidRPr="006A47F0">
        <w:t xml:space="preserve">Cleaves, W. P. (2008). Promoting mathematics accessibility through multiple representations jigsaws. </w:t>
      </w:r>
      <w:r w:rsidRPr="006A47F0">
        <w:rPr>
          <w:i/>
        </w:rPr>
        <w:t>Mathematics Teaching in the Middle School</w:t>
      </w:r>
      <w:r w:rsidRPr="006A47F0">
        <w:t xml:space="preserve">, 13(8), 446-452. </w:t>
      </w:r>
      <w:hyperlink r:id="rId8" w:history="1">
        <w:r w:rsidRPr="006A47F0">
          <w:rPr>
            <w:rStyle w:val="Kpr"/>
          </w:rPr>
          <w:t>https://doi.org/10.5951/MTMS.13.8.0446</w:t>
        </w:r>
      </w:hyperlink>
    </w:p>
    <w:p w:rsidR="00887146" w:rsidRPr="006A47F0" w:rsidRDefault="00887146" w:rsidP="00887146">
      <w:pPr>
        <w:ind w:left="709" w:hanging="709"/>
        <w:rPr>
          <w:shd w:val="clear" w:color="auto" w:fill="FFFFFF"/>
        </w:rPr>
      </w:pPr>
      <w:r w:rsidRPr="006A47F0">
        <w:rPr>
          <w:shd w:val="clear" w:color="auto" w:fill="FFFFFF"/>
        </w:rPr>
        <w:t>Demirci, N., &amp; Uyanik, F. (2009). Onuncu sınıf öğrencilerinin grafik anlama ve yorumlamaları ile kinematik başarıları arasındaki ilişki [T</w:t>
      </w:r>
      <w:r w:rsidRPr="006A47F0">
        <w:t xml:space="preserve">he correlation between tenth grade students’ understanding and ınterpreting graphs and their kinematics </w:t>
      </w:r>
      <w:r w:rsidRPr="006A47F0">
        <w:lastRenderedPageBreak/>
        <w:t>achievment</w:t>
      </w:r>
      <w:r w:rsidRPr="006A47F0">
        <w:rPr>
          <w:rFonts w:ascii="Calibri" w:hAnsi="Calibri" w:cs="Calibri"/>
          <w:shd w:val="clear" w:color="auto" w:fill="FFFFFF"/>
        </w:rPr>
        <w:t>]</w:t>
      </w:r>
      <w:r w:rsidRPr="006A47F0">
        <w:rPr>
          <w:shd w:val="clear" w:color="auto" w:fill="FFFFFF"/>
        </w:rPr>
        <w:t>. </w:t>
      </w:r>
      <w:r w:rsidRPr="006A47F0">
        <w:rPr>
          <w:i/>
        </w:rPr>
        <w:t>N</w:t>
      </w:r>
      <w:r w:rsidRPr="006A47F0">
        <w:rPr>
          <w:i/>
          <w:iCs/>
          <w:shd w:val="clear" w:color="auto" w:fill="FFFFFF"/>
        </w:rPr>
        <w:t>ecatibey Faculty of Education Electronic Journal of Science and Mathematics Education 3</w:t>
      </w:r>
      <w:r w:rsidRPr="006A47F0">
        <w:rPr>
          <w:shd w:val="clear" w:color="auto" w:fill="FFFFFF"/>
        </w:rPr>
        <w:t>(2), 22-51.</w:t>
      </w:r>
    </w:p>
    <w:p w:rsidR="00887146" w:rsidRPr="006A47F0" w:rsidRDefault="00887146" w:rsidP="00887146">
      <w:pPr>
        <w:ind w:left="709" w:hanging="709"/>
        <w:rPr>
          <w:b/>
          <w:bCs/>
        </w:rPr>
      </w:pPr>
      <w:r w:rsidRPr="006A47F0">
        <w:t xml:space="preserve">Dufrense, R., Gerace, W., &amp; Leonard, J. (1997). Solving Physics Problems with Multiple Representations. </w:t>
      </w:r>
      <w:r w:rsidRPr="006A47F0">
        <w:rPr>
          <w:i/>
        </w:rPr>
        <w:t>Physics Teacher</w:t>
      </w:r>
      <w:r w:rsidRPr="006A47F0">
        <w:t xml:space="preserve">, 35, 270-275. </w:t>
      </w:r>
      <w:hyperlink r:id="rId9" w:history="1">
        <w:r w:rsidRPr="00B37FC7">
          <w:rPr>
            <w:rStyle w:val="Kpr"/>
          </w:rPr>
          <w:t>https://doi.org/10.1119/1.2344681</w:t>
        </w:r>
      </w:hyperlink>
      <w:r w:rsidRPr="006A47F0">
        <w:rPr>
          <w:b/>
          <w:bCs/>
        </w:rPr>
        <w:t> </w:t>
      </w:r>
    </w:p>
    <w:p w:rsidR="00887146" w:rsidRPr="00887146" w:rsidRDefault="00887146" w:rsidP="00887146">
      <w:pPr>
        <w:ind w:left="709" w:hanging="709"/>
        <w:rPr>
          <w:color w:val="222222"/>
          <w:shd w:val="clear" w:color="auto" w:fill="FFFFFF"/>
        </w:rPr>
      </w:pPr>
      <w:r w:rsidRPr="006A47F0">
        <w:rPr>
          <w:shd w:val="clear" w:color="auto" w:fill="FFFFFF"/>
        </w:rPr>
        <w:t xml:space="preserve">Erbaş, A. K. (2005). Çoklu gösterimlerle problem çözme ve teknolojinin rolü </w:t>
      </w:r>
      <w:r w:rsidRPr="006A47F0">
        <w:rPr>
          <w:rFonts w:ascii="Calibri" w:hAnsi="Calibri" w:cs="Calibri"/>
          <w:shd w:val="clear" w:color="auto" w:fill="FFFFFF"/>
        </w:rPr>
        <w:t>[</w:t>
      </w:r>
      <w:r w:rsidRPr="006A47F0">
        <w:t>Problem solving with multiple representations and the role of technology</w:t>
      </w:r>
      <w:r w:rsidRPr="006A47F0">
        <w:rPr>
          <w:rFonts w:ascii="Calibri" w:hAnsi="Calibri" w:cs="Calibri"/>
          <w:shd w:val="clear" w:color="auto" w:fill="FFFFFF"/>
        </w:rPr>
        <w:t>]</w:t>
      </w:r>
      <w:r w:rsidRPr="006A47F0">
        <w:rPr>
          <w:shd w:val="clear" w:color="auto" w:fill="FFFFFF"/>
        </w:rPr>
        <w:t>. </w:t>
      </w:r>
      <w:r w:rsidRPr="006A47F0">
        <w:rPr>
          <w:i/>
          <w:iCs/>
          <w:shd w:val="clear" w:color="auto" w:fill="FFFFFF"/>
        </w:rPr>
        <w:t>TOJET: The Turkish Online Journal of Educational Technology</w:t>
      </w:r>
      <w:r w:rsidRPr="003E011D">
        <w:rPr>
          <w:shd w:val="clear" w:color="auto" w:fill="FFFFFF"/>
        </w:rPr>
        <w:t>, </w:t>
      </w:r>
      <w:r w:rsidRPr="003E011D">
        <w:rPr>
          <w:i/>
          <w:iCs/>
          <w:shd w:val="clear" w:color="auto" w:fill="FFFFFF"/>
        </w:rPr>
        <w:t>4</w:t>
      </w:r>
      <w:r w:rsidRPr="003E011D">
        <w:rPr>
          <w:shd w:val="clear" w:color="auto" w:fill="FFFFFF"/>
        </w:rPr>
        <w:t xml:space="preserve">(4), </w:t>
      </w:r>
      <w:r w:rsidRPr="003E011D">
        <w:rPr>
          <w:color w:val="222222"/>
          <w:shd w:val="clear" w:color="auto" w:fill="FFFFFF"/>
        </w:rPr>
        <w:t>88-92.</w:t>
      </w:r>
    </w:p>
    <w:p w:rsidR="00887146" w:rsidRPr="00887146" w:rsidRDefault="00887146" w:rsidP="00887146">
      <w:pPr>
        <w:ind w:left="709" w:hanging="709"/>
      </w:pPr>
      <w:r w:rsidRPr="006A47F0">
        <w:rPr>
          <w:shd w:val="clear" w:color="auto" w:fill="FFFFFF"/>
        </w:rPr>
        <w:t xml:space="preserve">Eroğlu, D., &amp; Akkuş, B. (2021) 9. sınıf matematik ders kitabındaki üçgenler ünitesinin </w:t>
      </w:r>
      <w:r w:rsidRPr="006A47F0">
        <w:rPr>
          <w:iCs/>
          <w:shd w:val="clear" w:color="auto" w:fill="FFFFFF"/>
        </w:rPr>
        <w:t>çoklu temsiller bağlamında incelenmesi [</w:t>
      </w:r>
      <w:r w:rsidRPr="006A47F0">
        <w:t>Examining the triangles unit in the 9th grade mathematics textbook in the context of multiple representations</w:t>
      </w:r>
      <w:r w:rsidRPr="006A47F0">
        <w:rPr>
          <w:rFonts w:ascii="Calibri" w:hAnsi="Calibri" w:cs="Calibri"/>
          <w:iCs/>
          <w:shd w:val="clear" w:color="auto" w:fill="FFFFFF"/>
        </w:rPr>
        <w:t>]</w:t>
      </w:r>
      <w:r w:rsidRPr="006A47F0">
        <w:rPr>
          <w:i/>
          <w:iCs/>
          <w:shd w:val="clear" w:color="auto" w:fill="FFFFFF"/>
        </w:rPr>
        <w:t>. </w:t>
      </w:r>
      <w:hyperlink r:id="rId10" w:history="1">
        <w:r w:rsidRPr="006A47F0">
          <w:rPr>
            <w:bCs/>
            <w:i/>
            <w:iCs/>
            <w:shd w:val="clear" w:color="auto" w:fill="FFFFFF"/>
          </w:rPr>
          <w:t>The Western Anatolia Journal of Educational Sciences </w:t>
        </w:r>
      </w:hyperlink>
      <w:r w:rsidRPr="006A47F0">
        <w:rPr>
          <w:i/>
          <w:iCs/>
          <w:shd w:val="clear" w:color="auto" w:fill="FFFFFF"/>
        </w:rPr>
        <w:t>, 12</w:t>
      </w:r>
      <w:r w:rsidRPr="006A47F0">
        <w:rPr>
          <w:shd w:val="clear" w:color="auto" w:fill="FFFFFF"/>
        </w:rPr>
        <w:t>(2), 786-804.</w:t>
      </w:r>
      <w:r w:rsidRPr="006A47F0">
        <w:t xml:space="preserve"> </w:t>
      </w:r>
      <w:hyperlink r:id="rId11" w:history="1">
        <w:r w:rsidRPr="006A47F0">
          <w:rPr>
            <w:rStyle w:val="Kpr"/>
            <w:shd w:val="clear" w:color="auto" w:fill="FFFFFF"/>
          </w:rPr>
          <w:t>https://doi.org/10.51460/baebd.995676</w:t>
        </w:r>
      </w:hyperlink>
    </w:p>
    <w:p w:rsidR="00887146" w:rsidRPr="006A47F0" w:rsidRDefault="00887146" w:rsidP="00887146">
      <w:pPr>
        <w:ind w:left="709" w:hanging="709"/>
        <w:rPr>
          <w:shd w:val="clear" w:color="auto" w:fill="FFFFFF"/>
        </w:rPr>
      </w:pPr>
      <w:r w:rsidRPr="006A47F0">
        <w:rPr>
          <w:shd w:val="clear" w:color="auto" w:fill="FFFFFF"/>
        </w:rPr>
        <w:t>Foster, K. (2004). Graphic novels in libraries: an expert's opinion. </w:t>
      </w:r>
      <w:r w:rsidRPr="006A47F0">
        <w:rPr>
          <w:i/>
          <w:iCs/>
          <w:shd w:val="clear" w:color="auto" w:fill="FFFFFF"/>
        </w:rPr>
        <w:t>Library Media Connection</w:t>
      </w:r>
      <w:r w:rsidRPr="006A47F0">
        <w:rPr>
          <w:shd w:val="clear" w:color="auto" w:fill="FFFFFF"/>
        </w:rPr>
        <w:t>, </w:t>
      </w:r>
      <w:r w:rsidRPr="006A47F0">
        <w:rPr>
          <w:i/>
          <w:iCs/>
          <w:shd w:val="clear" w:color="auto" w:fill="FFFFFF"/>
        </w:rPr>
        <w:t>22</w:t>
      </w:r>
      <w:r w:rsidRPr="006A47F0">
        <w:rPr>
          <w:shd w:val="clear" w:color="auto" w:fill="FFFFFF"/>
        </w:rPr>
        <w:t>(5), 30.</w:t>
      </w:r>
    </w:p>
    <w:p w:rsidR="00887146" w:rsidRPr="006A47F0" w:rsidRDefault="00887146" w:rsidP="00887146">
      <w:pPr>
        <w:ind w:left="709" w:hanging="709"/>
        <w:rPr>
          <w:shd w:val="clear" w:color="auto" w:fill="FFFFFF"/>
        </w:rPr>
      </w:pPr>
      <w:r w:rsidRPr="006A47F0">
        <w:rPr>
          <w:shd w:val="clear" w:color="auto" w:fill="FFFFFF"/>
        </w:rPr>
        <w:t>Goldin, G. A., &amp; Kaput, J. J. (2013). A joint perspective on the idea of representation in learning and doing mathematics. In </w:t>
      </w:r>
      <w:r w:rsidRPr="006A47F0">
        <w:rPr>
          <w:i/>
          <w:iCs/>
          <w:shd w:val="clear" w:color="auto" w:fill="FFFFFF"/>
        </w:rPr>
        <w:t>Theories of mathematical learning</w:t>
      </w:r>
      <w:r w:rsidRPr="006A47F0">
        <w:rPr>
          <w:shd w:val="clear" w:color="auto" w:fill="FFFFFF"/>
        </w:rPr>
        <w:t> (pp. 409-442). Routledge.</w:t>
      </w:r>
    </w:p>
    <w:p w:rsidR="00887146" w:rsidRPr="00887146" w:rsidRDefault="00887146" w:rsidP="00887146">
      <w:pPr>
        <w:ind w:left="709" w:hanging="709"/>
        <w:rPr>
          <w:shd w:val="clear" w:color="auto" w:fill="FFFFFF"/>
        </w:rPr>
      </w:pPr>
      <w:r w:rsidRPr="006A47F0">
        <w:rPr>
          <w:shd w:val="clear" w:color="auto" w:fill="FFFFFF"/>
        </w:rPr>
        <w:t>Gürbüz, R., &amp; Şahin, S. (2015). 8. sınıf öğrencilerinin çoklu temsiller arasındaki geçiş becerileri [</w:t>
      </w:r>
      <w:r w:rsidRPr="006A47F0">
        <w:rPr>
          <w:bCs/>
        </w:rPr>
        <w:t>8th grade students’ skills in translating among multiple representations</w:t>
      </w:r>
      <w:r w:rsidRPr="006A47F0">
        <w:rPr>
          <w:shd w:val="clear" w:color="auto" w:fill="FFFFFF"/>
        </w:rPr>
        <w:t>]. </w:t>
      </w:r>
      <w:hyperlink r:id="rId12" w:history="1">
        <w:r w:rsidRPr="006A47F0">
          <w:rPr>
            <w:rFonts w:eastAsiaTheme="majorEastAsia"/>
            <w:bCs/>
            <w:i/>
            <w:iCs/>
            <w:shd w:val="clear" w:color="auto" w:fill="FFFFFF"/>
          </w:rPr>
          <w:t>Kastamonu Education Journal</w:t>
        </w:r>
      </w:hyperlink>
      <w:r w:rsidRPr="006A47F0">
        <w:rPr>
          <w:i/>
          <w:iCs/>
          <w:shd w:val="clear" w:color="auto" w:fill="FFFFFF"/>
        </w:rPr>
        <w:t>, 23</w:t>
      </w:r>
      <w:r w:rsidRPr="006A47F0">
        <w:rPr>
          <w:shd w:val="clear" w:color="auto" w:fill="FFFFFF"/>
        </w:rPr>
        <w:t>(4), 1869-1888.</w:t>
      </w:r>
    </w:p>
    <w:p w:rsidR="00887146" w:rsidRPr="006A47F0" w:rsidRDefault="00887146" w:rsidP="00887146">
      <w:pPr>
        <w:ind w:left="709" w:hanging="709"/>
        <w:rPr>
          <w:shd w:val="clear" w:color="auto" w:fill="FFFFFF"/>
        </w:rPr>
      </w:pPr>
      <w:r w:rsidRPr="006A47F0">
        <w:rPr>
          <w:shd w:val="clear" w:color="auto" w:fill="FFFFFF"/>
        </w:rPr>
        <w:t>Herbel-Eisenmann, B. A. (2002). Using student contributions and multiple representations to develop mathematical language. </w:t>
      </w:r>
      <w:r w:rsidRPr="006A47F0">
        <w:rPr>
          <w:i/>
          <w:iCs/>
          <w:shd w:val="clear" w:color="auto" w:fill="FFFFFF"/>
        </w:rPr>
        <w:t>Mathematics Teaching in the Middle School</w:t>
      </w:r>
      <w:r w:rsidRPr="006A47F0">
        <w:rPr>
          <w:shd w:val="clear" w:color="auto" w:fill="FFFFFF"/>
        </w:rPr>
        <w:t>, </w:t>
      </w:r>
      <w:r w:rsidRPr="006A47F0">
        <w:rPr>
          <w:i/>
          <w:iCs/>
          <w:shd w:val="clear" w:color="auto" w:fill="FFFFFF"/>
        </w:rPr>
        <w:t>8</w:t>
      </w:r>
      <w:r w:rsidRPr="006A47F0">
        <w:rPr>
          <w:shd w:val="clear" w:color="auto" w:fill="FFFFFF"/>
        </w:rPr>
        <w:t>(2), 100-105.</w:t>
      </w:r>
    </w:p>
    <w:p w:rsidR="00887146" w:rsidRPr="006A47F0" w:rsidRDefault="00887146" w:rsidP="00887146">
      <w:pPr>
        <w:ind w:left="709" w:hanging="709"/>
      </w:pPr>
      <w:r w:rsidRPr="006A47F0">
        <w:lastRenderedPageBreak/>
        <w:t xml:space="preserve">Işık, C., Işık, A., &amp; Kar, T. (2011). Öğretmen adaylarının sözel ve görsel temsillere yönelik kurdukları problemlerin analizi </w:t>
      </w:r>
      <w:r w:rsidRPr="006A47F0">
        <w:rPr>
          <w:rFonts w:ascii="Calibri" w:hAnsi="Calibri" w:cs="Calibri"/>
        </w:rPr>
        <w:t>[</w:t>
      </w:r>
      <w:r w:rsidRPr="006A47F0">
        <w:t>Analysis of the problems related to verbal and visual representations posed by pre-service mathematics teachers</w:t>
      </w:r>
      <w:r w:rsidRPr="006A47F0">
        <w:rPr>
          <w:rFonts w:ascii="Calibri" w:hAnsi="Calibri" w:cs="Calibri"/>
        </w:rPr>
        <w:t>]</w:t>
      </w:r>
      <w:r>
        <w:t>.</w:t>
      </w:r>
      <w:r w:rsidRPr="006A47F0">
        <w:t xml:space="preserve"> </w:t>
      </w:r>
      <w:hyperlink r:id="rId13" w:history="1">
        <w:r w:rsidRPr="006A47F0">
          <w:rPr>
            <w:bCs/>
            <w:i/>
          </w:rPr>
          <w:t>Pamukkale University Journal of Education</w:t>
        </w:r>
      </w:hyperlink>
      <w:r w:rsidRPr="006A47F0">
        <w:t>, 30(30), 39-49.</w:t>
      </w:r>
    </w:p>
    <w:p w:rsidR="00887146" w:rsidRPr="006A47F0" w:rsidRDefault="00887146" w:rsidP="00887146">
      <w:pPr>
        <w:ind w:left="709" w:hanging="709"/>
      </w:pPr>
      <w:r w:rsidRPr="006A47F0">
        <w:t xml:space="preserve">İncikabi, S. (2017). Çoklu temsiller ve matematik öğretimi: ders kitapları üzerine bir inceleme </w:t>
      </w:r>
      <w:r w:rsidRPr="006A47F0">
        <w:rPr>
          <w:rFonts w:ascii="Calibri" w:hAnsi="Calibri" w:cs="Calibri"/>
        </w:rPr>
        <w:t>[</w:t>
      </w:r>
      <w:r w:rsidRPr="006A47F0">
        <w:t>Multiple representations and teaching mathematics: an analysis of the mathematics textbooks</w:t>
      </w:r>
      <w:r w:rsidRPr="006A47F0">
        <w:rPr>
          <w:rFonts w:ascii="Calibri" w:hAnsi="Calibri" w:cs="Calibri"/>
        </w:rPr>
        <w:t>]</w:t>
      </w:r>
      <w:r w:rsidRPr="006A47F0">
        <w:t xml:space="preserve">. </w:t>
      </w:r>
      <w:r w:rsidRPr="006A47F0">
        <w:rPr>
          <w:i/>
        </w:rPr>
        <w:t>Cumhuriyet International Journal of Education</w:t>
      </w:r>
      <w:r w:rsidRPr="006A47F0">
        <w:t xml:space="preserve">, 6(1), 66-81. </w:t>
      </w:r>
      <w:hyperlink r:id="rId14" w:history="1">
        <w:r w:rsidRPr="006A47F0">
          <w:rPr>
            <w:rStyle w:val="Kpr"/>
            <w:shd w:val="clear" w:color="auto" w:fill="FFFFFF"/>
          </w:rPr>
          <w:t>https://doi.org/10.30703/cije.321438</w:t>
        </w:r>
      </w:hyperlink>
    </w:p>
    <w:p w:rsidR="00887146" w:rsidRPr="006A47F0" w:rsidRDefault="00887146" w:rsidP="00887146">
      <w:pPr>
        <w:ind w:left="709" w:hanging="709"/>
      </w:pPr>
      <w:r w:rsidRPr="006A47F0">
        <w:rPr>
          <w:shd w:val="clear" w:color="auto" w:fill="FFFFFF"/>
        </w:rPr>
        <w:t xml:space="preserve">İncikabı, S., &amp; Biber, A. Ç. (2018). Ortaokul matematik ders kitaplarında yer verilen temsiller arası ilişkilendirmeler </w:t>
      </w:r>
      <w:r w:rsidRPr="006A47F0">
        <w:rPr>
          <w:rFonts w:ascii="Calibri" w:hAnsi="Calibri" w:cs="Calibri"/>
          <w:shd w:val="clear" w:color="auto" w:fill="FFFFFF"/>
        </w:rPr>
        <w:t>[</w:t>
      </w:r>
      <w:r w:rsidRPr="006A47F0">
        <w:t>Transitions among the representations in the middle school mathematics textbooks</w:t>
      </w:r>
      <w:r w:rsidRPr="006A47F0">
        <w:rPr>
          <w:rFonts w:ascii="Calibri" w:hAnsi="Calibri" w:cs="Calibri"/>
          <w:shd w:val="clear" w:color="auto" w:fill="FFFFFF"/>
        </w:rPr>
        <w:t>]</w:t>
      </w:r>
      <w:r w:rsidRPr="006A47F0">
        <w:rPr>
          <w:shd w:val="clear" w:color="auto" w:fill="FFFFFF"/>
        </w:rPr>
        <w:t>. </w:t>
      </w:r>
      <w:r w:rsidRPr="006A47F0">
        <w:rPr>
          <w:i/>
          <w:iCs/>
          <w:shd w:val="clear" w:color="auto" w:fill="FFFFFF"/>
        </w:rPr>
        <w:t>Kastamonu Education Journal</w:t>
      </w:r>
      <w:r w:rsidRPr="006A47F0">
        <w:rPr>
          <w:shd w:val="clear" w:color="auto" w:fill="FFFFFF"/>
        </w:rPr>
        <w:t>, </w:t>
      </w:r>
      <w:r w:rsidRPr="006A47F0">
        <w:rPr>
          <w:i/>
          <w:iCs/>
          <w:shd w:val="clear" w:color="auto" w:fill="FFFFFF"/>
        </w:rPr>
        <w:t>26</w:t>
      </w:r>
      <w:r w:rsidRPr="006A47F0">
        <w:rPr>
          <w:shd w:val="clear" w:color="auto" w:fill="FFFFFF"/>
        </w:rPr>
        <w:t xml:space="preserve">(3), 729-740. </w:t>
      </w:r>
      <w:hyperlink r:id="rId15" w:history="1">
        <w:r w:rsidRPr="006A47F0">
          <w:rPr>
            <w:rStyle w:val="Kpr"/>
            <w:shd w:val="clear" w:color="auto" w:fill="FFFFFF"/>
          </w:rPr>
          <w:t>https://doi.org/10.24106/kefdergi.415690</w:t>
        </w:r>
      </w:hyperlink>
    </w:p>
    <w:p w:rsidR="00887146" w:rsidRPr="006A47F0" w:rsidRDefault="00887146" w:rsidP="00887146">
      <w:pPr>
        <w:ind w:left="709" w:hanging="709"/>
      </w:pPr>
      <w:r w:rsidRPr="006A47F0">
        <w:rPr>
          <w:shd w:val="clear" w:color="auto" w:fill="FFFFFF"/>
        </w:rPr>
        <w:t xml:space="preserve">İzgiol, D., Keşan, C., &amp; Kaya, D. (2014). </w:t>
      </w:r>
      <w:r w:rsidRPr="006A47F0">
        <w:rPr>
          <w:i/>
          <w:shd w:val="clear" w:color="auto" w:fill="FFFFFF"/>
        </w:rPr>
        <w:t xml:space="preserve">Teknoloji destekli çoklu temsil temelli öğretime örnek bir uygulama </w:t>
      </w:r>
      <w:r w:rsidRPr="006A47F0">
        <w:rPr>
          <w:rFonts w:ascii="Calibri" w:hAnsi="Calibri" w:cs="Calibri"/>
          <w:i/>
          <w:shd w:val="clear" w:color="auto" w:fill="FFFFFF"/>
        </w:rPr>
        <w:t>[A</w:t>
      </w:r>
      <w:r w:rsidRPr="006A47F0">
        <w:rPr>
          <w:i/>
        </w:rPr>
        <w:t>n example application of technology-assisted multiple representation-based instruction</w:t>
      </w:r>
      <w:r w:rsidRPr="006A47F0">
        <w:rPr>
          <w:rFonts w:ascii="Calibri" w:hAnsi="Calibri" w:cs="Calibri"/>
          <w:i/>
          <w:shd w:val="clear" w:color="auto" w:fill="FFFFFF"/>
        </w:rPr>
        <w:t>]</w:t>
      </w:r>
      <w:r w:rsidRPr="006A47F0">
        <w:rPr>
          <w:shd w:val="clear" w:color="auto" w:fill="FFFFFF"/>
        </w:rPr>
        <w:t>. </w:t>
      </w:r>
      <w:r w:rsidRPr="006A47F0">
        <w:rPr>
          <w:iCs/>
          <w:shd w:val="clear" w:color="auto" w:fill="FFFFFF"/>
        </w:rPr>
        <w:t>ICEMST 2014</w:t>
      </w:r>
      <w:r w:rsidRPr="006A47F0">
        <w:rPr>
          <w:shd w:val="clear" w:color="auto" w:fill="FFFFFF"/>
        </w:rPr>
        <w:t>, 705.</w:t>
      </w:r>
      <w:r w:rsidRPr="006A47F0">
        <w:t xml:space="preserve"> </w:t>
      </w:r>
    </w:p>
    <w:p w:rsidR="00887146" w:rsidRPr="006A47F0" w:rsidRDefault="00887146" w:rsidP="00887146">
      <w:pPr>
        <w:ind w:left="709" w:hanging="709"/>
      </w:pPr>
      <w:r w:rsidRPr="006A47F0">
        <w:t>Karakuzu, B. (2017). İlkokul ve ortaokul matematik ders kitaplarındaki geometri görevlerinin tür, bağlam, temsil biçimi ve bilişsel istem düzeyleri açısından incelenmesi [Investigation of geometry tasks in primary and middle school Mahematics textbooks in terms of type, context, representation form and cognitive demand levels]. Master thesis. Anadolu University.</w:t>
      </w:r>
    </w:p>
    <w:p w:rsidR="00887146" w:rsidRDefault="00887146" w:rsidP="00887146">
      <w:pPr>
        <w:ind w:left="709" w:hanging="709"/>
        <w:rPr>
          <w:rFonts w:ascii="Helvetica" w:hAnsi="Helvetica" w:cs="Helvetica"/>
          <w:sz w:val="21"/>
          <w:szCs w:val="21"/>
          <w:shd w:val="clear" w:color="auto" w:fill="FFFFFF"/>
        </w:rPr>
      </w:pPr>
      <w:r w:rsidRPr="006A47F0">
        <w:rPr>
          <w:shd w:val="clear" w:color="auto" w:fill="FFFFFF"/>
        </w:rPr>
        <w:t>Klein, P., Müller, A., &amp; Kuhn, J. (2017). Assessment of representational competence in kinematics. </w:t>
      </w:r>
      <w:r w:rsidRPr="006A47F0">
        <w:rPr>
          <w:i/>
          <w:iCs/>
          <w:shd w:val="clear" w:color="auto" w:fill="FFFFFF"/>
        </w:rPr>
        <w:t>Physical Review Physics Education Research</w:t>
      </w:r>
      <w:r w:rsidRPr="006A47F0">
        <w:rPr>
          <w:shd w:val="clear" w:color="auto" w:fill="FFFFFF"/>
        </w:rPr>
        <w:t>, </w:t>
      </w:r>
      <w:r w:rsidRPr="006A47F0">
        <w:rPr>
          <w:i/>
          <w:iCs/>
          <w:shd w:val="clear" w:color="auto" w:fill="FFFFFF"/>
        </w:rPr>
        <w:t>13</w:t>
      </w:r>
      <w:r w:rsidRPr="006A47F0">
        <w:rPr>
          <w:shd w:val="clear" w:color="auto" w:fill="FFFFFF"/>
        </w:rPr>
        <w:t xml:space="preserve">(1), 010132. </w:t>
      </w:r>
      <w:hyperlink r:id="rId16" w:history="1">
        <w:r w:rsidRPr="006A47F0">
          <w:rPr>
            <w:rStyle w:val="Kpr"/>
            <w:shd w:val="clear" w:color="auto" w:fill="FFFFFF"/>
          </w:rPr>
          <w:t>https://doi.org/10.1103/PhysRevPhysEducRes.13.010132</w:t>
        </w:r>
      </w:hyperlink>
      <w:r w:rsidRPr="006A47F0">
        <w:rPr>
          <w:rFonts w:ascii="Helvetica" w:hAnsi="Helvetica" w:cs="Helvetica"/>
          <w:sz w:val="21"/>
          <w:szCs w:val="21"/>
          <w:shd w:val="clear" w:color="auto" w:fill="FFFFFF"/>
        </w:rPr>
        <w:t xml:space="preserve"> </w:t>
      </w:r>
    </w:p>
    <w:p w:rsidR="00887146" w:rsidRPr="006A47F0" w:rsidRDefault="00887146" w:rsidP="00887146">
      <w:pPr>
        <w:ind w:left="709" w:hanging="709"/>
        <w:rPr>
          <w:shd w:val="clear" w:color="auto" w:fill="FFFFFF"/>
        </w:rPr>
      </w:pPr>
    </w:p>
    <w:p w:rsidR="00887146" w:rsidRPr="00887146" w:rsidRDefault="00887146" w:rsidP="00887146">
      <w:pPr>
        <w:ind w:left="709" w:hanging="709"/>
        <w:rPr>
          <w:rFonts w:ascii="Helvetica" w:hAnsi="Helvetica" w:cs="Helvetica"/>
          <w:sz w:val="21"/>
          <w:szCs w:val="21"/>
          <w:shd w:val="clear" w:color="auto" w:fill="FFFFFF"/>
        </w:rPr>
      </w:pPr>
      <w:r w:rsidRPr="006A47F0">
        <w:lastRenderedPageBreak/>
        <w:t>Kohl, P. B., Rosengrant, D., &amp; Finkelstein, N. D. (2007). Strongly and weakly directed approaches to teaching multipl</w:t>
      </w:r>
      <w:r>
        <w:t>e representation use in physics.</w:t>
      </w:r>
      <w:r w:rsidRPr="006A47F0">
        <w:t xml:space="preserve"> </w:t>
      </w:r>
      <w:r w:rsidRPr="006A47F0">
        <w:rPr>
          <w:i/>
        </w:rPr>
        <w:t>Physical review special topics - physics education research</w:t>
      </w:r>
      <w:r w:rsidRPr="006A47F0">
        <w:t xml:space="preserve"> 3, 010108. </w:t>
      </w:r>
      <w:hyperlink r:id="rId17" w:history="1">
        <w:r w:rsidRPr="006A47F0">
          <w:rPr>
            <w:rStyle w:val="Kpr"/>
            <w:shd w:val="clear" w:color="auto" w:fill="FFFFFF"/>
          </w:rPr>
          <w:t>https://doi.org/10.1103/PhysRevSTPER.3.010108</w:t>
        </w:r>
      </w:hyperlink>
      <w:r w:rsidRPr="006A47F0">
        <w:rPr>
          <w:rFonts w:ascii="Helvetica" w:hAnsi="Helvetica" w:cs="Helvetica"/>
          <w:sz w:val="21"/>
          <w:szCs w:val="21"/>
          <w:shd w:val="clear" w:color="auto" w:fill="FFFFFF"/>
        </w:rPr>
        <w:t xml:space="preserve"> </w:t>
      </w:r>
    </w:p>
    <w:p w:rsidR="00887146" w:rsidRPr="00887146" w:rsidRDefault="00887146" w:rsidP="00887146">
      <w:pPr>
        <w:ind w:left="709" w:hanging="709"/>
      </w:pPr>
      <w:r w:rsidRPr="006A47F0">
        <w:rPr>
          <w:shd w:val="clear" w:color="auto" w:fill="FFFFFF"/>
        </w:rPr>
        <w:t>Kusairi, S., Noviandari, L., &amp; Pratiwi, H. Y. (2019). Analysis of students' understanding of motion in straight line concepts: modeling ınstruction with formative e-assessment. </w:t>
      </w:r>
      <w:r w:rsidRPr="006A47F0">
        <w:rPr>
          <w:i/>
          <w:iCs/>
          <w:shd w:val="clear" w:color="auto" w:fill="FFFFFF"/>
        </w:rPr>
        <w:t>International Journal of Instruction</w:t>
      </w:r>
      <w:r w:rsidRPr="006A47F0">
        <w:rPr>
          <w:shd w:val="clear" w:color="auto" w:fill="FFFFFF"/>
        </w:rPr>
        <w:t>, </w:t>
      </w:r>
      <w:r w:rsidRPr="006A47F0">
        <w:rPr>
          <w:i/>
          <w:iCs/>
          <w:shd w:val="clear" w:color="auto" w:fill="FFFFFF"/>
        </w:rPr>
        <w:t>12</w:t>
      </w:r>
      <w:r w:rsidRPr="006A47F0">
        <w:rPr>
          <w:shd w:val="clear" w:color="auto" w:fill="FFFFFF"/>
        </w:rPr>
        <w:t xml:space="preserve">(4), 353-364. </w:t>
      </w:r>
      <w:hyperlink r:id="rId18" w:history="1">
        <w:r w:rsidRPr="006A47F0">
          <w:rPr>
            <w:rStyle w:val="Kpr"/>
          </w:rPr>
          <w:t>https://doi.org/10.29333/iji.2019.12423a</w:t>
        </w:r>
      </w:hyperlink>
      <w:r w:rsidRPr="006A47F0">
        <w:t xml:space="preserve"> </w:t>
      </w:r>
    </w:p>
    <w:p w:rsidR="00887146" w:rsidRPr="00887146" w:rsidRDefault="00887146" w:rsidP="00887146">
      <w:pPr>
        <w:ind w:left="709" w:hanging="709"/>
        <w:rPr>
          <w:color w:val="0000FF" w:themeColor="hyperlink"/>
          <w:u w:val="single"/>
        </w:rPr>
      </w:pPr>
      <w:r w:rsidRPr="006A47F0">
        <w:t xml:space="preserve">Lin, J. W. (2017). A cross-grade study validating the evolutionary pathway of student mental models in electric circuits. </w:t>
      </w:r>
      <w:r w:rsidRPr="006A47F0">
        <w:rPr>
          <w:i/>
        </w:rPr>
        <w:t>Eurasia Journal of Mathematics, Science and Technology Education</w:t>
      </w:r>
      <w:r w:rsidRPr="006A47F0">
        <w:t xml:space="preserve">, 13(7), 3099–3137. </w:t>
      </w:r>
      <w:hyperlink r:id="rId19" w:history="1">
        <w:r w:rsidRPr="006A47F0">
          <w:rPr>
            <w:rStyle w:val="Kpr"/>
          </w:rPr>
          <w:t>https://doi.org/10.12973/eurasia.2017.00707a</w:t>
        </w:r>
      </w:hyperlink>
    </w:p>
    <w:p w:rsidR="00887146" w:rsidRPr="006A47F0" w:rsidRDefault="00887146" w:rsidP="00887146">
      <w:pPr>
        <w:ind w:left="709" w:hanging="709"/>
        <w:rPr>
          <w:shd w:val="clear" w:color="auto" w:fill="FFFFFF"/>
        </w:rPr>
      </w:pPr>
      <w:r w:rsidRPr="006A47F0">
        <w:rPr>
          <w:shd w:val="clear" w:color="auto" w:fill="FFFFFF"/>
        </w:rPr>
        <w:t xml:space="preserve">McGowan, M. &amp; Tall, D. (2001). Flexible Thinking, Consistency, and Stability of Responses:A Study of Divergence. </w:t>
      </w:r>
      <w:hyperlink r:id="rId20" w:history="1">
        <w:r w:rsidRPr="00B37FC7">
          <w:rPr>
            <w:rStyle w:val="Kpr"/>
            <w:shd w:val="clear" w:color="auto" w:fill="FFFFFF"/>
          </w:rPr>
          <w:t>http://www.warwick.ac.uk/staff/David.Tall/drafts/dot2001-mcgowen-tall-draft.pdf. Retrieved on 20.07.2023</w:t>
        </w:r>
      </w:hyperlink>
      <w:r w:rsidRPr="006A47F0">
        <w:rPr>
          <w:shd w:val="clear" w:color="auto" w:fill="FFFFFF"/>
        </w:rPr>
        <w:t xml:space="preserve">. </w:t>
      </w:r>
    </w:p>
    <w:p w:rsidR="00887146" w:rsidRPr="006A47F0" w:rsidRDefault="00887146" w:rsidP="00887146">
      <w:pPr>
        <w:ind w:left="709" w:hanging="709"/>
        <w:rPr>
          <w:shd w:val="clear" w:color="auto" w:fill="FFFFFF"/>
        </w:rPr>
      </w:pPr>
      <w:r w:rsidRPr="006A47F0">
        <w:rPr>
          <w:shd w:val="clear" w:color="auto" w:fill="FFFFFF"/>
        </w:rPr>
        <w:t>Mercan, S. (2020). </w:t>
      </w:r>
      <w:r w:rsidRPr="006A47F0">
        <w:rPr>
          <w:i/>
          <w:iCs/>
          <w:shd w:val="clear" w:color="auto" w:fill="FFFFFF"/>
        </w:rPr>
        <w:t>9. sınıf öğrencilerinin çoklu temsil transfer becerilerinin incelenmesi: Denklem ve eşitsizlikler</w:t>
      </w:r>
      <w:r w:rsidRPr="006A47F0">
        <w:rPr>
          <w:shd w:val="clear" w:color="auto" w:fill="FFFFFF"/>
        </w:rPr>
        <w:t> </w:t>
      </w:r>
      <w:r w:rsidRPr="006A47F0">
        <w:rPr>
          <w:rFonts w:ascii="Calibri" w:hAnsi="Calibri" w:cs="Calibri"/>
          <w:shd w:val="clear" w:color="auto" w:fill="FFFFFF"/>
        </w:rPr>
        <w:t>[I</w:t>
      </w:r>
      <w:r w:rsidRPr="006A47F0">
        <w:t>nvestıgation of 9th grade students’ skill in translating among representations: equations and inequalities</w:t>
      </w:r>
      <w:r w:rsidRPr="006A47F0">
        <w:rPr>
          <w:rFonts w:ascii="Calibri" w:hAnsi="Calibri" w:cs="Calibri"/>
          <w:shd w:val="clear" w:color="auto" w:fill="FFFFFF"/>
        </w:rPr>
        <w:t>]</w:t>
      </w:r>
      <w:r w:rsidRPr="006A47F0">
        <w:rPr>
          <w:shd w:val="clear" w:color="auto" w:fill="FFFFFF"/>
        </w:rPr>
        <w:t xml:space="preserve"> Master's thesis. Karamanoğlu Mehmetbey University.</w:t>
      </w:r>
    </w:p>
    <w:p w:rsidR="00887146" w:rsidRPr="006A47F0" w:rsidRDefault="00887146" w:rsidP="00887146">
      <w:pPr>
        <w:ind w:left="709" w:hanging="709"/>
      </w:pPr>
      <w:r w:rsidRPr="006A47F0">
        <w:t xml:space="preserve">Miles, M. B., &amp; Huberman, A. M., (1994). </w:t>
      </w:r>
      <w:r w:rsidRPr="006A47F0">
        <w:rPr>
          <w:i/>
        </w:rPr>
        <w:t>Qualitative Data Analysis, Second Edition</w:t>
      </w:r>
      <w:r w:rsidRPr="006A47F0">
        <w:t>, Sage Publications.</w:t>
      </w:r>
    </w:p>
    <w:p w:rsidR="00887146" w:rsidRPr="006A47F0" w:rsidRDefault="00887146" w:rsidP="00887146">
      <w:pPr>
        <w:ind w:left="709" w:hanging="709"/>
        <w:rPr>
          <w:shd w:val="clear" w:color="auto" w:fill="FFFFFF"/>
        </w:rPr>
      </w:pPr>
      <w:r w:rsidRPr="006A47F0">
        <w:rPr>
          <w:shd w:val="clear" w:color="auto" w:fill="FFFFFF"/>
        </w:rPr>
        <w:t xml:space="preserve">Pebriana, I. N., Supahar, S., Pradana, P. W., &amp; Mundilarto, M. (2022, January). Investigating multiple representations ability of high school students on linear </w:t>
      </w:r>
      <w:r w:rsidRPr="006A47F0">
        <w:rPr>
          <w:shd w:val="clear" w:color="auto" w:fill="FFFFFF"/>
        </w:rPr>
        <w:lastRenderedPageBreak/>
        <w:t>motion. In </w:t>
      </w:r>
      <w:r w:rsidRPr="006A47F0">
        <w:rPr>
          <w:i/>
          <w:iCs/>
          <w:shd w:val="clear" w:color="auto" w:fill="FFFFFF"/>
        </w:rPr>
        <w:t>5th International Conference on Current Issues in Education (ICCIE 2021)</w:t>
      </w:r>
      <w:r w:rsidRPr="006A47F0">
        <w:rPr>
          <w:shd w:val="clear" w:color="auto" w:fill="FFFFFF"/>
        </w:rPr>
        <w:t xml:space="preserve"> (pp. 232-237). Atlantis Press. </w:t>
      </w:r>
    </w:p>
    <w:p w:rsidR="00887146" w:rsidRPr="006A47F0" w:rsidRDefault="00887146" w:rsidP="00887146">
      <w:pPr>
        <w:ind w:left="709" w:hanging="709"/>
      </w:pPr>
      <w:r w:rsidRPr="006A47F0">
        <w:rPr>
          <w:shd w:val="clear" w:color="auto" w:fill="FFFFFF"/>
        </w:rPr>
        <w:t>Puspitaningtyas, E., Hasanah, S. U., Kusairi, S., &amp; Purwaningsih, E. (2021, March). Physics students’ responses when asked to select and solve motion kinematics problems in various representations. In </w:t>
      </w:r>
      <w:r w:rsidRPr="006A47F0">
        <w:rPr>
          <w:i/>
          <w:iCs/>
          <w:shd w:val="clear" w:color="auto" w:fill="FFFFFF"/>
        </w:rPr>
        <w:t>AIP Conference Proceedings</w:t>
      </w:r>
      <w:r w:rsidRPr="006A47F0">
        <w:rPr>
          <w:shd w:val="clear" w:color="auto" w:fill="FFFFFF"/>
        </w:rPr>
        <w:t> (Vol. 2330, No. 1). AIP Publishing.</w:t>
      </w:r>
      <w:r w:rsidRPr="006A47F0">
        <w:t xml:space="preserve"> </w:t>
      </w:r>
    </w:p>
    <w:p w:rsidR="00887146" w:rsidRPr="006A47F0" w:rsidRDefault="00887146" w:rsidP="00887146">
      <w:pPr>
        <w:ind w:left="709" w:hanging="709"/>
      </w:pPr>
      <w:r w:rsidRPr="006A47F0">
        <w:t xml:space="preserve">Rau, M. A. (2017). Conditions for the effectiveness of multiple visual representations in enhancing STEM learning. </w:t>
      </w:r>
      <w:r w:rsidRPr="006A47F0">
        <w:rPr>
          <w:i/>
        </w:rPr>
        <w:t>Educational Psychology Review</w:t>
      </w:r>
      <w:r w:rsidRPr="006A47F0">
        <w:t>, 29(4), 717–761. doi:10.1007/s10648-016-9365-3</w:t>
      </w:r>
    </w:p>
    <w:p w:rsidR="00887146" w:rsidRPr="006A47F0" w:rsidRDefault="00887146" w:rsidP="00887146">
      <w:pPr>
        <w:ind w:left="709" w:hanging="709"/>
        <w:rPr>
          <w:shd w:val="clear" w:color="auto" w:fill="FFFFFF"/>
        </w:rPr>
      </w:pPr>
      <w:r w:rsidRPr="006A47F0">
        <w:rPr>
          <w:shd w:val="clear" w:color="auto" w:fill="FFFFFF"/>
        </w:rPr>
        <w:t>Principles, N. C. T. M. (2000). Standards for school mathematics. </w:t>
      </w:r>
      <w:r w:rsidRPr="006A47F0">
        <w:rPr>
          <w:i/>
          <w:iCs/>
          <w:shd w:val="clear" w:color="auto" w:fill="FFFFFF"/>
        </w:rPr>
        <w:t>Reston, VA: National Council of Teachers of Mathematics</w:t>
      </w:r>
      <w:r w:rsidRPr="006A47F0">
        <w:rPr>
          <w:shd w:val="clear" w:color="auto" w:fill="FFFFFF"/>
        </w:rPr>
        <w:t>.</w:t>
      </w:r>
    </w:p>
    <w:p w:rsidR="00887146" w:rsidRPr="00887146" w:rsidRDefault="00887146" w:rsidP="00887146">
      <w:pPr>
        <w:ind w:left="709" w:hanging="709"/>
      </w:pPr>
      <w:r w:rsidRPr="006A47F0">
        <w:rPr>
          <w:shd w:val="clear" w:color="auto" w:fill="FFFFFF"/>
        </w:rPr>
        <w:t>Saputra, A. T., Jumadi, J., Paramitha, D. W., &amp; Sarah, S. (2019). Problem-solving approach in multiple representations of qualitative and quantitative problems in kinematics motion. </w:t>
      </w:r>
      <w:r w:rsidRPr="006A47F0">
        <w:rPr>
          <w:i/>
          <w:iCs/>
          <w:shd w:val="clear" w:color="auto" w:fill="FFFFFF"/>
        </w:rPr>
        <w:t>Jurnal Ilmiah Pendidikan Fisika Al-Biruni</w:t>
      </w:r>
      <w:r w:rsidRPr="006A47F0">
        <w:rPr>
          <w:shd w:val="clear" w:color="auto" w:fill="FFFFFF"/>
        </w:rPr>
        <w:t>, </w:t>
      </w:r>
      <w:r w:rsidRPr="006A47F0">
        <w:rPr>
          <w:i/>
          <w:iCs/>
          <w:shd w:val="clear" w:color="auto" w:fill="FFFFFF"/>
        </w:rPr>
        <w:t>8</w:t>
      </w:r>
      <w:r w:rsidRPr="006A47F0">
        <w:rPr>
          <w:shd w:val="clear" w:color="auto" w:fill="FFFFFF"/>
        </w:rPr>
        <w:t xml:space="preserve">(1), 89-98. Doi: </w:t>
      </w:r>
      <w:r w:rsidRPr="006A47F0">
        <w:t>10.24042/jipfalbiruni.v8i1.3801</w:t>
      </w:r>
    </w:p>
    <w:p w:rsidR="00887146" w:rsidRPr="006A47F0" w:rsidRDefault="00887146" w:rsidP="00887146">
      <w:pPr>
        <w:ind w:left="709" w:hanging="709"/>
      </w:pPr>
      <w:r w:rsidRPr="006A47F0">
        <w:t>Sert, Ö. (2007). Eighth grade students’ skills ın translating among different representations of algebraic concepts. Master thesis. Middle East Technical University.</w:t>
      </w:r>
    </w:p>
    <w:p w:rsidR="00887146" w:rsidRPr="006A47F0" w:rsidRDefault="00887146" w:rsidP="00887146">
      <w:pPr>
        <w:ind w:left="709" w:hanging="709"/>
        <w:rPr>
          <w:shd w:val="clear" w:color="auto" w:fill="FFFFFF"/>
        </w:rPr>
      </w:pPr>
      <w:r w:rsidRPr="006A47F0">
        <w:rPr>
          <w:shd w:val="clear" w:color="auto" w:fill="FFFFFF"/>
        </w:rPr>
        <w:t>Türer, G., &amp; Günhan, B. C. (2022). Türkiye’de matematik eğitiminde çoklu temsiller ile ilgili yapılan çalışmaların incelenmesi [</w:t>
      </w:r>
      <w:r w:rsidRPr="006A47F0">
        <w:t>Examining the studies on multiple representations in mathematics education in Turkey</w:t>
      </w:r>
      <w:r w:rsidRPr="006A47F0">
        <w:rPr>
          <w:shd w:val="clear" w:color="auto" w:fill="FFFFFF"/>
        </w:rPr>
        <w:t>]. </w:t>
      </w:r>
      <w:hyperlink r:id="rId21" w:history="1">
        <w:r w:rsidRPr="006A47F0">
          <w:rPr>
            <w:bCs/>
            <w:i/>
            <w:iCs/>
            <w:shd w:val="clear" w:color="auto" w:fill="FFFFFF"/>
          </w:rPr>
          <w:t>Journal of Science Mathematics Entrepreneurship and Technology Education</w:t>
        </w:r>
      </w:hyperlink>
      <w:r w:rsidRPr="006A47F0">
        <w:rPr>
          <w:shd w:val="clear" w:color="auto" w:fill="FFFFFF"/>
        </w:rPr>
        <w:t>, </w:t>
      </w:r>
      <w:r w:rsidRPr="006A47F0">
        <w:rPr>
          <w:i/>
          <w:iCs/>
          <w:shd w:val="clear" w:color="auto" w:fill="FFFFFF"/>
        </w:rPr>
        <w:t>5</w:t>
      </w:r>
      <w:r w:rsidRPr="006A47F0">
        <w:rPr>
          <w:shd w:val="clear" w:color="auto" w:fill="FFFFFF"/>
        </w:rPr>
        <w:t>(3), 214-236.</w:t>
      </w:r>
    </w:p>
    <w:p w:rsidR="00887146" w:rsidRPr="006A47F0" w:rsidRDefault="00887146" w:rsidP="00887146">
      <w:pPr>
        <w:ind w:left="709" w:hanging="709"/>
      </w:pPr>
      <w:r w:rsidRPr="006A47F0">
        <w:rPr>
          <w:shd w:val="clear" w:color="auto" w:fill="FFFFFF"/>
        </w:rPr>
        <w:lastRenderedPageBreak/>
        <w:t>Umrotul, U., Jewaru, A. A. L., Kusairi, S., &amp; Pramono, N. A. (2022). The ability to solve physics problems in symbolic and numeric representations. </w:t>
      </w:r>
      <w:r w:rsidRPr="006A47F0">
        <w:rPr>
          <w:i/>
          <w:iCs/>
          <w:shd w:val="clear" w:color="auto" w:fill="FFFFFF"/>
        </w:rPr>
        <w:t>Revista Mexicana de Física E</w:t>
      </w:r>
      <w:r w:rsidRPr="006A47F0">
        <w:rPr>
          <w:shd w:val="clear" w:color="auto" w:fill="FFFFFF"/>
        </w:rPr>
        <w:t>, </w:t>
      </w:r>
      <w:r w:rsidRPr="006A47F0">
        <w:rPr>
          <w:i/>
          <w:iCs/>
          <w:shd w:val="clear" w:color="auto" w:fill="FFFFFF"/>
        </w:rPr>
        <w:t>19</w:t>
      </w:r>
      <w:r w:rsidRPr="006A47F0">
        <w:rPr>
          <w:shd w:val="clear" w:color="auto" w:fill="FFFFFF"/>
        </w:rPr>
        <w:t>(1 Jan-Jun), 010209-1.</w:t>
      </w:r>
      <w:r w:rsidRPr="006A47F0">
        <w:t xml:space="preserve"> </w:t>
      </w:r>
    </w:p>
    <w:p w:rsidR="00887146" w:rsidRPr="006A47F0" w:rsidRDefault="00887146" w:rsidP="00887146">
      <w:pPr>
        <w:ind w:left="709" w:hanging="709"/>
      </w:pPr>
      <w:r w:rsidRPr="006A47F0">
        <w:t>Van Heuvelen A., &amp; Zou, X. (2001). Multiple representations of wo</w:t>
      </w:r>
      <w:r>
        <w:t>rk energy processes.</w:t>
      </w:r>
      <w:r w:rsidRPr="006A47F0">
        <w:t xml:space="preserve"> </w:t>
      </w:r>
      <w:r w:rsidRPr="006A47F0">
        <w:rPr>
          <w:i/>
        </w:rPr>
        <w:t>American Journal of Physics</w:t>
      </w:r>
      <w:r w:rsidRPr="006A47F0">
        <w:t xml:space="preserve"> 69, 184.  doi: 10.1119/1.1286662</w:t>
      </w:r>
    </w:p>
    <w:p w:rsidR="00887146" w:rsidRPr="00887146" w:rsidRDefault="00887146" w:rsidP="00887146">
      <w:pPr>
        <w:ind w:left="709" w:hanging="709"/>
        <w:rPr>
          <w:shd w:val="clear" w:color="auto" w:fill="FFFFFF"/>
        </w:rPr>
      </w:pPr>
      <w:r w:rsidRPr="006A47F0">
        <w:rPr>
          <w:shd w:val="clear" w:color="auto" w:fill="FFFFFF"/>
        </w:rPr>
        <w:t>Yener, D., &amp; Güzel, H. (2010). Kinematik konusuna ait problemlerin çözümüne grafik materyallerin etkisi [</w:t>
      </w:r>
      <w:r w:rsidRPr="006A47F0">
        <w:t>The affect of graphical materıals on problem solving of kinematics</w:t>
      </w:r>
      <w:r w:rsidRPr="006A47F0">
        <w:rPr>
          <w:shd w:val="clear" w:color="auto" w:fill="FFFFFF"/>
        </w:rPr>
        <w:t>].</w:t>
      </w:r>
      <w:hyperlink r:id="rId22" w:history="1">
        <w:r w:rsidRPr="006A47F0">
          <w:t xml:space="preserve"> </w:t>
        </w:r>
        <w:r w:rsidRPr="006A47F0">
          <w:rPr>
            <w:bCs/>
            <w:i/>
            <w:iCs/>
            <w:shd w:val="clear" w:color="auto" w:fill="FFFFFF"/>
          </w:rPr>
          <w:t>Journal of Ahmet Kelesoglu Education Faculty</w:t>
        </w:r>
      </w:hyperlink>
      <w:r w:rsidRPr="006A47F0">
        <w:rPr>
          <w:shd w:val="clear" w:color="auto" w:fill="FFFFFF"/>
        </w:rPr>
        <w:t>, </w:t>
      </w:r>
      <w:r w:rsidRPr="006A47F0">
        <w:rPr>
          <w:i/>
          <w:iCs/>
          <w:shd w:val="clear" w:color="auto" w:fill="FFFFFF"/>
        </w:rPr>
        <w:t>30</w:t>
      </w:r>
      <w:r w:rsidRPr="006A47F0">
        <w:rPr>
          <w:shd w:val="clear" w:color="auto" w:fill="FFFFFF"/>
        </w:rPr>
        <w:t>, 271-279.</w:t>
      </w:r>
    </w:p>
    <w:p w:rsidR="00887146" w:rsidRPr="00D208E0" w:rsidRDefault="00887146" w:rsidP="00D208E0">
      <w:pPr>
        <w:ind w:left="709" w:hanging="709"/>
      </w:pPr>
      <w:r w:rsidRPr="006A47F0">
        <w:rPr>
          <w:shd w:val="clear" w:color="auto" w:fill="FFFFFF"/>
        </w:rPr>
        <w:t>Zajkov, O., &amp; Jonoska, M. (2003, August). Graph and graphic understanding among secondary school students. In </w:t>
      </w:r>
      <w:r w:rsidRPr="006A47F0">
        <w:rPr>
          <w:i/>
          <w:iCs/>
          <w:shd w:val="clear" w:color="auto" w:fill="FFFFFF"/>
        </w:rPr>
        <w:t>Proceedings of the Fifth General Conference of the Balkan Physical Union, Editors: S. Jokić, I. Milošević, A. Balaž, Z. Nikolić, Serbian Physical Society</w:t>
      </w:r>
      <w:r w:rsidRPr="006A47F0">
        <w:rPr>
          <w:shd w:val="clear" w:color="auto" w:fill="FFFFFF"/>
        </w:rPr>
        <w:t> (pp. 1849-1854).</w:t>
      </w:r>
    </w:p>
    <w:sectPr w:rsidR="00887146" w:rsidRPr="00D208E0" w:rsidSect="00D208E0">
      <w:headerReference w:type="first" r:id="rId23"/>
      <w:footerReference w:type="first" r:id="rId24"/>
      <w:pgSz w:w="11906" w:h="16838"/>
      <w:pgMar w:top="1701" w:right="1701" w:bottom="1701" w:left="1701" w:header="720" w:footer="720" w:gutter="0"/>
      <w:lnNumType w:countBy="1" w:restart="continuous"/>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E4F" w:rsidRDefault="003C3E4F">
      <w:pPr>
        <w:spacing w:line="240" w:lineRule="auto"/>
      </w:pPr>
      <w:r>
        <w:separator/>
      </w:r>
    </w:p>
  </w:endnote>
  <w:endnote w:type="continuationSeparator" w:id="0">
    <w:p w:rsidR="003C3E4F" w:rsidRDefault="003C3E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Times">
    <w:panose1 w:val="02020603050405020304"/>
    <w:charset w:val="A2"/>
    <w:family w:val="roman"/>
    <w:pitch w:val="variable"/>
    <w:sig w:usb0="20002A87" w:usb1="00000000" w:usb2="00000000" w:usb3="00000000" w:csb0="000001FF" w:csb1="00000000"/>
  </w:font>
  <w:font w:name="Helvetica">
    <w:panose1 w:val="020B0504020202020204"/>
    <w:charset w:val="A2"/>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064" w:rsidRDefault="003F4064">
    <w:pPr>
      <w:pStyle w:val="AltBilgi"/>
    </w:pPr>
    <w:r>
      <w:t>*Department of Physics Engineering, Faculty of Engineering and Natural Sciences, Gümüşhane University, Gümüşhane, Türkiye.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E4F" w:rsidRDefault="003C3E4F">
      <w:pPr>
        <w:spacing w:line="240" w:lineRule="auto"/>
      </w:pPr>
      <w:r>
        <w:separator/>
      </w:r>
    </w:p>
  </w:footnote>
  <w:footnote w:type="continuationSeparator" w:id="0">
    <w:p w:rsidR="003C3E4F" w:rsidRDefault="003C3E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1B1" w:rsidRDefault="005B01B1" w:rsidP="005B01B1">
    <w:pPr>
      <w:pStyle w:val="stBilgi"/>
      <w:ind w:left="-993"/>
    </w:pPr>
    <w:r w:rsidRPr="001E4E40">
      <w:rPr>
        <w:noProof/>
        <w:lang w:val="tr-TR"/>
      </w:rPr>
      <w:drawing>
        <wp:anchor distT="0" distB="0" distL="114300" distR="114300" simplePos="0" relativeHeight="251659264" behindDoc="0" locked="0" layoutInCell="1" allowOverlap="1" wp14:anchorId="364E2BDF" wp14:editId="6FF5C8A6">
          <wp:simplePos x="0" y="0"/>
          <wp:positionH relativeFrom="margin">
            <wp:posOffset>-676275</wp:posOffset>
          </wp:positionH>
          <wp:positionV relativeFrom="paragraph">
            <wp:posOffset>142875</wp:posOffset>
          </wp:positionV>
          <wp:extent cx="6825615" cy="1187450"/>
          <wp:effectExtent l="0" t="0" r="0" b="0"/>
          <wp:wrapThrough wrapText="bothSides">
            <wp:wrapPolygon edited="0">
              <wp:start x="0" y="0"/>
              <wp:lineTo x="0" y="21138"/>
              <wp:lineTo x="21522" y="21138"/>
              <wp:lineTo x="21522" y="0"/>
              <wp:lineTo x="0" y="0"/>
            </wp:wrapPolygon>
          </wp:wrapThrough>
          <wp:docPr id="1" name="Picture 2" descr="E:\Jurnal of Science Learning\Header Journal J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of Science Learning\Header Journal JS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2561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A523A"/>
    <w:multiLevelType w:val="multilevel"/>
    <w:tmpl w:val="A706FCAA"/>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5411B12"/>
    <w:multiLevelType w:val="multilevel"/>
    <w:tmpl w:val="695452B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770"/>
    <w:rsid w:val="00054EA3"/>
    <w:rsid w:val="002D2A81"/>
    <w:rsid w:val="003C3E4F"/>
    <w:rsid w:val="003F057C"/>
    <w:rsid w:val="003F4064"/>
    <w:rsid w:val="00557570"/>
    <w:rsid w:val="00592B4D"/>
    <w:rsid w:val="005B01B1"/>
    <w:rsid w:val="005D7826"/>
    <w:rsid w:val="00614770"/>
    <w:rsid w:val="00757872"/>
    <w:rsid w:val="00887146"/>
    <w:rsid w:val="008F389F"/>
    <w:rsid w:val="00A23267"/>
    <w:rsid w:val="00A62631"/>
    <w:rsid w:val="00A74BD3"/>
    <w:rsid w:val="00B84CF4"/>
    <w:rsid w:val="00D208E0"/>
    <w:rsid w:val="00EB146F"/>
    <w:rsid w:val="00F82D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DDBC"/>
  <w15:docId w15:val="{6499AF1A-3BC3-4542-8C8C-D5110AB9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tr-TR"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outlineLvl w:val="0"/>
    </w:pPr>
    <w:rPr>
      <w:b/>
    </w:rPr>
  </w:style>
  <w:style w:type="paragraph" w:styleId="Balk2">
    <w:name w:val="heading 2"/>
    <w:basedOn w:val="Normal"/>
    <w:next w:val="Normal"/>
    <w:pPr>
      <w:keepNext/>
      <w:keepLines/>
      <w:outlineLvl w:val="1"/>
    </w:pPr>
    <w:rPr>
      <w:b/>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40"/>
      <w:outlineLvl w:val="3"/>
    </w:pPr>
    <w:rPr>
      <w:rFonts w:ascii="Calibri" w:eastAsia="Calibri" w:hAnsi="Calibri" w:cs="Calibri"/>
      <w:i/>
      <w:color w:val="2E75B5"/>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spacing w:after="240"/>
      <w:jc w:val="left"/>
    </w:pPr>
    <w:rPr>
      <w:b/>
      <w:sz w:val="36"/>
      <w:szCs w:val="36"/>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styleId="TabloKlavuzu">
    <w:name w:val="Table Grid"/>
    <w:basedOn w:val="NormalTablo"/>
    <w:uiPriority w:val="39"/>
    <w:rsid w:val="00A62631"/>
    <w:pPr>
      <w:spacing w:line="240" w:lineRule="auto"/>
      <w:jc w:val="left"/>
    </w:pPr>
    <w:rPr>
      <w:rFonts w:asciiTheme="minorHAnsi" w:eastAsiaTheme="minorHAnsi" w:hAnsiTheme="minorHAnsi" w:cstheme="minorBidi"/>
      <w:sz w:val="22"/>
      <w:szCs w:val="22"/>
      <w:lang w:val="tr-T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887146"/>
    <w:rPr>
      <w:color w:val="0000FF" w:themeColor="hyperlink"/>
      <w:u w:val="single"/>
    </w:rPr>
  </w:style>
  <w:style w:type="character" w:styleId="Vurgu">
    <w:name w:val="Emphasis"/>
    <w:basedOn w:val="VarsaylanParagrafYazTipi"/>
    <w:uiPriority w:val="20"/>
    <w:qFormat/>
    <w:rsid w:val="00887146"/>
    <w:rPr>
      <w:i/>
      <w:iCs/>
    </w:rPr>
  </w:style>
  <w:style w:type="character" w:styleId="AklamaBavurusu">
    <w:name w:val="annotation reference"/>
    <w:basedOn w:val="VarsaylanParagrafYazTipi"/>
    <w:uiPriority w:val="99"/>
    <w:semiHidden/>
    <w:unhideWhenUsed/>
    <w:rsid w:val="002D2A81"/>
    <w:rPr>
      <w:sz w:val="16"/>
      <w:szCs w:val="16"/>
    </w:rPr>
  </w:style>
  <w:style w:type="paragraph" w:styleId="AklamaMetni">
    <w:name w:val="annotation text"/>
    <w:basedOn w:val="Normal"/>
    <w:link w:val="AklamaMetniChar"/>
    <w:uiPriority w:val="99"/>
    <w:semiHidden/>
    <w:unhideWhenUsed/>
    <w:rsid w:val="002D2A8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D2A81"/>
    <w:rPr>
      <w:sz w:val="20"/>
      <w:szCs w:val="20"/>
    </w:rPr>
  </w:style>
  <w:style w:type="paragraph" w:styleId="AklamaKonusu">
    <w:name w:val="annotation subject"/>
    <w:basedOn w:val="AklamaMetni"/>
    <w:next w:val="AklamaMetni"/>
    <w:link w:val="AklamaKonusuChar"/>
    <w:uiPriority w:val="99"/>
    <w:semiHidden/>
    <w:unhideWhenUsed/>
    <w:rsid w:val="002D2A81"/>
    <w:rPr>
      <w:b/>
      <w:bCs/>
    </w:rPr>
  </w:style>
  <w:style w:type="character" w:customStyle="1" w:styleId="AklamaKonusuChar">
    <w:name w:val="Açıklama Konusu Char"/>
    <w:basedOn w:val="AklamaMetniChar"/>
    <w:link w:val="AklamaKonusu"/>
    <w:uiPriority w:val="99"/>
    <w:semiHidden/>
    <w:rsid w:val="002D2A81"/>
    <w:rPr>
      <w:b/>
      <w:bCs/>
      <w:sz w:val="20"/>
      <w:szCs w:val="20"/>
    </w:rPr>
  </w:style>
  <w:style w:type="paragraph" w:styleId="BalonMetni">
    <w:name w:val="Balloon Text"/>
    <w:basedOn w:val="Normal"/>
    <w:link w:val="BalonMetniChar"/>
    <w:uiPriority w:val="99"/>
    <w:semiHidden/>
    <w:unhideWhenUsed/>
    <w:rsid w:val="002D2A81"/>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2A81"/>
    <w:rPr>
      <w:rFonts w:ascii="Segoe UI" w:hAnsi="Segoe UI" w:cs="Segoe UI"/>
      <w:sz w:val="18"/>
      <w:szCs w:val="18"/>
    </w:rPr>
  </w:style>
  <w:style w:type="paragraph" w:styleId="stBilgi">
    <w:name w:val="header"/>
    <w:basedOn w:val="Normal"/>
    <w:link w:val="stBilgiChar"/>
    <w:uiPriority w:val="99"/>
    <w:unhideWhenUsed/>
    <w:rsid w:val="00592B4D"/>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592B4D"/>
  </w:style>
  <w:style w:type="paragraph" w:styleId="AltBilgi">
    <w:name w:val="footer"/>
    <w:basedOn w:val="Normal"/>
    <w:link w:val="AltBilgiChar"/>
    <w:uiPriority w:val="99"/>
    <w:unhideWhenUsed/>
    <w:rsid w:val="00592B4D"/>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592B4D"/>
  </w:style>
  <w:style w:type="character" w:styleId="SatrNumaras">
    <w:name w:val="line number"/>
    <w:basedOn w:val="VarsaylanParagrafYazTipi"/>
    <w:uiPriority w:val="99"/>
    <w:semiHidden/>
    <w:unhideWhenUsed/>
    <w:rsid w:val="00D2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i.org/10.5951/MTMS.13.8.0446" TargetMode="External"/><Relationship Id="rId13" Type="http://schemas.openxmlformats.org/officeDocument/2006/relationships/hyperlink" Target="https://dergipark.org.tr/en/pub/pauefd" TargetMode="External"/><Relationship Id="rId18" Type="http://schemas.openxmlformats.org/officeDocument/2006/relationships/hyperlink" Target="https://doi.org/10.29333/iji.2019.12423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ergipark.org.tr/en/pub/fmgted" TargetMode="External"/><Relationship Id="rId7" Type="http://schemas.openxmlformats.org/officeDocument/2006/relationships/image" Target="media/image1.png"/><Relationship Id="rId12" Type="http://schemas.openxmlformats.org/officeDocument/2006/relationships/hyperlink" Target="https://dergipark.org.tr/en/pub/kefdergi" TargetMode="External"/><Relationship Id="rId17" Type="http://schemas.openxmlformats.org/officeDocument/2006/relationships/hyperlink" Target="https://doi.org/10.1103/PhysRevSTPER.3.01010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03/PhysRevPhysEducRes.13.010132" TargetMode="External"/><Relationship Id="rId20" Type="http://schemas.openxmlformats.org/officeDocument/2006/relationships/hyperlink" Target="http://www.warwick.ac.uk/staff/David.Tall/drafts/dot2001-mcgowen-tall-draft.pdf.%20Retrieved%20on%2020.07.2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1460/baebd.99567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24106/kefdergi.415690" TargetMode="External"/><Relationship Id="rId23" Type="http://schemas.openxmlformats.org/officeDocument/2006/relationships/header" Target="header1.xml"/><Relationship Id="rId10" Type="http://schemas.openxmlformats.org/officeDocument/2006/relationships/hyperlink" Target="https://dergipark.org.tr/en/pub/baebd" TargetMode="External"/><Relationship Id="rId19" Type="http://schemas.openxmlformats.org/officeDocument/2006/relationships/hyperlink" Target="https://doi.org/10.12973/eurasia.2017.00707a" TargetMode="External"/><Relationship Id="rId4" Type="http://schemas.openxmlformats.org/officeDocument/2006/relationships/webSettings" Target="webSettings.xml"/><Relationship Id="rId9" Type="http://schemas.openxmlformats.org/officeDocument/2006/relationships/hyperlink" Target="https://doi.org/10.1119/1.2344681" TargetMode="External"/><Relationship Id="rId14" Type="http://schemas.openxmlformats.org/officeDocument/2006/relationships/hyperlink" Target="https://doi.org/10.30703/cije.321438" TargetMode="External"/><Relationship Id="rId22" Type="http://schemas.openxmlformats.org/officeDocument/2006/relationships/hyperlink" Target="https://dergipark.org.tr/en/pub/ake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5945</Words>
  <Characters>37395</Characters>
  <Application>Microsoft Office Word</Application>
  <DocSecurity>0</DocSecurity>
  <Lines>849</Lines>
  <Paragraphs>429</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42911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zeynepbaskantakaoglu</dc:creator>
  <cp:lastModifiedBy>yazar</cp:lastModifiedBy>
  <cp:revision>2</cp:revision>
  <dcterms:created xsi:type="dcterms:W3CDTF">2023-08-04T14:00:00Z</dcterms:created>
  <dcterms:modified xsi:type="dcterms:W3CDTF">2023-08-04T14:00:00Z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49c6e657d15717d5cfa4c3b5b05cda2ff736e625faf206626138703e792a76ae</vt:lpwstr>
  </property>
</Properties>
</file>