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05" w:rsidRDefault="004B4805" w:rsidP="00B54AA3">
      <w:pPr>
        <w:spacing w:line="240" w:lineRule="auto"/>
        <w:jc w:val="center"/>
        <w:rPr>
          <w:rFonts w:ascii="Century Gothic" w:hAnsi="Century Gothic" w:cs="Times New Roman"/>
          <w:b/>
          <w:color w:val="000000"/>
          <w:sz w:val="20"/>
          <w:szCs w:val="20"/>
        </w:rPr>
      </w:pPr>
      <w:bookmarkStart w:id="0" w:name="_GoBack"/>
      <w:bookmarkEnd w:id="0"/>
      <w:r w:rsidRPr="00352CB3">
        <w:rPr>
          <w:rFonts w:ascii="Century Gothic" w:hAnsi="Century Gothic" w:cs="Times New Roman"/>
          <w:b/>
          <w:i/>
          <w:color w:val="000000"/>
          <w:sz w:val="20"/>
          <w:szCs w:val="20"/>
        </w:rPr>
        <w:t>PROFESSIONAL LEARNING COMMUNITY</w:t>
      </w:r>
      <w:r w:rsidR="0045712B">
        <w:rPr>
          <w:rFonts w:ascii="Century Gothic" w:hAnsi="Century Gothic" w:cs="Times New Roman"/>
          <w:b/>
          <w:color w:val="000000"/>
          <w:sz w:val="20"/>
          <w:szCs w:val="20"/>
        </w:rPr>
        <w:t xml:space="preserve"> (PLC) PADA SEKOLAH DASAR</w:t>
      </w:r>
    </w:p>
    <w:p w:rsidR="000E25B5" w:rsidRPr="00CC7B98" w:rsidRDefault="000E25B5" w:rsidP="000E25B5">
      <w:pPr>
        <w:spacing w:after="120" w:line="240" w:lineRule="auto"/>
        <w:rPr>
          <w:rFonts w:ascii="Century Gothic" w:hAnsi="Century Gothic"/>
          <w:b/>
          <w:bCs/>
          <w:sz w:val="20"/>
          <w:szCs w:val="20"/>
          <w:vertAlign w:val="superscript"/>
        </w:rPr>
      </w:pPr>
      <w:r w:rsidRPr="00CC7B98">
        <w:rPr>
          <w:rFonts w:ascii="Century Gothic" w:hAnsi="Century Gothic" w:cs="Times New Roman"/>
          <w:b/>
          <w:sz w:val="20"/>
          <w:szCs w:val="20"/>
        </w:rPr>
        <w:t>C Sunaengsih</w:t>
      </w:r>
      <w:r w:rsidRPr="00CC7B98">
        <w:rPr>
          <w:rFonts w:ascii="Century Gothic" w:hAnsi="Century Gothic"/>
          <w:b/>
          <w:bCs/>
          <w:sz w:val="20"/>
          <w:szCs w:val="20"/>
          <w:vertAlign w:val="superscript"/>
        </w:rPr>
        <w:t>1</w:t>
      </w:r>
      <w:r w:rsidRPr="00CC7B98">
        <w:rPr>
          <w:rFonts w:ascii="Century Gothic" w:hAnsi="Century Gothic"/>
          <w:b/>
          <w:bCs/>
          <w:sz w:val="20"/>
          <w:szCs w:val="20"/>
        </w:rPr>
        <w:t xml:space="preserve">, </w:t>
      </w:r>
      <w:r>
        <w:rPr>
          <w:rFonts w:ascii="Century Gothic" w:hAnsi="Century Gothic" w:cs="Times New Roman"/>
          <w:b/>
          <w:sz w:val="20"/>
          <w:szCs w:val="20"/>
        </w:rPr>
        <w:t>A Komariah</w:t>
      </w:r>
      <w:r w:rsidRPr="00CC7B98">
        <w:rPr>
          <w:rFonts w:ascii="Century Gothic" w:hAnsi="Century Gothic"/>
          <w:b/>
          <w:bCs/>
          <w:sz w:val="20"/>
          <w:szCs w:val="20"/>
          <w:vertAlign w:val="superscript"/>
        </w:rPr>
        <w:t>2</w:t>
      </w:r>
      <w:r w:rsidRPr="00CC7B98">
        <w:rPr>
          <w:rFonts w:ascii="Century Gothic" w:hAnsi="Century Gothic"/>
          <w:b/>
          <w:bCs/>
          <w:sz w:val="20"/>
          <w:szCs w:val="20"/>
        </w:rPr>
        <w:t xml:space="preserve">, </w:t>
      </w:r>
      <w:r>
        <w:rPr>
          <w:rFonts w:ascii="Century Gothic" w:hAnsi="Century Gothic" w:cs="Times New Roman"/>
          <w:b/>
          <w:sz w:val="20"/>
          <w:szCs w:val="20"/>
        </w:rPr>
        <w:t>I Isrokatun</w:t>
      </w:r>
      <w:r w:rsidRPr="00CC7B98">
        <w:rPr>
          <w:rFonts w:ascii="Century Gothic" w:hAnsi="Century Gothic"/>
          <w:b/>
          <w:bCs/>
          <w:sz w:val="20"/>
          <w:szCs w:val="20"/>
          <w:vertAlign w:val="superscript"/>
        </w:rPr>
        <w:t>3</w:t>
      </w:r>
      <w:r w:rsidRPr="00CC7B98">
        <w:rPr>
          <w:rFonts w:ascii="Century Gothic" w:hAnsi="Century Gothic" w:cs="Times New Roman"/>
          <w:b/>
          <w:sz w:val="20"/>
          <w:szCs w:val="20"/>
        </w:rPr>
        <w:t xml:space="preserve">, </w:t>
      </w:r>
      <w:r>
        <w:rPr>
          <w:rFonts w:ascii="Century Gothic" w:hAnsi="Century Gothic" w:cs="Times New Roman"/>
          <w:b/>
          <w:sz w:val="20"/>
          <w:szCs w:val="20"/>
        </w:rPr>
        <w:t>M Anggarani</w:t>
      </w:r>
      <w:r w:rsidRPr="00CC7B98">
        <w:rPr>
          <w:rFonts w:ascii="Century Gothic" w:hAnsi="Century Gothic" w:cs="Times New Roman"/>
          <w:b/>
          <w:sz w:val="20"/>
          <w:szCs w:val="20"/>
          <w:vertAlign w:val="superscript"/>
        </w:rPr>
        <w:t>4</w:t>
      </w:r>
      <w:r w:rsidRPr="00CC7B98">
        <w:rPr>
          <w:rFonts w:ascii="Century Gothic" w:hAnsi="Century Gothic" w:cs="Times New Roman"/>
          <w:b/>
          <w:sz w:val="20"/>
          <w:szCs w:val="20"/>
        </w:rPr>
        <w:t xml:space="preserve">, </w:t>
      </w:r>
      <w:r w:rsidRPr="00CC7B98">
        <w:rPr>
          <w:rFonts w:ascii="Century Gothic" w:hAnsi="Century Gothic"/>
          <w:b/>
          <w:bCs/>
          <w:sz w:val="20"/>
          <w:szCs w:val="20"/>
        </w:rPr>
        <w:t xml:space="preserve">and </w:t>
      </w:r>
      <w:r w:rsidRPr="00CC7B98">
        <w:rPr>
          <w:rFonts w:ascii="Century Gothic" w:hAnsi="Century Gothic" w:cs="Times New Roman"/>
          <w:b/>
          <w:sz w:val="20"/>
          <w:szCs w:val="20"/>
        </w:rPr>
        <w:t xml:space="preserve">S </w:t>
      </w:r>
      <w:r>
        <w:rPr>
          <w:rFonts w:ascii="Century Gothic" w:hAnsi="Century Gothic" w:cs="Times New Roman"/>
          <w:b/>
          <w:sz w:val="20"/>
          <w:szCs w:val="20"/>
        </w:rPr>
        <w:t>Silviani</w:t>
      </w:r>
      <w:r w:rsidRPr="00CC7B98">
        <w:rPr>
          <w:rFonts w:ascii="Century Gothic" w:hAnsi="Century Gothic"/>
          <w:b/>
          <w:bCs/>
          <w:sz w:val="20"/>
          <w:szCs w:val="20"/>
          <w:vertAlign w:val="superscript"/>
        </w:rPr>
        <w:t>5</w:t>
      </w:r>
    </w:p>
    <w:p w:rsidR="000E25B5" w:rsidRDefault="00F9089A" w:rsidP="000E25B5">
      <w:pPr>
        <w:spacing w:after="120" w:line="240" w:lineRule="auto"/>
        <w:rPr>
          <w:rFonts w:ascii="Century Gothic" w:hAnsi="Century Gothic"/>
          <w:sz w:val="18"/>
          <w:szCs w:val="18"/>
        </w:rPr>
      </w:pPr>
      <w:r>
        <w:rPr>
          <w:rFonts w:ascii="Century Gothic" w:hAnsi="Century Gothic"/>
          <w:sz w:val="18"/>
          <w:szCs w:val="18"/>
          <w:vertAlign w:val="superscript"/>
        </w:rPr>
        <w:t>1,</w:t>
      </w:r>
      <w:r w:rsidR="000E25B5" w:rsidRPr="00980CCE">
        <w:rPr>
          <w:rFonts w:ascii="Century Gothic" w:hAnsi="Century Gothic"/>
          <w:sz w:val="18"/>
          <w:szCs w:val="18"/>
          <w:vertAlign w:val="superscript"/>
        </w:rPr>
        <w:t xml:space="preserve">3,4,5 </w:t>
      </w:r>
      <w:r w:rsidR="000E25B5" w:rsidRPr="00980CCE">
        <w:rPr>
          <w:rFonts w:ascii="Century Gothic" w:hAnsi="Century Gothic"/>
          <w:sz w:val="18"/>
          <w:szCs w:val="18"/>
        </w:rPr>
        <w:t>Pendidikan Guru Sekolah Dasar, Universitas Pendidikan Indonesia, Bandung, Indonesia</w:t>
      </w:r>
    </w:p>
    <w:p w:rsidR="00F9089A" w:rsidRPr="00980CCE" w:rsidRDefault="00F9089A" w:rsidP="000E25B5">
      <w:pPr>
        <w:spacing w:after="120" w:line="240" w:lineRule="auto"/>
        <w:rPr>
          <w:rFonts w:ascii="Century Gothic" w:hAnsi="Century Gothic"/>
          <w:sz w:val="18"/>
          <w:szCs w:val="18"/>
        </w:rPr>
      </w:pPr>
      <w:r>
        <w:rPr>
          <w:rFonts w:ascii="Century Gothic" w:hAnsi="Century Gothic"/>
          <w:sz w:val="18"/>
          <w:szCs w:val="18"/>
          <w:vertAlign w:val="superscript"/>
        </w:rPr>
        <w:t>2</w:t>
      </w:r>
      <w:r w:rsidRPr="00980CCE">
        <w:rPr>
          <w:rFonts w:ascii="Century Gothic" w:hAnsi="Century Gothic"/>
          <w:sz w:val="18"/>
          <w:szCs w:val="18"/>
          <w:vertAlign w:val="superscript"/>
        </w:rPr>
        <w:t xml:space="preserve"> </w:t>
      </w:r>
      <w:r>
        <w:rPr>
          <w:rFonts w:ascii="Century Gothic" w:hAnsi="Century Gothic"/>
          <w:sz w:val="18"/>
          <w:szCs w:val="18"/>
        </w:rPr>
        <w:t>Administrasi Pendidikan</w:t>
      </w:r>
      <w:r w:rsidRPr="00980CCE">
        <w:rPr>
          <w:rFonts w:ascii="Century Gothic" w:hAnsi="Century Gothic"/>
          <w:sz w:val="18"/>
          <w:szCs w:val="18"/>
        </w:rPr>
        <w:t>, Universitas Pendidikan Indonesia, Bandung, Indonesia</w:t>
      </w:r>
    </w:p>
    <w:p w:rsidR="0075081D" w:rsidRPr="00352CB3" w:rsidRDefault="000E25B5" w:rsidP="000E25B5">
      <w:pPr>
        <w:spacing w:after="0" w:line="240" w:lineRule="auto"/>
        <w:rPr>
          <w:rStyle w:val="Hyperlink"/>
          <w:rFonts w:ascii="Century Gothic" w:eastAsia="Times New Roman" w:hAnsi="Century Gothic" w:cs="Consolas"/>
          <w:sz w:val="20"/>
          <w:szCs w:val="20"/>
          <w:u w:val="none"/>
          <w:lang w:eastAsia="id-ID"/>
        </w:rPr>
      </w:pPr>
      <w:r w:rsidRPr="00980CCE">
        <w:rPr>
          <w:sz w:val="18"/>
          <w:szCs w:val="18"/>
        </w:rPr>
        <w:t>corresponding author e-mail</w:t>
      </w:r>
      <w:r>
        <w:rPr>
          <w:sz w:val="18"/>
          <w:szCs w:val="18"/>
        </w:rPr>
        <w:t>:</w:t>
      </w:r>
      <w:r w:rsidRPr="00980CCE">
        <w:rPr>
          <w:rFonts w:ascii="Century Gothic" w:hAnsi="Century Gothic"/>
          <w:sz w:val="18"/>
          <w:szCs w:val="18"/>
        </w:rPr>
        <w:t xml:space="preserve"> </w:t>
      </w:r>
      <w:hyperlink r:id="rId6" w:history="1">
        <w:r w:rsidRPr="00980CCE">
          <w:rPr>
            <w:rStyle w:val="Hyperlink"/>
            <w:rFonts w:ascii="Century Gothic" w:hAnsi="Century Gothic"/>
            <w:sz w:val="18"/>
            <w:szCs w:val="18"/>
          </w:rPr>
          <w:t>cucunsunaengsih@upi.edu</w:t>
        </w:r>
      </w:hyperlink>
    </w:p>
    <w:p w:rsidR="000E25B5" w:rsidRDefault="000E25B5" w:rsidP="000E25B5">
      <w:pPr>
        <w:spacing w:after="0" w:line="240" w:lineRule="auto"/>
        <w:jc w:val="center"/>
        <w:rPr>
          <w:rFonts w:ascii="Century Gothic" w:hAnsi="Century Gothic"/>
          <w:b/>
          <w:sz w:val="20"/>
          <w:szCs w:val="20"/>
        </w:rPr>
      </w:pPr>
    </w:p>
    <w:p w:rsidR="00125D40" w:rsidRPr="00C622C2" w:rsidRDefault="00125D40" w:rsidP="00125D40">
      <w:pPr>
        <w:spacing w:after="120" w:line="240" w:lineRule="auto"/>
        <w:ind w:left="850"/>
        <w:jc w:val="both"/>
        <w:rPr>
          <w:rStyle w:val="hps"/>
          <w:rFonts w:ascii="Century Gothic" w:hAnsi="Century Gothic"/>
          <w:bCs/>
          <w:sz w:val="18"/>
          <w:szCs w:val="18"/>
        </w:rPr>
      </w:pPr>
      <w:r w:rsidRPr="00F9089A">
        <w:rPr>
          <w:rStyle w:val="hps"/>
          <w:rFonts w:ascii="Century Gothic" w:hAnsi="Century Gothic"/>
          <w:b/>
          <w:sz w:val="18"/>
          <w:szCs w:val="18"/>
        </w:rPr>
        <w:t>Abstract.</w:t>
      </w:r>
      <w:r w:rsidRPr="00C622C2">
        <w:rPr>
          <w:rStyle w:val="hps"/>
          <w:rFonts w:ascii="Century Gothic" w:hAnsi="Century Gothic"/>
          <w:sz w:val="18"/>
          <w:szCs w:val="18"/>
        </w:rPr>
        <w:t xml:space="preserve"> </w:t>
      </w:r>
      <w:r w:rsidRPr="00F9089A">
        <w:rPr>
          <w:rFonts w:ascii="Century Gothic" w:hAnsi="Century Gothic"/>
          <w:sz w:val="18"/>
          <w:szCs w:val="18"/>
        </w:rPr>
        <w:t xml:space="preserve">Penelitian ini bertujuan untuk memperoleh desain </w:t>
      </w:r>
      <w:r w:rsidRPr="00F9089A">
        <w:rPr>
          <w:rFonts w:ascii="Century Gothic" w:hAnsi="Century Gothic" w:cs="Times New Roman"/>
          <w:sz w:val="18"/>
          <w:szCs w:val="18"/>
        </w:rPr>
        <w:t xml:space="preserve">program </w:t>
      </w:r>
      <w:r w:rsidRPr="00F9089A">
        <w:rPr>
          <w:rFonts w:ascii="Century Gothic" w:hAnsi="Century Gothic" w:cs="Times New Roman"/>
          <w:i/>
          <w:color w:val="000000"/>
          <w:sz w:val="18"/>
          <w:szCs w:val="18"/>
        </w:rPr>
        <w:t>Professional Learning Community</w:t>
      </w:r>
      <w:r w:rsidRPr="00F9089A">
        <w:rPr>
          <w:rFonts w:ascii="Century Gothic" w:hAnsi="Century Gothic" w:cs="Times New Roman"/>
          <w:color w:val="000000"/>
          <w:sz w:val="18"/>
          <w:szCs w:val="18"/>
        </w:rPr>
        <w:t xml:space="preserve"> (PLC) yang dilakukan oleh guru pada sekolah dasar di Kabupaten Sumedang</w:t>
      </w:r>
      <w:r w:rsidRPr="00F9089A">
        <w:rPr>
          <w:rFonts w:ascii="Century Gothic" w:hAnsi="Century Gothic"/>
          <w:sz w:val="18"/>
          <w:szCs w:val="18"/>
        </w:rPr>
        <w:t>. Dasar penilitian yang dilakukan yaitu atas asumsi yang menyatakan bahwa kontribusi guru dalam pelaksanaan PLC di sekolah dasar masih relatif rendah, sedangkan pelaksanaan PLC menjadi arah perbaikan profesionalisme guru untuk perbaikan lanjutan. Penelitian deskriptif dengan pendekatan survey merupakan metode yang digunakan pada penelitian ini</w:t>
      </w:r>
      <w:r w:rsidR="00F9089A" w:rsidRPr="00F9089A">
        <w:rPr>
          <w:rFonts w:ascii="Century Gothic" w:hAnsi="Century Gothic" w:cs="Times New Roman"/>
          <w:sz w:val="18"/>
          <w:szCs w:val="18"/>
        </w:rPr>
        <w:t xml:space="preserve"> serta dilakukan pada 52 orang guru sekolah dasar di Kabupaten Sumedang.</w:t>
      </w:r>
      <w:r w:rsidR="00F9089A" w:rsidRPr="00F9089A">
        <w:rPr>
          <w:rStyle w:val="CharStyle8"/>
          <w:rFonts w:ascii="Century Gothic" w:hAnsi="Century Gothic"/>
          <w:sz w:val="18"/>
          <w:szCs w:val="18"/>
        </w:rPr>
        <w:t xml:space="preserve"> </w:t>
      </w:r>
      <w:r w:rsidR="00F9089A" w:rsidRPr="00F9089A">
        <w:rPr>
          <w:rStyle w:val="CharStyle8"/>
          <w:rFonts w:ascii="Century Gothic" w:hAnsi="Century Gothic"/>
          <w:b w:val="0"/>
          <w:bCs w:val="0"/>
          <w:sz w:val="18"/>
          <w:szCs w:val="18"/>
        </w:rPr>
        <w:t xml:space="preserve">Hasi penelitian menunjukkan bahwa pemahaman guru akan tujuan PLC sangat tinggi, akan tetapi guru kurang memahami mekanisme PLC itu sendiri. Hal inilah yang menyebabkan tingkat implementasi PLC baik secara program maupun peraturan masih rendah di tingkat sekolah dasar. </w:t>
      </w:r>
      <w:r w:rsidR="00F9089A" w:rsidRPr="00F9089A">
        <w:rPr>
          <w:rFonts w:ascii="Century Gothic" w:hAnsi="Century Gothic" w:cs="Times New Roman"/>
          <w:sz w:val="18"/>
          <w:szCs w:val="18"/>
        </w:rPr>
        <w:t>Dengan demikian, pendalaman penelitian berikutnya diharapkan dapat menghasilkan desain program PLC yang operasional dan terstruktur sehingga meningkatkan pemahaman guru dalam implementasi PLC.</w:t>
      </w:r>
    </w:p>
    <w:p w:rsidR="00125D40" w:rsidRPr="00C622C2" w:rsidRDefault="00125D40" w:rsidP="00125D40">
      <w:pPr>
        <w:spacing w:after="240" w:line="240" w:lineRule="auto"/>
        <w:ind w:left="850"/>
        <w:rPr>
          <w:rFonts w:ascii="Century Gothic" w:hAnsi="Century Gothic"/>
          <w:sz w:val="18"/>
          <w:szCs w:val="18"/>
        </w:rPr>
      </w:pPr>
      <w:r w:rsidRPr="00C622C2">
        <w:rPr>
          <w:rFonts w:ascii="Century Gothic" w:hAnsi="Century Gothic"/>
          <w:b/>
          <w:noProof/>
          <w:sz w:val="18"/>
          <w:szCs w:val="18"/>
        </w:rPr>
        <mc:AlternateContent>
          <mc:Choice Requires="wps">
            <w:drawing>
              <wp:anchor distT="0" distB="0" distL="114300" distR="114300" simplePos="0" relativeHeight="251659264" behindDoc="0" locked="0" layoutInCell="1" allowOverlap="1" wp14:anchorId="58CA548C" wp14:editId="651A583F">
                <wp:simplePos x="0" y="0"/>
                <wp:positionH relativeFrom="column">
                  <wp:posOffset>545465</wp:posOffset>
                </wp:positionH>
                <wp:positionV relativeFrom="paragraph">
                  <wp:posOffset>257175</wp:posOffset>
                </wp:positionV>
                <wp:extent cx="5183505"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5183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8B8F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20.25pt" to="451.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" strokecolor="black [3040]"/>
            </w:pict>
          </mc:Fallback>
        </mc:AlternateContent>
      </w:r>
      <w:r w:rsidRPr="00C622C2">
        <w:rPr>
          <w:rStyle w:val="hps"/>
          <w:rFonts w:ascii="Century Gothic" w:hAnsi="Century Gothic"/>
          <w:sz w:val="18"/>
          <w:szCs w:val="18"/>
        </w:rPr>
        <w:t xml:space="preserve">Keywords: </w:t>
      </w:r>
      <w:r>
        <w:rPr>
          <w:rStyle w:val="hps"/>
          <w:rFonts w:ascii="Century Gothic" w:hAnsi="Century Gothic"/>
          <w:sz w:val="18"/>
          <w:szCs w:val="18"/>
        </w:rPr>
        <w:t xml:space="preserve">Guru, Implementasi, </w:t>
      </w:r>
      <w:r>
        <w:rPr>
          <w:rFonts w:ascii="Century Gothic" w:eastAsia="Times New Roman" w:hAnsi="Century Gothic" w:cs="Times New Roman"/>
          <w:sz w:val="18"/>
          <w:szCs w:val="18"/>
          <w:lang w:val="en-MY" w:eastAsia="id-ID"/>
        </w:rPr>
        <w:t>Professional Learning Community (PLC), Sekolah Dasar.</w:t>
      </w:r>
    </w:p>
    <w:p w:rsidR="0075081D" w:rsidRPr="00352CB3" w:rsidRDefault="0075081D" w:rsidP="00125D40">
      <w:pPr>
        <w:spacing w:line="240" w:lineRule="auto"/>
        <w:rPr>
          <w:rFonts w:ascii="Century Gothic" w:hAnsi="Century Gothic"/>
          <w:sz w:val="20"/>
          <w:szCs w:val="20"/>
        </w:rPr>
      </w:pPr>
    </w:p>
    <w:p w:rsidR="00764674" w:rsidRPr="00352CB3" w:rsidRDefault="00764674" w:rsidP="008F0C3F">
      <w:pPr>
        <w:spacing w:after="0" w:line="360" w:lineRule="auto"/>
        <w:jc w:val="both"/>
        <w:rPr>
          <w:rFonts w:ascii="Century Gothic" w:hAnsi="Century Gothic"/>
          <w:b/>
          <w:sz w:val="20"/>
          <w:szCs w:val="20"/>
        </w:rPr>
      </w:pPr>
      <w:r w:rsidRPr="00352CB3">
        <w:rPr>
          <w:rFonts w:ascii="Century Gothic" w:hAnsi="Century Gothic"/>
          <w:b/>
          <w:sz w:val="20"/>
          <w:szCs w:val="20"/>
        </w:rPr>
        <w:t>Pendahuluan</w:t>
      </w:r>
    </w:p>
    <w:p w:rsidR="00EF718F" w:rsidRDefault="00EF718F" w:rsidP="00CD6BB2">
      <w:pPr>
        <w:spacing w:after="0" w:line="360" w:lineRule="auto"/>
        <w:ind w:firstLine="567"/>
        <w:jc w:val="both"/>
        <w:rPr>
          <w:rFonts w:ascii="Century Gothic" w:hAnsi="Century Gothic" w:cs="Times New Roman"/>
          <w:color w:val="000000"/>
          <w:sz w:val="20"/>
          <w:szCs w:val="20"/>
        </w:rPr>
        <w:sectPr w:rsidR="00EF718F" w:rsidSect="00C75D7D">
          <w:pgSz w:w="11907" w:h="16839" w:code="9"/>
          <w:pgMar w:top="1418" w:right="1418" w:bottom="1418" w:left="1418" w:header="720" w:footer="720" w:gutter="0"/>
          <w:cols w:space="720"/>
          <w:docGrid w:linePitch="360"/>
        </w:sectPr>
      </w:pPr>
    </w:p>
    <w:p w:rsidR="008D1534" w:rsidRPr="008671BA" w:rsidRDefault="007308C2" w:rsidP="0050357C">
      <w:pPr>
        <w:spacing w:after="0" w:line="360" w:lineRule="auto"/>
        <w:jc w:val="both"/>
        <w:rPr>
          <w:rFonts w:ascii="Century Gothic" w:hAnsi="Century Gothic"/>
          <w:b/>
          <w:sz w:val="20"/>
          <w:szCs w:val="20"/>
        </w:rPr>
      </w:pPr>
      <w:r w:rsidRPr="00352CB3">
        <w:rPr>
          <w:rFonts w:ascii="Century Gothic" w:hAnsi="Century Gothic" w:cs="Times New Roman"/>
          <w:color w:val="000000"/>
          <w:sz w:val="20"/>
          <w:szCs w:val="20"/>
        </w:rPr>
        <w:lastRenderedPageBreak/>
        <w:t>Dalam dunia pendidikan tentu akan dijumpai berbagai macam permasalahan yang tidak bisa dipungkiri keberadaannya sangat mengganggu terhadap sistem, kinerja, ataupun keprofesionalan, terutama bagi guru. Me</w:t>
      </w:r>
      <w:r>
        <w:rPr>
          <w:rFonts w:ascii="Century Gothic" w:hAnsi="Century Gothic" w:cs="Times New Roman"/>
          <w:color w:val="000000"/>
          <w:sz w:val="20"/>
          <w:szCs w:val="20"/>
        </w:rPr>
        <w:t xml:space="preserve">ngatasi masalah tersebut akan </w:t>
      </w:r>
      <w:r w:rsidRPr="00352CB3">
        <w:rPr>
          <w:rFonts w:ascii="Century Gothic" w:hAnsi="Century Gothic" w:cs="Times New Roman"/>
          <w:color w:val="000000"/>
          <w:sz w:val="20"/>
          <w:szCs w:val="20"/>
        </w:rPr>
        <w:t xml:space="preserve">lebih mudah apabila guru memiliki wadah untuk menyelesaikannya dan </w:t>
      </w:r>
      <w:r w:rsidRPr="00352CB3">
        <w:rPr>
          <w:rFonts w:ascii="Century Gothic" w:hAnsi="Century Gothic" w:cs="Times New Roman"/>
          <w:i/>
          <w:color w:val="000000"/>
          <w:sz w:val="20"/>
          <w:szCs w:val="20"/>
        </w:rPr>
        <w:t>Profesional Learning Community</w:t>
      </w:r>
      <w:r w:rsidRPr="00352CB3">
        <w:rPr>
          <w:rFonts w:ascii="Century Gothic" w:hAnsi="Century Gothic" w:cs="Times New Roman"/>
          <w:color w:val="000000"/>
          <w:sz w:val="20"/>
          <w:szCs w:val="20"/>
        </w:rPr>
        <w:t xml:space="preserve"> (PLC) merupakan salahsatu wadah yang dimaksud diharapkan dapat dikembangkan oleh guru untuk menyelesaikan permasalahan yang dijumpainya terkait beberapa hal yang menyangkut persoalan tugas kependidikan secara professional </w:t>
      </w:r>
      <w:r>
        <w:rPr>
          <w:rFonts w:ascii="Century Gothic" w:hAnsi="Century Gothic" w:cs="Times New Roman"/>
          <w:sz w:val="20"/>
          <w:szCs w:val="20"/>
        </w:rPr>
        <w:fldChar w:fldCharType="begin" w:fldLock="1"/>
      </w:r>
      <w:r w:rsidR="00324803">
        <w:rPr>
          <w:rFonts w:ascii="Century Gothic" w:hAnsi="Century Gothic" w:cs="Times New Roman"/>
          <w:sz w:val="20"/>
          <w:szCs w:val="20"/>
        </w:rPr>
        <w:instrText>ADDIN CSL_CITATION {"citationItems":[{"id":"ITEM-1","itemData":{"DOI":"10.1080/13664530.2012.752671","ISSN":"13664530","abstract":"This paper reports on a study of a community of university educators that investigated the introduction of mobile technologies into their learning and teaching. The study was conducted by a subgroup of that community. Given the ubiquity of mobile devices, members of the community felt they needed to develop expertise in mobile learning so that they could incorporate it into their teaching. They studied their own learning, supported by a critical friend who evaluated the community’s functioning and activities, providing valuable feedback. Activities of this group were informed by and focused on: development of awareness of the potential of mobile devices for learning; construction of action plans within the community; and implementation of these plans. They also included investigating best-practice approaches by interviewing experts in the field, exploring the literature on mobile learning and then initiating and testing some mobile learning pedagogies in the context of their own teacher education subjects. The community met regularly to discuss emerging issues and applications. The paper shares some of the findings gained from studying the community, and discusses the challenges and constraints that were experienced. The authors conclude with recommendations for professional learning communities aiming to learn about technology-mediated teaching practices.","author":[{"dropping-particle":"","family":"Schuck","given":"Sandy","non-dropping-particle":"","parse-names":false,"suffix":""},{"dropping-particle":"","family":"Aubusson","given":"Peter","non-dropping-particle":"","parse-names":false,"suffix":""},{"dropping-particle":"","family":"Kearney","given":"Matthew","non-dropping-particle":"","parse-names":false,"suffix":""},{"dropping-particle":"","family":"Burden","given":"Kevin","non-dropping-particle":"","parse-names":false,"suffix":""}],"container-title":"Teacher Development","id":"ITEM-1","issue":"1","issued":{"date-parts":[["2013"]]},"page":"1-18","title":"Mobilising teacher education: A study of a professional learning community","type":"article-journal","volume":"17"},"uris":["http://www.mendeley.com/documents/?uuid=804dbeff-c929-454c-8fe3-0838172dfbe5"]}],"mendeley":{"formattedCitation":"(Schuck, Aubusson, Kearney, &amp; Burden, 2013)","manualFormatting":"(Schuck, Aubusson, Kearney, &amp; Burden, 2013;","plainTextFormattedCitation":"(Schuck, Aubusson, Kearney, &amp; Burden, 2013)","previouslyFormattedCitation":"(Schuck, Aubusson, Kearney, &amp; Burden, 2013)"},"properties":{"noteIndex":0},"schema":"https://github.com/citation-style-language/schema/raw/master/csl-citation.json"}</w:instrText>
      </w:r>
      <w:r>
        <w:rPr>
          <w:rFonts w:ascii="Century Gothic" w:hAnsi="Century Gothic" w:cs="Times New Roman"/>
          <w:sz w:val="20"/>
          <w:szCs w:val="20"/>
        </w:rPr>
        <w:fldChar w:fldCharType="separate"/>
      </w:r>
      <w:r w:rsidRPr="002B0065">
        <w:rPr>
          <w:rFonts w:ascii="Century Gothic" w:hAnsi="Century Gothic" w:cs="Times New Roman"/>
          <w:noProof/>
          <w:sz w:val="20"/>
          <w:szCs w:val="20"/>
        </w:rPr>
        <w:t>(Schuck, Aubusson, Kearney, &amp; Burden, 2013</w:t>
      </w:r>
      <w:r>
        <w:rPr>
          <w:rFonts w:ascii="Century Gothic" w:hAnsi="Century Gothic" w:cs="Times New Roman"/>
          <w:noProof/>
          <w:sz w:val="20"/>
          <w:szCs w:val="20"/>
        </w:rPr>
        <w:t>;</w:t>
      </w:r>
      <w:r>
        <w:rPr>
          <w:rFonts w:ascii="Century Gothic" w:hAnsi="Century Gothic" w:cs="Times New Roman"/>
          <w:sz w:val="20"/>
          <w:szCs w:val="20"/>
        </w:rPr>
        <w:fldChar w:fldCharType="end"/>
      </w:r>
      <w:r>
        <w:rPr>
          <w:rFonts w:ascii="Century Gothic" w:hAnsi="Century Gothic" w:cs="Times New Roman"/>
          <w:sz w:val="20"/>
          <w:szCs w:val="20"/>
        </w:rPr>
        <w:t xml:space="preserve"> </w:t>
      </w:r>
      <w:r>
        <w:rPr>
          <w:rFonts w:ascii="Century Gothic" w:hAnsi="Century Gothic" w:cs="Times New Roman"/>
          <w:sz w:val="20"/>
          <w:szCs w:val="20"/>
        </w:rPr>
        <w:fldChar w:fldCharType="begin" w:fldLock="1"/>
      </w:r>
      <w:r w:rsidR="00324803">
        <w:rPr>
          <w:rFonts w:ascii="Century Gothic" w:hAnsi="Century Gothic" w:cs="Times New Roman"/>
          <w:sz w:val="20"/>
          <w:szCs w:val="20"/>
        </w:rPr>
        <w:instrText>ADDIN CSL_CITATION {"citationItems":[{"id":"ITEM-1","itemData":{"DOI":"10.1080/02619768.2014.994058","ISSN":"14695928","abstract":"In this study, we examine a professional learning community of primary school teachers developing a joint school-based curriculum for science and technology (S&amp;T) education. Team meetings were observed over the course of one school year and the participating teachers and school head were interviewed. An essential factor in the team’s collaboration was its ability to achieve synthesis, that is, the extent to which the teachers were able to abstract from concrete experiences in S&amp;T education in order to formulate and develop a shared vision and curriculum. They exchanged many examples and were able to create a shared idea highlighting critical elements in their approach to teaching this school subject. However, the teachers experienced difficulties in determining the level at which a school-based curriculum should be defined. The outcomes of this team’s collaboration are discussed in terms of leadership and the aims of the S&amp;T innovation.","author":[{"dropping-particle":"","family":"Sjoer","given":"Ellen","non-dropping-particle":"","parse-names":false,"suffix":""},{"dropping-particle":"","family":"Meirink","given":"Jacobiene","non-dropping-particle":"","parse-names":false,"suffix":""}],"container-title":"European Journal of Teacher Education","id":"ITEM-1","issue":"1","issued":{"date-parts":[["2016"]]},"page":"110-125","title":"Understanding the complexity of teacher interaction in a teacher professional learning community","type":"article-journal","volume":"39"},"uris":["http://www.mendeley.com/documents/?uuid=1259b30e-4c60-4f26-a0b7-9b16ff34a343"]}],"mendeley":{"formattedCitation":"(Sjoer &amp; Meirink, 2016)","manualFormatting":"Sjoer &amp; Meirink, 2016)","plainTextFormattedCitation":"(Sjoer &amp; Meirink, 2016)","previouslyFormattedCitation":"(Sjoer &amp; Meirink, 2016)"},"properties":{"noteIndex":0},"schema":"https://github.com/citation-style-language/schema/raw/master/csl-citation.json"}</w:instrText>
      </w:r>
      <w:r>
        <w:rPr>
          <w:rFonts w:ascii="Century Gothic" w:hAnsi="Century Gothic" w:cs="Times New Roman"/>
          <w:sz w:val="20"/>
          <w:szCs w:val="20"/>
        </w:rPr>
        <w:fldChar w:fldCharType="separate"/>
      </w:r>
      <w:r w:rsidRPr="002B0065">
        <w:rPr>
          <w:rFonts w:ascii="Century Gothic" w:hAnsi="Century Gothic" w:cs="Times New Roman"/>
          <w:noProof/>
          <w:sz w:val="20"/>
          <w:szCs w:val="20"/>
        </w:rPr>
        <w:t>Sjoer &amp; Meirink, 2016)</w:t>
      </w:r>
      <w:r>
        <w:rPr>
          <w:rFonts w:ascii="Century Gothic" w:hAnsi="Century Gothic" w:cs="Times New Roman"/>
          <w:sz w:val="20"/>
          <w:szCs w:val="20"/>
        </w:rPr>
        <w:fldChar w:fldCharType="end"/>
      </w:r>
      <w:r w:rsidRPr="00352CB3">
        <w:rPr>
          <w:rFonts w:ascii="Century Gothic" w:hAnsi="Century Gothic" w:cs="Times New Roman"/>
          <w:color w:val="000000"/>
          <w:sz w:val="20"/>
          <w:szCs w:val="20"/>
        </w:rPr>
        <w:t xml:space="preserve">. Akan tetapi pada fakta yang dijumpai di lapangan, rupanya guru justru tidak memberikan kemampuannya secara optimal untuk memberdayakan </w:t>
      </w:r>
      <w:r w:rsidRPr="00352CB3">
        <w:rPr>
          <w:rFonts w:ascii="Century Gothic" w:hAnsi="Century Gothic" w:cs="Times New Roman"/>
          <w:color w:val="000000"/>
          <w:sz w:val="20"/>
          <w:szCs w:val="20"/>
        </w:rPr>
        <w:lastRenderedPageBreak/>
        <w:t>PLC</w:t>
      </w:r>
      <w:r>
        <w:rPr>
          <w:rFonts w:ascii="Century Gothic" w:hAnsi="Century Gothic" w:cs="Times New Roman"/>
          <w:color w:val="000000"/>
          <w:sz w:val="20"/>
          <w:szCs w:val="20"/>
        </w:rPr>
        <w:t>,</w:t>
      </w:r>
      <w:r w:rsidRPr="00352CB3">
        <w:rPr>
          <w:rFonts w:ascii="Century Gothic" w:hAnsi="Century Gothic" w:cs="Times New Roman"/>
          <w:color w:val="000000"/>
          <w:sz w:val="20"/>
          <w:szCs w:val="20"/>
        </w:rPr>
        <w:t xml:space="preserve"> sehingga ini akan berdampak pada tingkat kontribusi yang diberikan oleh guru dalam mengimplementasikan kebijakan Pengembangan Keprofesionalan Berkelanjutan (PKB) sangat rendah </w:t>
      </w:r>
      <w:r w:rsidRPr="007308C2">
        <w:rPr>
          <w:rFonts w:ascii="Century Gothic" w:hAnsi="Century Gothic" w:cs="Times New Roman"/>
          <w:sz w:val="20"/>
          <w:szCs w:val="20"/>
        </w:rPr>
        <w:t>(</w:t>
      </w:r>
      <w:r w:rsidR="00BE491E">
        <w:rPr>
          <w:rStyle w:val="Emphasis"/>
          <w:rFonts w:ascii="Century Gothic" w:hAnsi="Century Gothic"/>
          <w:i w:val="0"/>
          <w:sz w:val="20"/>
          <w:szCs w:val="20"/>
        </w:rPr>
        <w:t>Komariah, A, Sunaengsih, C, Kurniadi, DA, Soemarto, S, &amp; Nurlatifah, S. 2018</w:t>
      </w:r>
      <w:r w:rsidRPr="007308C2">
        <w:rPr>
          <w:rFonts w:ascii="Century Gothic" w:hAnsi="Century Gothic" w:cs="Times New Roman"/>
          <w:sz w:val="20"/>
          <w:szCs w:val="20"/>
        </w:rPr>
        <w:t>).</w:t>
      </w:r>
      <w:r w:rsidRPr="00352CB3">
        <w:rPr>
          <w:rFonts w:ascii="Century Gothic" w:hAnsi="Century Gothic" w:cs="Times New Roman"/>
          <w:color w:val="000000"/>
          <w:sz w:val="20"/>
          <w:szCs w:val="20"/>
        </w:rPr>
        <w:t xml:space="preserve"> Adapun faktor yang menjadi tolak ukur tidak optimalnya </w:t>
      </w:r>
      <w:r w:rsidR="00324803">
        <w:rPr>
          <w:rFonts w:ascii="Century Gothic" w:hAnsi="Century Gothic" w:cs="Times New Roman"/>
          <w:color w:val="000000"/>
          <w:sz w:val="20"/>
          <w:szCs w:val="20"/>
        </w:rPr>
        <w:t xml:space="preserve">peranan </w:t>
      </w:r>
      <w:r w:rsidRPr="00352CB3">
        <w:rPr>
          <w:rFonts w:ascii="Century Gothic" w:hAnsi="Century Gothic" w:cs="Times New Roman"/>
          <w:color w:val="000000"/>
          <w:sz w:val="20"/>
          <w:szCs w:val="20"/>
        </w:rPr>
        <w:t>PLC tersebut yakni pemahaman guru terkait PKB yang masih kurang, partisipasi guru dalam kegiatan PLC yang rendah, serta yang menjadi pucuk permasalahan yaitu kegiatan PLC yang tidak dilaksanakan secara berkelanjutan</w:t>
      </w:r>
      <w:r w:rsidR="00324803">
        <w:rPr>
          <w:rFonts w:ascii="Century Gothic" w:hAnsi="Century Gothic" w:cs="Times New Roman"/>
          <w:color w:val="000000"/>
          <w:sz w:val="20"/>
          <w:szCs w:val="20"/>
        </w:rPr>
        <w:t xml:space="preserve"> </w:t>
      </w:r>
      <w:r w:rsidR="00324803">
        <w:rPr>
          <w:rFonts w:ascii="Century Gothic" w:hAnsi="Century Gothic" w:cs="Times New Roman"/>
          <w:color w:val="000000"/>
          <w:sz w:val="20"/>
          <w:szCs w:val="20"/>
        </w:rPr>
        <w:fldChar w:fldCharType="begin" w:fldLock="1"/>
      </w:r>
      <w:r w:rsidR="00324803">
        <w:rPr>
          <w:rFonts w:ascii="Century Gothic" w:hAnsi="Century Gothic" w:cs="Times New Roman"/>
          <w:color w:val="000000"/>
          <w:sz w:val="20"/>
          <w:szCs w:val="20"/>
        </w:rPr>
        <w:instrText>ADDIN CSL_CITATION {"citationItems":[{"id":"ITEM-1","itemData":{"DOI":"10.1007/s10984-017-9244-y","ISSN":"15731855","abstract":"This article focuses on the development of professional learning communities (PLCs), which are communities within schools, composed of voluntary participating teachers facilitated by school principals with a specific task to accomplish as part of a larger innovation project. Four PLCs were observed during 3 years by using questionnaires and participatory research. The questionnaires revealed that PLCs differed in their group characteristics, collective learning processes and outcomes. Through participatory research, we explored seven elements affecting the development of PLCs, namely, task perceptions, group composition, tensions between roles, beliefs about alignment, reflective dialogues, socialisation and ownership. Beliefs about alignment, ownership and socialisation had sufficient impact on the development of the PLCs. A case study including two contrasting PLCs indicated interrelations between task perceptions and ownership by members and between ownership and socialisation activities. Regarding implications, this research suggests to explicitly create and facilitate reflective dialogues and ownership over time for PLCs to flourish.","author":[{"dropping-particle":"","family":"Schaap","given":"Harmen","non-dropping-particle":"","parse-names":false,"suffix":""},{"dropping-particle":"","family":"Bruijn","given":"Elly","non-dropping-particle":"de","parse-names":false,"suffix":""}],"container-title":"Learning Environments Research","id":"ITEM-1","issue":"1","issued":{"date-parts":[["2018"]]},"page":"109-134","publisher":"Springer Netherlands","title":"Elements affecting the development of professional learning communities in schools","type":"article-journal","volume":"21"},"uris":["http://www.mendeley.com/documents/?uuid=3e5446eb-4273-4aa5-a16a-e6b93efc34cb"]}],"mendeley":{"formattedCitation":"(Schaap &amp; de Bruijn, 2018)","manualFormatting":"(Schaap &amp; de Bruijn, 2018;","plainTextFormattedCitation":"(Schaap &amp; de Bruijn, 2018)","previouslyFormattedCitation":"(Schaap &amp; de Bruijn, 2018)"},"properties":{"noteIndex":0},"schema":"https://github.com/citation-style-language/schema/raw/master/csl-citation.json"}</w:instrText>
      </w:r>
      <w:r w:rsidR="00324803">
        <w:rPr>
          <w:rFonts w:ascii="Century Gothic" w:hAnsi="Century Gothic" w:cs="Times New Roman"/>
          <w:color w:val="000000"/>
          <w:sz w:val="20"/>
          <w:szCs w:val="20"/>
        </w:rPr>
        <w:fldChar w:fldCharType="separate"/>
      </w:r>
      <w:r w:rsidR="00324803" w:rsidRPr="00324803">
        <w:rPr>
          <w:rFonts w:ascii="Century Gothic" w:hAnsi="Century Gothic" w:cs="Times New Roman"/>
          <w:noProof/>
          <w:color w:val="000000"/>
          <w:sz w:val="20"/>
          <w:szCs w:val="20"/>
        </w:rPr>
        <w:t>(Schaap &amp; de Bruijn, 2018</w:t>
      </w:r>
      <w:r w:rsidR="00324803">
        <w:rPr>
          <w:rFonts w:ascii="Century Gothic" w:hAnsi="Century Gothic" w:cs="Times New Roman"/>
          <w:noProof/>
          <w:color w:val="000000"/>
          <w:sz w:val="20"/>
          <w:szCs w:val="20"/>
        </w:rPr>
        <w:t>;</w:t>
      </w:r>
      <w:r w:rsidR="00324803">
        <w:rPr>
          <w:rFonts w:ascii="Century Gothic" w:hAnsi="Century Gothic" w:cs="Times New Roman"/>
          <w:color w:val="000000"/>
          <w:sz w:val="20"/>
          <w:szCs w:val="20"/>
        </w:rPr>
        <w:fldChar w:fldCharType="end"/>
      </w:r>
      <w:r w:rsidR="00324803">
        <w:rPr>
          <w:rFonts w:ascii="Century Gothic" w:hAnsi="Century Gothic" w:cs="Times New Roman"/>
          <w:color w:val="000000"/>
          <w:sz w:val="20"/>
          <w:szCs w:val="20"/>
        </w:rPr>
        <w:t xml:space="preserve"> </w:t>
      </w:r>
      <w:r w:rsidR="00324803">
        <w:rPr>
          <w:rFonts w:ascii="Century Gothic" w:hAnsi="Century Gothic" w:cs="Times New Roman"/>
          <w:color w:val="000000"/>
          <w:sz w:val="20"/>
          <w:szCs w:val="20"/>
        </w:rPr>
        <w:fldChar w:fldCharType="begin" w:fldLock="1"/>
      </w:r>
      <w:r w:rsidR="00226255">
        <w:rPr>
          <w:rFonts w:ascii="Century Gothic" w:hAnsi="Century Gothic" w:cs="Times New Roman"/>
          <w:color w:val="000000"/>
          <w:sz w:val="20"/>
          <w:szCs w:val="20"/>
        </w:rPr>
        <w:instrText>ADDIN CSL_CITATION {"citationItems":[{"id":"ITEM-1","itemData":{"DOI":"10.5897/err2015.2343","abstract":"The objectives of this research are: (1) To study the current situation and need for developing professional learning community in primary schools; (2) To develop the model for developing professional learning community, and (3) To study the findings of development for professional learning community based on developed model related to knowledge, comprehension, and competency in developing professional learning community, teaching behavior and students' quality. The research area was purposively selected three primary schools. Participatory Action Research was administered in 6 phases; there were 7458 participants. The instrument used for data collection in this study was questionnaire. The statistics used were frequency, percentage, mean, and standard deviation. The findings are as follows: (1) The current situation in developing professional learning community showed that the administrators' overall opinion in all 5 aspects is in \"High\" level; (2) The model for developing professional learning community consisted of 4 major factors: (a) Preparation for learning organization; (b) Development of shared norm and value; (c) Learning from common work practice, and (d) the expected outcome. (3) The evaluative finding of teachers' knowledge, comprehension, and competency in developing professional learning community was in \"high\" level.","author":[{"dropping-particle":"","family":"Samoot","given":"Sompong","non-dropping-particle":"","parse-names":false,"suffix":""},{"dropping-particle":"","family":"Prawit","given":"Erawan","non-dropping-particle":"","parse-names":false,"suffix":""},{"dropping-particle":"","family":"Sudharm","given":"Dharm tad sa na non","non-dropping-particle":"","parse-names":false,"suffix":""}],"container-title":"Educational Research and Reviews","id":"ITEM-1","issue":"21","issued":{"date-parts":[["2015"]]},"page":"2789-2796","title":"The development of professional learning community in primary schools","type":"article-journal","volume":"10"},"uris":["http://www.mendeley.com/documents/?uuid=cb258a21-aef6-449b-8369-d08b45eb9a69"]}],"mendeley":{"formattedCitation":"(Samoot, Prawit, &amp; Sudharm, 2015)","manualFormatting":"Samoot, Prawit, &amp; Sudharm, 2015)","plainTextFormattedCitation":"(Samoot, Prawit, &amp; Sudharm, 2015)","previouslyFormattedCitation":"(Samoot, Prawit, &amp; Sudharm, 2015)"},"properties":{"noteIndex":0},"schema":"https://github.com/citation-style-language/schema/raw/master/csl-citation.json"}</w:instrText>
      </w:r>
      <w:r w:rsidR="00324803">
        <w:rPr>
          <w:rFonts w:ascii="Century Gothic" w:hAnsi="Century Gothic" w:cs="Times New Roman"/>
          <w:color w:val="000000"/>
          <w:sz w:val="20"/>
          <w:szCs w:val="20"/>
        </w:rPr>
        <w:fldChar w:fldCharType="separate"/>
      </w:r>
      <w:r w:rsidR="00324803" w:rsidRPr="00324803">
        <w:rPr>
          <w:rFonts w:ascii="Century Gothic" w:hAnsi="Century Gothic" w:cs="Times New Roman"/>
          <w:noProof/>
          <w:color w:val="000000"/>
          <w:sz w:val="20"/>
          <w:szCs w:val="20"/>
        </w:rPr>
        <w:t>Samoot, Prawit, &amp; Sudharm, 2015)</w:t>
      </w:r>
      <w:r w:rsidR="00324803">
        <w:rPr>
          <w:rFonts w:ascii="Century Gothic" w:hAnsi="Century Gothic" w:cs="Times New Roman"/>
          <w:color w:val="000000"/>
          <w:sz w:val="20"/>
          <w:szCs w:val="20"/>
        </w:rPr>
        <w:fldChar w:fldCharType="end"/>
      </w:r>
      <w:r w:rsidRPr="00352CB3">
        <w:rPr>
          <w:rFonts w:ascii="Century Gothic" w:hAnsi="Century Gothic" w:cs="Times New Roman"/>
          <w:color w:val="000000"/>
          <w:sz w:val="20"/>
          <w:szCs w:val="20"/>
        </w:rPr>
        <w:t xml:space="preserve">. </w:t>
      </w:r>
    </w:p>
    <w:p w:rsidR="00E467A0" w:rsidRPr="00352CB3" w:rsidRDefault="00E467A0" w:rsidP="00CD6BB2">
      <w:pPr>
        <w:spacing w:after="0" w:line="360" w:lineRule="auto"/>
        <w:ind w:firstLine="567"/>
        <w:jc w:val="both"/>
        <w:rPr>
          <w:rFonts w:ascii="Century Gothic" w:hAnsi="Century Gothic" w:cs="Times New Roman"/>
          <w:sz w:val="20"/>
          <w:szCs w:val="20"/>
        </w:rPr>
      </w:pPr>
      <w:r w:rsidRPr="00352CB3">
        <w:rPr>
          <w:rFonts w:ascii="Century Gothic" w:hAnsi="Century Gothic" w:cs="Times New Roman"/>
          <w:color w:val="000000"/>
          <w:sz w:val="20"/>
          <w:szCs w:val="20"/>
        </w:rPr>
        <w:t>PLC merupakan sebuah kelompok pembelajar yang dibentuk atas dasar visi bersama dengan tujuan dapat saling membantu untuk bersinergi mencapai tujuan yang diinginkan secara bersama-</w:t>
      </w:r>
      <w:r w:rsidRPr="00352CB3">
        <w:rPr>
          <w:rFonts w:ascii="Century Gothic" w:hAnsi="Century Gothic" w:cs="Times New Roman"/>
          <w:color w:val="000000"/>
          <w:sz w:val="20"/>
          <w:szCs w:val="20"/>
        </w:rPr>
        <w:lastRenderedPageBreak/>
        <w:t>sama</w:t>
      </w:r>
      <w:r w:rsidR="00226255">
        <w:rPr>
          <w:rFonts w:ascii="Century Gothic" w:hAnsi="Century Gothic" w:cs="Times New Roman"/>
          <w:color w:val="000000"/>
          <w:sz w:val="20"/>
          <w:szCs w:val="20"/>
        </w:rPr>
        <w:t xml:space="preserve"> </w:t>
      </w:r>
      <w:r w:rsidR="00226255">
        <w:rPr>
          <w:rFonts w:ascii="Century Gothic" w:hAnsi="Century Gothic" w:cs="Times New Roman"/>
          <w:color w:val="000000"/>
          <w:sz w:val="20"/>
          <w:szCs w:val="20"/>
        </w:rPr>
        <w:fldChar w:fldCharType="begin" w:fldLock="1"/>
      </w:r>
      <w:r w:rsidR="00226255">
        <w:rPr>
          <w:rFonts w:ascii="Century Gothic" w:hAnsi="Century Gothic" w:cs="Times New Roman"/>
          <w:color w:val="000000"/>
          <w:sz w:val="20"/>
          <w:szCs w:val="20"/>
        </w:rPr>
        <w:instrText>ADDIN CSL_CITATION {"citationItems":[{"id":"ITEM-1","itemData":{"DOI":"10.1109/ATS.2014.36","ISBN":"1081-7735 VO -","abstract":"Increasing power density and thermal hotspots has become a major problem for integrated circuits. The problem is exacerbated when applying tests to a System-on-Chip (SoC). Running a test individually may exceed the given temperature threshold. So scheduling tests to reduce the test application time (TAT) while keep the cores thermally safe has become a key issue. Dynamic Voltage and Frequency Scaling (DVFS) has been widely used in modern IC devices to control power and temperature. We exploit such features for thermal-aware test scheduling and propose a method to efficiently determine the scaling factor which leads to optimized TAT without violating the thermal constraints. The proposed method can also be used to efficiently calculate the maximum temperature certain tests can achieve when DVFS is applied. After formulating the problem into an MILP model, experimental results on ITC'02 benchmarks showed that DVFS can be used to deal with power intensive tests efficiently and exploiting such features can achieve up to 16.37% reduction of TAT.","author":[{"dropping-particle":"","family":"Sai","given":"Xiao","non-dropping-particle":"","parse-names":false,"suffix":""},{"dropping-particle":"","family":"Saedah","given":"Siraj","non-dropping-particle":"","parse-names":false,"suffix":""}],"container-title":"The Online Journal of Quality in Higher Education","id":"ITEM-1","issue":"2","issued":{"date-parts":[["2015"]]},"page":"65-78","title":"Professional Learning Community in Education :","type":"article-journal","volume":"2"},"uris":["http://www.mendeley.com/documents/?uuid=ef4071e9-540f-4c8d-a19e-5aa286751fec"]}],"mendeley":{"formattedCitation":"(Sai &amp; Saedah, 2015)","plainTextFormattedCitation":"(Sai &amp; Saedah, 2015)","previouslyFormattedCitation":"(Sai &amp; Saedah, 2015)"},"properties":{"noteIndex":0},"schema":"https://github.com/citation-style-language/schema/raw/master/csl-citation.json"}</w:instrText>
      </w:r>
      <w:r w:rsidR="00226255">
        <w:rPr>
          <w:rFonts w:ascii="Century Gothic" w:hAnsi="Century Gothic" w:cs="Times New Roman"/>
          <w:color w:val="000000"/>
          <w:sz w:val="20"/>
          <w:szCs w:val="20"/>
        </w:rPr>
        <w:fldChar w:fldCharType="separate"/>
      </w:r>
      <w:r w:rsidR="00226255" w:rsidRPr="00226255">
        <w:rPr>
          <w:rFonts w:ascii="Century Gothic" w:hAnsi="Century Gothic" w:cs="Times New Roman"/>
          <w:noProof/>
          <w:color w:val="000000"/>
          <w:sz w:val="20"/>
          <w:szCs w:val="20"/>
        </w:rPr>
        <w:t>(Sai &amp; Saedah, 2015)</w:t>
      </w:r>
      <w:r w:rsidR="00226255">
        <w:rPr>
          <w:rFonts w:ascii="Century Gothic" w:hAnsi="Century Gothic" w:cs="Times New Roman"/>
          <w:color w:val="000000"/>
          <w:sz w:val="20"/>
          <w:szCs w:val="20"/>
        </w:rPr>
        <w:fldChar w:fldCharType="end"/>
      </w:r>
      <w:r w:rsidR="00226255">
        <w:rPr>
          <w:rFonts w:ascii="Century Gothic" w:hAnsi="Century Gothic" w:cs="Times New Roman"/>
          <w:color w:val="000000"/>
          <w:sz w:val="20"/>
          <w:szCs w:val="20"/>
        </w:rPr>
        <w:fldChar w:fldCharType="begin" w:fldLock="1"/>
      </w:r>
      <w:r w:rsidR="00226255">
        <w:rPr>
          <w:rFonts w:ascii="Century Gothic" w:hAnsi="Century Gothic" w:cs="Times New Roman"/>
          <w:color w:val="000000"/>
          <w:sz w:val="20"/>
          <w:szCs w:val="20"/>
        </w:rPr>
        <w:instrText>ADDIN CSL_CITATION {"citationItems":[{"id":"ITEM-1","itemData":{"DOI":"10.5539/jel.v7n5p76","ISSN":"1927-5250","abstract":"The main objectives in building professional learning communities are to improve teachers’ professionalism and well-being, and create positive impacts on student learning. It is a question of changing the school culture. The main objective of this quantitative study was to investigate the maturity level of thirteen Finnish schools as professional learning communities from the perspectives of school culture, leadership, teaching, and professional development. The participants’ perceptions indicated a culture of collegiality, trust and commitment as common strengths at all schools. The school cultures supported professional collaboration, and the teachers had the knowledge, skills and dispositions to engage in professional collaboration. The challenges were related to structural conditions, especially the lack of collaboration time. Three school profiles were identified in the cluster analysis from the viewpoint of maturity as professional learning communities. Statistically significant differences between the three clusters were found in organizational and operational characteristics.","author":[{"dropping-particle":"","family":"Antinluoma","given":"Markku","non-dropping-particle":"","parse-names":false,"suffix":""},{"dropping-particle":"","family":"Ilomaki","given":"Liisa","non-dropping-particle":"","parse-names":false,"suffix":""},{"dropping-particle":"","family":"Lahti-Nuuttila","given":"Pekka","non-dropping-particle":"","parse-names":false,"suffix":""},{"dropping-particle":"","family":"Toom","given":"Auli","non-dropping-particle":"","parse-names":false,"suffix":""}],"container-title":"Journal of Education and Learning","id":"ITEM-1","issue":"5","issued":{"date-parts":[["2018"]]},"page":"76","title":"Schools as Professional Learning Communities","type":"article-journal","volume":"7"},"uris":["http://www.mendeley.com/documents/?uuid=55ce8ea1-ad8d-49e8-bf77-100a3b19fe74"]}],"mendeley":{"formattedCitation":"(Antinluoma, Ilomaki, Lahti-Nuuttila, &amp; Toom, 2018)","plainTextFormattedCitation":"(Antinluoma, Ilomaki, Lahti-Nuuttila, &amp; Toom, 2018)","previouslyFormattedCitation":"(Antinluoma, Ilomaki, Lahti-Nuuttila, &amp; Toom, 2018)"},"properties":{"noteIndex":0},"schema":"https://github.com/citation-style-language/schema/raw/master/csl-citation.json"}</w:instrText>
      </w:r>
      <w:r w:rsidR="00226255">
        <w:rPr>
          <w:rFonts w:ascii="Century Gothic" w:hAnsi="Century Gothic" w:cs="Times New Roman"/>
          <w:color w:val="000000"/>
          <w:sz w:val="20"/>
          <w:szCs w:val="20"/>
        </w:rPr>
        <w:fldChar w:fldCharType="separate"/>
      </w:r>
      <w:r w:rsidR="00226255" w:rsidRPr="00226255">
        <w:rPr>
          <w:rFonts w:ascii="Century Gothic" w:hAnsi="Century Gothic" w:cs="Times New Roman"/>
          <w:noProof/>
          <w:color w:val="000000"/>
          <w:sz w:val="20"/>
          <w:szCs w:val="20"/>
        </w:rPr>
        <w:t>(Antinluoma, Ilomaki, Lahti-Nuuttila, &amp; Toom, 2018)</w:t>
      </w:r>
      <w:r w:rsidR="00226255">
        <w:rPr>
          <w:rFonts w:ascii="Century Gothic" w:hAnsi="Century Gothic" w:cs="Times New Roman"/>
          <w:color w:val="000000"/>
          <w:sz w:val="20"/>
          <w:szCs w:val="20"/>
        </w:rPr>
        <w:fldChar w:fldCharType="end"/>
      </w:r>
      <w:r w:rsidRPr="00352CB3">
        <w:rPr>
          <w:rFonts w:ascii="Century Gothic" w:hAnsi="Century Gothic" w:cs="Times New Roman"/>
          <w:color w:val="000000"/>
          <w:sz w:val="20"/>
          <w:szCs w:val="20"/>
        </w:rPr>
        <w:t xml:space="preserve">. Adapun yang menjadi bagian dari kegiatan-kegiatan yang dilakukan yaitu </w:t>
      </w:r>
      <w:r w:rsidRPr="00352CB3">
        <w:rPr>
          <w:rFonts w:ascii="Century Gothic" w:hAnsi="Century Gothic" w:cs="Times New Roman"/>
          <w:sz w:val="20"/>
          <w:szCs w:val="20"/>
        </w:rPr>
        <w:t>terdiri dari evaluasi diri, penemuan reflektif, dialog, belajar bersama, dan pemecahan masalah</w:t>
      </w:r>
      <w:r w:rsidR="00226255">
        <w:rPr>
          <w:rFonts w:ascii="Century Gothic" w:hAnsi="Century Gothic" w:cs="Times New Roman"/>
          <w:sz w:val="20"/>
          <w:szCs w:val="20"/>
        </w:rPr>
        <w:t xml:space="preserve"> </w:t>
      </w:r>
      <w:r w:rsidR="00226255">
        <w:rPr>
          <w:rFonts w:ascii="Century Gothic" w:hAnsi="Century Gothic" w:cs="Times New Roman"/>
          <w:sz w:val="20"/>
          <w:szCs w:val="20"/>
        </w:rPr>
        <w:fldChar w:fldCharType="begin" w:fldLock="1"/>
      </w:r>
      <w:r w:rsidR="00B72AEA">
        <w:rPr>
          <w:rFonts w:ascii="Century Gothic" w:hAnsi="Century Gothic" w:cs="Times New Roman"/>
          <w:sz w:val="20"/>
          <w:szCs w:val="20"/>
        </w:rPr>
        <w:instrText>ADDIN CSL_CITATION {"citationItems":[{"id":"ITEM-1","itemData":{"author":[{"dropping-particle":"","family":"Addley","given":"Alan","non-dropping-particle":"","parse-names":false,"suffix":""}],"id":"ITEM-1","issued":{"date-parts":[["2014"]]},"title":"Implementing Professional Learning Communities in a High-Performing School District to Address Stagnating Student Performance","type":"article-journal"},"uris":["http://www.mendeley.com/documents/?uuid=ec6bd841-0353-46d0-9c62-9e9691bd61c8"]}],"mendeley":{"formattedCitation":"(Addley, 2014)","plainTextFormattedCitation":"(Addley, 2014)","previouslyFormattedCitation":"(Addley, 2014)"},"properties":{"noteIndex":0},"schema":"https://github.com/citation-style-language/schema/raw/master/csl-citation.json"}</w:instrText>
      </w:r>
      <w:r w:rsidR="00226255">
        <w:rPr>
          <w:rFonts w:ascii="Century Gothic" w:hAnsi="Century Gothic" w:cs="Times New Roman"/>
          <w:sz w:val="20"/>
          <w:szCs w:val="20"/>
        </w:rPr>
        <w:fldChar w:fldCharType="separate"/>
      </w:r>
      <w:r w:rsidR="00226255" w:rsidRPr="00226255">
        <w:rPr>
          <w:rFonts w:ascii="Century Gothic" w:hAnsi="Century Gothic" w:cs="Times New Roman"/>
          <w:noProof/>
          <w:sz w:val="20"/>
          <w:szCs w:val="20"/>
        </w:rPr>
        <w:t>(Addley, 2014)</w:t>
      </w:r>
      <w:r w:rsidR="00226255">
        <w:rPr>
          <w:rFonts w:ascii="Century Gothic" w:hAnsi="Century Gothic" w:cs="Times New Roman"/>
          <w:sz w:val="20"/>
          <w:szCs w:val="20"/>
        </w:rPr>
        <w:fldChar w:fldCharType="end"/>
      </w:r>
      <w:r w:rsidRPr="00352CB3">
        <w:rPr>
          <w:rFonts w:ascii="Century Gothic" w:hAnsi="Century Gothic" w:cs="Times New Roman"/>
          <w:sz w:val="20"/>
          <w:szCs w:val="20"/>
        </w:rPr>
        <w:t xml:space="preserve">. Berdasarkan kegiatan yang dilakukan tersebut maka diperoleh output yaitu adanya waktu khusus, fokus pada masalah pembelajaran, inisiasi dari pimpinan, adanya inovasi, sekolah sebagai unit perubahan (Stoll dan Louis, 2007). Pada dasarnya tujuan dari adanya PLC diharapkan dapat menstimulus guru untuk memiliki cara pandang terhadap realita dan masalah, keterampilan, dan kapabilitas organisasi </w:t>
      </w:r>
      <w:r w:rsidR="00CB1523" w:rsidRPr="00352CB3">
        <w:rPr>
          <w:rFonts w:ascii="Century Gothic" w:hAnsi="Century Gothic" w:cs="Times New Roman"/>
          <w:sz w:val="20"/>
          <w:szCs w:val="20"/>
        </w:rPr>
        <w:t>(Hord, 2003). Hingga pada akhirnya tujuan yang diinginkan tersebut bermuara pada terciptanya sekolah yang memiliki mutu berkualitas. Oleh karena itu semua terletak pada adanya pengembangan guru yang mampu memberikan motivasi agar dapat menjalankan tugasnya dengan baik, apabila guru telah menjalankan tugasnya maka kepala sekolah dapat mengikutsertakan guru-guru dalm berbagai kegiatan sekolah dengan memberikan tanggungjawab yang lebih besar</w:t>
      </w:r>
      <w:r w:rsidR="00B72AEA">
        <w:rPr>
          <w:rFonts w:ascii="Century Gothic" w:hAnsi="Century Gothic" w:cs="Times New Roman"/>
          <w:sz w:val="20"/>
          <w:szCs w:val="20"/>
        </w:rPr>
        <w:t xml:space="preserve"> </w:t>
      </w:r>
      <w:r w:rsidR="00CB1523" w:rsidRPr="00352CB3">
        <w:rPr>
          <w:rFonts w:ascii="Century Gothic" w:hAnsi="Century Gothic" w:cs="Times New Roman"/>
          <w:sz w:val="20"/>
          <w:szCs w:val="20"/>
        </w:rPr>
        <w:fldChar w:fldCharType="begin" w:fldLock="1"/>
      </w:r>
      <w:r w:rsidR="002B0065">
        <w:rPr>
          <w:rFonts w:ascii="Century Gothic" w:hAnsi="Century Gothic" w:cs="Times New Roman"/>
          <w:sz w:val="20"/>
          <w:szCs w:val="20"/>
        </w:rPr>
        <w:instrText>ADDIN CSL_CITATION {"citationItems":[{"id":"ITEM-1","itemData":{"DOI":"10.14507/epaa.v11n37.2003","ISSN":"1068-2341","abstract":"&lt;p&gt;This article explores how local school leaders construct the conditions for professional community in their schools. This paper argues that professional community is a special form of social capital that results, in part, from the design and implementation of facilitating structural networks by instructional leaders in schools. The structural aspects of a school community can be conceived as a system of practice, that is, a network of structures, tasks and traditions that create and facilitate complex webs of practice in organizations. Systems of practice are composed of networks of artifacts, such as policies, programs and procedures, which can be seen as powerful tools used by local leaders to influence local instructional practices. The system of practice framework suggests that leaders use artifacts to establish structures that facilitate the closure of professional networks among teachers, which in turns builds professional community. The leadership practices of an urban elementary school are used to illustrate how professional community has been developed through the selective design and implementation of artifacts in order to reshape the local system of practice.&lt;/p&gt;","author":[{"dropping-particle":"","family":"Halverson","given":"Richard R.","non-dropping-particle":"","parse-names":false,"suffix":""},{"dropping-particle":"","family":"Halverson","given":"Richard R.","non-dropping-particle":"","parse-names":false,"suffix":""}],"container-title":"education policy analysis archives","id":"ITEM-1","issue":"0","issued":{"date-parts":[["2003","10","10"]]},"page":"37","title":"Systems of Practice: How Leaders Use Artifacts to Create Professional Community in Schools","type":"article-journal","volume":"11"},"uris":["http://www.mendeley.com/documents/?uuid=3617adae-cae8-3030-b3e6-99fedafecc5a"]}],"mendeley":{"formattedCitation":"(Halverson &amp; Halverson, 2003)","plainTextFormattedCitation":"(Halverson &amp; Halverson, 2003)","previouslyFormattedCitation":"(Halverson &amp; Halverson, 2003)"},"properties":{"noteIndex":0},"schema":"https://github.com/citation-style-language/schema/raw/master/csl-citation.json"}</w:instrText>
      </w:r>
      <w:r w:rsidR="00CB1523" w:rsidRPr="00352CB3">
        <w:rPr>
          <w:rFonts w:ascii="Century Gothic" w:hAnsi="Century Gothic" w:cs="Times New Roman"/>
          <w:sz w:val="20"/>
          <w:szCs w:val="20"/>
        </w:rPr>
        <w:fldChar w:fldCharType="separate"/>
      </w:r>
      <w:r w:rsidR="002B0065" w:rsidRPr="002B0065">
        <w:rPr>
          <w:rFonts w:ascii="Century Gothic" w:hAnsi="Century Gothic" w:cs="Times New Roman"/>
          <w:noProof/>
          <w:sz w:val="20"/>
          <w:szCs w:val="20"/>
        </w:rPr>
        <w:t>(Halverson &amp; Halverson, 2003)</w:t>
      </w:r>
      <w:r w:rsidR="00CB1523" w:rsidRPr="00352CB3">
        <w:rPr>
          <w:rFonts w:ascii="Century Gothic" w:hAnsi="Century Gothic" w:cs="Times New Roman"/>
          <w:sz w:val="20"/>
          <w:szCs w:val="20"/>
        </w:rPr>
        <w:fldChar w:fldCharType="end"/>
      </w:r>
      <w:r w:rsidR="00CB1523" w:rsidRPr="00352CB3">
        <w:rPr>
          <w:rFonts w:ascii="Century Gothic" w:hAnsi="Century Gothic" w:cs="Times New Roman"/>
          <w:sz w:val="20"/>
          <w:szCs w:val="20"/>
        </w:rPr>
        <w:t>.</w:t>
      </w:r>
    </w:p>
    <w:p w:rsidR="00CB1523" w:rsidRDefault="00CB1523" w:rsidP="00CD6BB2">
      <w:pPr>
        <w:spacing w:after="0" w:line="360" w:lineRule="auto"/>
        <w:ind w:firstLine="567"/>
        <w:jc w:val="both"/>
        <w:rPr>
          <w:rFonts w:ascii="Century Gothic" w:hAnsi="Century Gothic" w:cs="Times New Roman"/>
          <w:sz w:val="20"/>
          <w:szCs w:val="20"/>
        </w:rPr>
      </w:pPr>
      <w:r w:rsidRPr="00352CB3">
        <w:rPr>
          <w:rFonts w:ascii="Century Gothic" w:hAnsi="Century Gothic" w:cs="Times New Roman"/>
          <w:sz w:val="20"/>
          <w:szCs w:val="20"/>
        </w:rPr>
        <w:t xml:space="preserve">PLC </w:t>
      </w:r>
      <w:r w:rsidR="00B72AEA">
        <w:rPr>
          <w:rFonts w:ascii="Century Gothic" w:hAnsi="Century Gothic" w:cs="Times New Roman"/>
          <w:sz w:val="20"/>
          <w:szCs w:val="20"/>
        </w:rPr>
        <w:t xml:space="preserve">merupakan </w:t>
      </w:r>
      <w:r w:rsidRPr="00352CB3">
        <w:rPr>
          <w:rFonts w:ascii="Century Gothic" w:hAnsi="Century Gothic" w:cs="Times New Roman"/>
          <w:sz w:val="20"/>
          <w:szCs w:val="20"/>
        </w:rPr>
        <w:t xml:space="preserve">sebuah cara kerja </w:t>
      </w:r>
      <w:r w:rsidR="00B72AEA">
        <w:rPr>
          <w:rFonts w:ascii="Century Gothic" w:hAnsi="Century Gothic" w:cs="Times New Roman"/>
          <w:sz w:val="20"/>
          <w:szCs w:val="20"/>
        </w:rPr>
        <w:t>yang</w:t>
      </w:r>
      <w:r w:rsidRPr="00352CB3">
        <w:rPr>
          <w:rFonts w:ascii="Century Gothic" w:hAnsi="Century Gothic" w:cs="Times New Roman"/>
          <w:sz w:val="20"/>
          <w:szCs w:val="20"/>
        </w:rPr>
        <w:t xml:space="preserve"> terbentuk dengan tujuan </w:t>
      </w:r>
      <w:r w:rsidR="00B72AEA">
        <w:rPr>
          <w:rFonts w:ascii="Century Gothic" w:hAnsi="Century Gothic" w:cs="Times New Roman"/>
          <w:sz w:val="20"/>
          <w:szCs w:val="20"/>
        </w:rPr>
        <w:t xml:space="preserve">untuk </w:t>
      </w:r>
      <w:r w:rsidRPr="00352CB3">
        <w:rPr>
          <w:rFonts w:ascii="Century Gothic" w:hAnsi="Century Gothic" w:cs="Times New Roman"/>
          <w:sz w:val="20"/>
          <w:szCs w:val="20"/>
        </w:rPr>
        <w:t xml:space="preserve">memotivasi guru </w:t>
      </w:r>
      <w:r w:rsidR="00B72AEA">
        <w:rPr>
          <w:rFonts w:ascii="Century Gothic" w:hAnsi="Century Gothic" w:cs="Times New Roman"/>
          <w:sz w:val="20"/>
          <w:szCs w:val="20"/>
        </w:rPr>
        <w:t xml:space="preserve">sehingga guru dapat </w:t>
      </w:r>
      <w:r w:rsidRPr="00352CB3">
        <w:rPr>
          <w:rFonts w:ascii="Century Gothic" w:hAnsi="Century Gothic" w:cs="Times New Roman"/>
          <w:sz w:val="20"/>
          <w:szCs w:val="20"/>
        </w:rPr>
        <w:t>berkembang dan peka terhadap perubahan</w:t>
      </w:r>
      <w:r w:rsidR="00B72AEA">
        <w:rPr>
          <w:rFonts w:ascii="Century Gothic" w:hAnsi="Century Gothic" w:cs="Times New Roman"/>
          <w:sz w:val="20"/>
          <w:szCs w:val="20"/>
        </w:rPr>
        <w:t xml:space="preserve"> </w:t>
      </w:r>
      <w:r w:rsidR="00B72AEA">
        <w:rPr>
          <w:rFonts w:ascii="Century Gothic" w:hAnsi="Century Gothic" w:cs="Times New Roman"/>
          <w:sz w:val="20"/>
          <w:szCs w:val="20"/>
        </w:rPr>
        <w:fldChar w:fldCharType="begin" w:fldLock="1"/>
      </w:r>
      <w:r w:rsidR="00B72AEA">
        <w:rPr>
          <w:rFonts w:ascii="Century Gothic" w:hAnsi="Century Gothic" w:cs="Times New Roman"/>
          <w:sz w:val="20"/>
          <w:szCs w:val="20"/>
        </w:rPr>
        <w:instrText>ADDIN CSL_CITATION {"citationItems":[{"id":"ITEM-1","itemData":{"DOI":"10.17533/udea.ikala.v19n3a06","ISSN":"01233432","abstract":"Colombia has a long tradition of offering professional development through courses, seminars, and postgraduate programs. However, Professional Learning Communities are also thought of as an option to provide professional development. This article presents a general background on professional learning communities and discusses why and how they can be implemented in Colombia. A model on how to structure one-in this case, focused specifically on research-and some directions for future practices and further research are highlighted.","author":[{"dropping-particle":"","family":"Bonces","given":"Mónica Rodríguez","non-dropping-particle":"","parse-names":false,"suffix":""}],"container-title":"Ikala","id":"ITEM-1","issue":"3","issued":{"date-parts":[["2014"]]},"page":"307-319","title":"Organizing a professional learning community - a strategy to enhance professional development","type":"article-journal","volume":"19"},"uris":["http://www.mendeley.com/documents/?uuid=f07542f8-2007-4838-bb11-6e32f1be2ecb"]}],"mendeley":{"formattedCitation":"(Bonces, 2014)","plainTextFormattedCitation":"(Bonces, 2014)","previouslyFormattedCitation":"(Bonces, 2014)"},"properties":{"noteIndex":0},"schema":"https://github.com/citation-style-language/schema/raw/master/csl-citation.json"}</w:instrText>
      </w:r>
      <w:r w:rsidR="00B72AEA">
        <w:rPr>
          <w:rFonts w:ascii="Century Gothic" w:hAnsi="Century Gothic" w:cs="Times New Roman"/>
          <w:sz w:val="20"/>
          <w:szCs w:val="20"/>
        </w:rPr>
        <w:fldChar w:fldCharType="separate"/>
      </w:r>
      <w:r w:rsidR="00B72AEA" w:rsidRPr="00B72AEA">
        <w:rPr>
          <w:rFonts w:ascii="Century Gothic" w:hAnsi="Century Gothic" w:cs="Times New Roman"/>
          <w:noProof/>
          <w:sz w:val="20"/>
          <w:szCs w:val="20"/>
        </w:rPr>
        <w:t>(Bonces, 2014)</w:t>
      </w:r>
      <w:r w:rsidR="00B72AEA">
        <w:rPr>
          <w:rFonts w:ascii="Century Gothic" w:hAnsi="Century Gothic" w:cs="Times New Roman"/>
          <w:sz w:val="20"/>
          <w:szCs w:val="20"/>
        </w:rPr>
        <w:fldChar w:fldCharType="end"/>
      </w:r>
      <w:r w:rsidRPr="00352CB3">
        <w:rPr>
          <w:rFonts w:ascii="Century Gothic" w:hAnsi="Century Gothic" w:cs="Times New Roman"/>
          <w:sz w:val="20"/>
          <w:szCs w:val="20"/>
        </w:rPr>
        <w:t xml:space="preserve">. Maka apabila telah muncul keterbukaan dari guru akan perubahan maka PLC ini akan mencetak </w:t>
      </w:r>
      <w:r w:rsidRPr="00352CB3">
        <w:rPr>
          <w:rFonts w:ascii="Century Gothic" w:hAnsi="Century Gothic" w:cs="Times New Roman"/>
          <w:sz w:val="20"/>
          <w:szCs w:val="20"/>
        </w:rPr>
        <w:lastRenderedPageBreak/>
        <w:t xml:space="preserve">perubahan ke arah perbaikan yang terus berkelanjutan yang terpatri menjadi nilai dalam sebuah </w:t>
      </w:r>
      <w:r w:rsidR="00352CB3" w:rsidRPr="00352CB3">
        <w:rPr>
          <w:rFonts w:ascii="Century Gothic" w:hAnsi="Century Gothic" w:cs="Times New Roman"/>
          <w:sz w:val="20"/>
          <w:szCs w:val="20"/>
        </w:rPr>
        <w:t>organisasi</w:t>
      </w:r>
      <w:r w:rsidR="00B72AEA">
        <w:rPr>
          <w:rFonts w:ascii="Century Gothic" w:hAnsi="Century Gothic" w:cs="Times New Roman"/>
          <w:sz w:val="20"/>
          <w:szCs w:val="20"/>
        </w:rPr>
        <w:t xml:space="preserve"> </w:t>
      </w:r>
      <w:r w:rsidR="00B72AEA">
        <w:rPr>
          <w:rFonts w:ascii="Century Gothic" w:hAnsi="Century Gothic" w:cs="Times New Roman"/>
          <w:sz w:val="20"/>
          <w:szCs w:val="20"/>
        </w:rPr>
        <w:fldChar w:fldCharType="begin" w:fldLock="1"/>
      </w:r>
      <w:r w:rsidR="00B72AEA">
        <w:rPr>
          <w:rFonts w:ascii="Century Gothic" w:hAnsi="Century Gothic" w:cs="Times New Roman"/>
          <w:sz w:val="20"/>
          <w:szCs w:val="20"/>
        </w:rPr>
        <w:instrText>ADDIN CSL_CITATION {"citationItems":[{"id":"ITEM-1","itemData":{"DOI":"10.1108/IJEM-04-2014-0046","ISBN":"0820130125","ISSN":"0951354X","abstract":"Purpose: The purpose of this paper is to explore supportive and shared leadership structures at schools as a function of school culture policies and procedures. Design/methodology/approach: A qualitative study was conducted at three secondary schools in the Midwestern USA. Administrators and teachers were interviewed, professional learning communities observed and artifacts collected to explore school culture policies, procedures and leadership in the implementation of professional learning community practice. Findings: This study concludes that school leaders must provide supportive and shared leadership structures for teachers in order to ensure a positive school culture and effective professional learning communities that impact school improvement. Leaders in schools must work directly with teachers to create policies and procedures that provide teachers the leadership structure to directly impact school improvement through professional learning community collaborative efforts. Originality/value: This study builds on the school culture and professional learning communities literature by exploring existent policies and practices in schools as unique cases. Much of the literature calls for specific case studies to identify issues in the implementation of effective practice. This study is important to the community as specific cases that may inform educational leaders on mechanisms that may be leveraged to ensure successful implementation of policies and procedures outline in school culture and professional learning community literature.","author":[{"dropping-particle":"","family":"Carpenter","given":"Daniel","non-dropping-particle":"","parse-names":false,"suffix":""}],"container-title":"International Journal of Educational Management","id":"ITEM-1","issue":"5","issued":{"date-parts":[["2015"]]},"page":"682-694","title":"School culture and leadership of professional learning communities","type":"article-journal","volume":"29"},"uris":["http://www.mendeley.com/documents/?uuid=3b61da7c-9651-4f57-af04-b0db29191a56"]}],"mendeley":{"formattedCitation":"(Carpenter, 2015)","plainTextFormattedCitation":"(Carpenter, 2015)","previouslyFormattedCitation":"(Carpenter, 2015)"},"properties":{"noteIndex":0},"schema":"https://github.com/citation-style-language/schema/raw/master/csl-citation.json"}</w:instrText>
      </w:r>
      <w:r w:rsidR="00B72AEA">
        <w:rPr>
          <w:rFonts w:ascii="Century Gothic" w:hAnsi="Century Gothic" w:cs="Times New Roman"/>
          <w:sz w:val="20"/>
          <w:szCs w:val="20"/>
        </w:rPr>
        <w:fldChar w:fldCharType="separate"/>
      </w:r>
      <w:r w:rsidR="00B72AEA" w:rsidRPr="00B72AEA">
        <w:rPr>
          <w:rFonts w:ascii="Century Gothic" w:hAnsi="Century Gothic" w:cs="Times New Roman"/>
          <w:noProof/>
          <w:sz w:val="20"/>
          <w:szCs w:val="20"/>
        </w:rPr>
        <w:t>(Carpenter, 2015)</w:t>
      </w:r>
      <w:r w:rsidR="00B72AEA">
        <w:rPr>
          <w:rFonts w:ascii="Century Gothic" w:hAnsi="Century Gothic" w:cs="Times New Roman"/>
          <w:sz w:val="20"/>
          <w:szCs w:val="20"/>
        </w:rPr>
        <w:fldChar w:fldCharType="end"/>
      </w:r>
      <w:r w:rsidR="00352CB3">
        <w:rPr>
          <w:rFonts w:ascii="Century Gothic" w:hAnsi="Century Gothic" w:cs="Times New Roman"/>
          <w:sz w:val="20"/>
          <w:szCs w:val="20"/>
        </w:rPr>
        <w:t xml:space="preserve">. </w:t>
      </w:r>
      <w:r w:rsidRPr="00352CB3">
        <w:rPr>
          <w:rFonts w:ascii="Century Gothic" w:hAnsi="Century Gothic" w:cs="Times New Roman"/>
          <w:sz w:val="20"/>
          <w:szCs w:val="20"/>
        </w:rPr>
        <w:t xml:space="preserve">Ketika PLC ini berjalan tentu akan memunculkan beberapa aktivitas yang dapat memberikan dampak positif pada guru, seperti misalnya pada kegiatan diskusi </w:t>
      </w:r>
      <w:r w:rsidR="00177762" w:rsidRPr="00352CB3">
        <w:rPr>
          <w:rFonts w:ascii="Century Gothic" w:hAnsi="Century Gothic" w:cs="Times New Roman"/>
          <w:sz w:val="20"/>
          <w:szCs w:val="20"/>
        </w:rPr>
        <w:t xml:space="preserve">terkait pelaksanaan pembelajaran di kelas </w:t>
      </w:r>
      <w:r w:rsidRPr="00352CB3">
        <w:rPr>
          <w:rFonts w:ascii="Century Gothic" w:hAnsi="Century Gothic" w:cs="Times New Roman"/>
          <w:sz w:val="20"/>
          <w:szCs w:val="20"/>
        </w:rPr>
        <w:t>yang tentu akan terjadi pertukaran ide atau gagasan</w:t>
      </w:r>
      <w:r w:rsidR="00177762" w:rsidRPr="00352CB3">
        <w:rPr>
          <w:rFonts w:ascii="Century Gothic" w:hAnsi="Century Gothic" w:cs="Times New Roman"/>
          <w:sz w:val="20"/>
          <w:szCs w:val="20"/>
        </w:rPr>
        <w:t xml:space="preserve"> yang baru dan baik dibandingkan ketika guru melakukan aktivitas lain seperti membaca buku, mengikuti seminar atau studi lanjut</w:t>
      </w:r>
      <w:r w:rsidR="00B72AEA">
        <w:rPr>
          <w:rFonts w:ascii="Century Gothic" w:hAnsi="Century Gothic" w:cs="Times New Roman"/>
          <w:sz w:val="20"/>
          <w:szCs w:val="20"/>
        </w:rPr>
        <w:t xml:space="preserve"> </w:t>
      </w:r>
      <w:r w:rsidR="00B72AEA">
        <w:rPr>
          <w:rFonts w:ascii="Century Gothic" w:hAnsi="Century Gothic" w:cs="Times New Roman"/>
          <w:sz w:val="20"/>
          <w:szCs w:val="20"/>
        </w:rPr>
        <w:fldChar w:fldCharType="begin" w:fldLock="1"/>
      </w:r>
      <w:r w:rsidR="00B72AEA">
        <w:rPr>
          <w:rFonts w:ascii="Century Gothic" w:hAnsi="Century Gothic" w:cs="Times New Roman"/>
          <w:sz w:val="20"/>
          <w:szCs w:val="20"/>
        </w:rPr>
        <w:instrText>ADDIN CSL_CITATION {"citationItems":[{"id":"ITEM-1","itemData":{"DOI":"10.1080/10632913.2015.970096","ISSN":"19404395","abstract":"As a result of Race to the Top, states across the country vied for school improvement grants in order to advance educational reforms including effective professional development and teacher collaboration within their school districts. Requirements of the grant included the development of teacher evaluation systems and a professional development model to support teacher growth and efficacy. Grant recipients unanimously chose to incorporate some type of professional learning community (PLC) and selected models that emphasized increasing and sustaining teacher collaboration in all disciplines. PLCs offer an opportunity for music educators to receive pedagogy specifically tailored to their discipline. Music teachers and arts supervisors should consider incorporating online PLCs into their programs not only to address professional development, but also to address teacher isolation and attrition and student achievement and, ultimately, to enact fundamental changes in their districts.","author":[{"dropping-particle":"","family":"Battersby","given":"Sharyn L.","non-dropping-particle":"","parse-names":false,"suffix":""},{"dropping-particle":"","family":"Verdi","given":"Brian","non-dropping-particle":"","parse-names":false,"suffix":""}],"container-title":"Arts Education Policy Review","id":"ITEM-1","issue":"1","issued":{"date-parts":[["2015"]]},"page":"22-29","title":"The Culture of Professional Learning Communities and Connections to Improve Teacher Efficacy and Support Student Learning","type":"article-journal","volume":"116"},"uris":["http://www.mendeley.com/documents/?uuid=0a174a8f-8a9d-4b4b-b82d-12d9e155667f"]}],"mendeley":{"formattedCitation":"(Battersby &amp; Verdi, 2015)","plainTextFormattedCitation":"(Battersby &amp; Verdi, 2015)","previouslyFormattedCitation":"(Battersby &amp; Verdi, 2015)"},"properties":{"noteIndex":0},"schema":"https://github.com/citation-style-language/schema/raw/master/csl-citation.json"}</w:instrText>
      </w:r>
      <w:r w:rsidR="00B72AEA">
        <w:rPr>
          <w:rFonts w:ascii="Century Gothic" w:hAnsi="Century Gothic" w:cs="Times New Roman"/>
          <w:sz w:val="20"/>
          <w:szCs w:val="20"/>
        </w:rPr>
        <w:fldChar w:fldCharType="separate"/>
      </w:r>
      <w:r w:rsidR="00B72AEA" w:rsidRPr="00B72AEA">
        <w:rPr>
          <w:rFonts w:ascii="Century Gothic" w:hAnsi="Century Gothic" w:cs="Times New Roman"/>
          <w:noProof/>
          <w:sz w:val="20"/>
          <w:szCs w:val="20"/>
        </w:rPr>
        <w:t>(Battersby &amp; Verdi, 2015)</w:t>
      </w:r>
      <w:r w:rsidR="00B72AEA">
        <w:rPr>
          <w:rFonts w:ascii="Century Gothic" w:hAnsi="Century Gothic" w:cs="Times New Roman"/>
          <w:sz w:val="20"/>
          <w:szCs w:val="20"/>
        </w:rPr>
        <w:fldChar w:fldCharType="end"/>
      </w:r>
      <w:r w:rsidR="00177762" w:rsidRPr="00352CB3">
        <w:rPr>
          <w:rFonts w:ascii="Century Gothic" w:hAnsi="Century Gothic" w:cs="Times New Roman"/>
          <w:sz w:val="20"/>
          <w:szCs w:val="20"/>
        </w:rPr>
        <w:t xml:space="preserve">. Mengapa dikatakan demikian, karena dalam PLC ini guru menjadi pembangun konsep dalam dirinya melalui kegiatan identifikasi terhadap permasalahan dan penyelesaian yang dijumpai pada praktik-praktik pendidikan </w:t>
      </w:r>
      <w:r w:rsidR="00352CB3" w:rsidRPr="00352CB3">
        <w:rPr>
          <w:rFonts w:ascii="Century Gothic" w:hAnsi="Century Gothic" w:cs="Times New Roman"/>
          <w:sz w:val="20"/>
          <w:szCs w:val="20"/>
        </w:rPr>
        <w:t>(Hord, 2003</w:t>
      </w:r>
      <w:r w:rsidR="00177762" w:rsidRPr="00352CB3">
        <w:rPr>
          <w:rFonts w:ascii="Century Gothic" w:hAnsi="Century Gothic" w:cs="Times New Roman"/>
          <w:sz w:val="20"/>
          <w:szCs w:val="20"/>
        </w:rPr>
        <w:t>).</w:t>
      </w:r>
      <w:r w:rsidR="00ED4153">
        <w:rPr>
          <w:rFonts w:ascii="Century Gothic" w:hAnsi="Century Gothic" w:cs="Times New Roman"/>
          <w:sz w:val="20"/>
          <w:szCs w:val="20"/>
        </w:rPr>
        <w:t xml:space="preserve"> </w:t>
      </w:r>
    </w:p>
    <w:p w:rsidR="0075081D" w:rsidRPr="00352CB3" w:rsidRDefault="0075081D" w:rsidP="00CD6BB2">
      <w:pPr>
        <w:spacing w:after="0" w:line="360" w:lineRule="auto"/>
        <w:ind w:firstLine="567"/>
        <w:jc w:val="both"/>
        <w:rPr>
          <w:rFonts w:ascii="Century Gothic" w:hAnsi="Century Gothic" w:cs="Times New Roman"/>
          <w:color w:val="FF0000"/>
          <w:sz w:val="20"/>
          <w:szCs w:val="20"/>
        </w:rPr>
      </w:pPr>
      <w:r w:rsidRPr="00352CB3">
        <w:rPr>
          <w:rFonts w:ascii="Century Gothic" w:hAnsi="Century Gothic" w:cs="Times New Roman"/>
          <w:sz w:val="20"/>
          <w:szCs w:val="20"/>
        </w:rPr>
        <w:t xml:space="preserve">Berdasarkan </w:t>
      </w:r>
      <w:r w:rsidR="0025142E" w:rsidRPr="00352CB3">
        <w:rPr>
          <w:rFonts w:ascii="Century Gothic" w:hAnsi="Century Gothic" w:cs="Times New Roman"/>
          <w:sz w:val="20"/>
          <w:szCs w:val="20"/>
        </w:rPr>
        <w:t>pemap</w:t>
      </w:r>
      <w:r w:rsidR="00177762" w:rsidRPr="00352CB3">
        <w:rPr>
          <w:rFonts w:ascii="Century Gothic" w:hAnsi="Century Gothic" w:cs="Times New Roman"/>
          <w:sz w:val="20"/>
          <w:szCs w:val="20"/>
        </w:rPr>
        <w:t xml:space="preserve">aran hasil penelitian </w:t>
      </w:r>
      <w:r w:rsidR="007F49E0">
        <w:rPr>
          <w:rFonts w:ascii="Century Gothic" w:hAnsi="Century Gothic" w:cs="Times New Roman"/>
          <w:sz w:val="20"/>
          <w:szCs w:val="20"/>
        </w:rPr>
        <w:t>di atas,</w:t>
      </w:r>
      <w:r w:rsidR="00177762" w:rsidRPr="00352CB3">
        <w:rPr>
          <w:rFonts w:ascii="Century Gothic" w:hAnsi="Century Gothic" w:cs="Times New Roman"/>
          <w:sz w:val="20"/>
          <w:szCs w:val="20"/>
        </w:rPr>
        <w:t xml:space="preserve"> menunjukan bahwa sekolah yang melaksanakan PLC memiliki dampak yang lebih </w:t>
      </w:r>
      <w:r w:rsidR="00243C4C">
        <w:rPr>
          <w:rFonts w:ascii="Century Gothic" w:hAnsi="Century Gothic" w:cs="Times New Roman"/>
          <w:sz w:val="20"/>
          <w:szCs w:val="20"/>
        </w:rPr>
        <w:t xml:space="preserve">positif terhadap kualitas guru </w:t>
      </w:r>
      <w:r w:rsidR="00243C4C" w:rsidRPr="00243C4C">
        <w:rPr>
          <w:rFonts w:ascii="Century Gothic" w:hAnsi="Century Gothic" w:cs="Times New Roman"/>
          <w:sz w:val="20"/>
          <w:szCs w:val="20"/>
        </w:rPr>
        <w:t>(Payne, AA, &amp; Gottfredson, 2003). A</w:t>
      </w:r>
      <w:r w:rsidR="00177762" w:rsidRPr="00243C4C">
        <w:rPr>
          <w:rFonts w:ascii="Century Gothic" w:hAnsi="Century Gothic" w:cs="Times New Roman"/>
          <w:sz w:val="20"/>
          <w:szCs w:val="20"/>
        </w:rPr>
        <w:t>kan tetapi dari paparan penelitian tersebut belum dijabarkan secara</w:t>
      </w:r>
      <w:r w:rsidR="00177762" w:rsidRPr="00352CB3">
        <w:rPr>
          <w:rFonts w:ascii="Century Gothic" w:hAnsi="Century Gothic" w:cs="Times New Roman"/>
          <w:sz w:val="20"/>
          <w:szCs w:val="20"/>
        </w:rPr>
        <w:t xml:space="preserve"> detail </w:t>
      </w:r>
      <w:r w:rsidR="004827A2">
        <w:rPr>
          <w:rFonts w:ascii="Century Gothic" w:hAnsi="Century Gothic" w:cs="Times New Roman"/>
          <w:sz w:val="20"/>
          <w:szCs w:val="20"/>
        </w:rPr>
        <w:t>bagaimana program-program PLC diimplementasikan pada sekolah dasar</w:t>
      </w:r>
      <w:r w:rsidR="00177762" w:rsidRPr="00352CB3">
        <w:rPr>
          <w:rFonts w:ascii="Century Gothic" w:hAnsi="Century Gothic" w:cs="Times New Roman"/>
          <w:sz w:val="20"/>
          <w:szCs w:val="20"/>
        </w:rPr>
        <w:t>. Berdasarkan hal tersebut, dalam penelitian ini peneliti melakukan survey terhadap PLC yang</w:t>
      </w:r>
      <w:r w:rsidR="009F4B47">
        <w:rPr>
          <w:rFonts w:ascii="Century Gothic" w:hAnsi="Century Gothic" w:cs="Times New Roman"/>
          <w:sz w:val="20"/>
          <w:szCs w:val="20"/>
        </w:rPr>
        <w:t xml:space="preserve"> diimplementasikan pada</w:t>
      </w:r>
      <w:r w:rsidR="00177762" w:rsidRPr="00352CB3">
        <w:rPr>
          <w:rFonts w:ascii="Century Gothic" w:hAnsi="Century Gothic" w:cs="Times New Roman"/>
          <w:sz w:val="20"/>
          <w:szCs w:val="20"/>
        </w:rPr>
        <w:t xml:space="preserve"> sekolah dasar</w:t>
      </w:r>
      <w:r w:rsidR="009F4B47">
        <w:rPr>
          <w:rFonts w:ascii="Century Gothic" w:hAnsi="Century Gothic" w:cs="Times New Roman"/>
          <w:sz w:val="20"/>
          <w:szCs w:val="20"/>
        </w:rPr>
        <w:t xml:space="preserve"> di Indonesia sehingga dapat dijadikan dasar untuk pengembangan desain program PLC yang dapat dilaksanakan oleh para guru</w:t>
      </w:r>
      <w:r w:rsidR="00177762" w:rsidRPr="00352CB3">
        <w:rPr>
          <w:rFonts w:ascii="Century Gothic" w:hAnsi="Century Gothic" w:cs="Times New Roman"/>
          <w:sz w:val="20"/>
          <w:szCs w:val="20"/>
        </w:rPr>
        <w:t xml:space="preserve">. </w:t>
      </w:r>
      <w:r w:rsidR="009F4B47" w:rsidRPr="00352CB3">
        <w:rPr>
          <w:rFonts w:ascii="Century Gothic" w:hAnsi="Century Gothic" w:cs="Times New Roman"/>
          <w:color w:val="000000"/>
          <w:sz w:val="20"/>
          <w:szCs w:val="20"/>
        </w:rPr>
        <w:t xml:space="preserve">Fokus </w:t>
      </w:r>
      <w:r w:rsidR="0025142E" w:rsidRPr="00352CB3">
        <w:rPr>
          <w:rFonts w:ascii="Century Gothic" w:hAnsi="Century Gothic" w:cs="Times New Roman"/>
          <w:color w:val="000000"/>
          <w:sz w:val="20"/>
          <w:szCs w:val="20"/>
        </w:rPr>
        <w:t xml:space="preserve">kajian pada penelitian </w:t>
      </w:r>
      <w:r w:rsidR="00177762" w:rsidRPr="00352CB3">
        <w:rPr>
          <w:rFonts w:ascii="Century Gothic" w:hAnsi="Century Gothic" w:cs="Times New Roman"/>
          <w:color w:val="000000"/>
          <w:sz w:val="20"/>
          <w:szCs w:val="20"/>
        </w:rPr>
        <w:t xml:space="preserve">ini </w:t>
      </w:r>
      <w:r w:rsidR="0025142E" w:rsidRPr="00352CB3">
        <w:rPr>
          <w:rFonts w:ascii="Century Gothic" w:hAnsi="Century Gothic" w:cs="Times New Roman"/>
          <w:color w:val="000000"/>
          <w:sz w:val="20"/>
          <w:szCs w:val="20"/>
        </w:rPr>
        <w:t xml:space="preserve">yaitu mengenai implementasi </w:t>
      </w:r>
      <w:r w:rsidR="0025142E" w:rsidRPr="00352CB3">
        <w:rPr>
          <w:rFonts w:ascii="Century Gothic" w:hAnsi="Century Gothic" w:cs="Times New Roman"/>
          <w:i/>
          <w:color w:val="000000"/>
          <w:sz w:val="20"/>
          <w:szCs w:val="20"/>
        </w:rPr>
        <w:t xml:space="preserve">Professional </w:t>
      </w:r>
      <w:r w:rsidR="0025142E" w:rsidRPr="00352CB3">
        <w:rPr>
          <w:rFonts w:ascii="Century Gothic" w:hAnsi="Century Gothic" w:cs="Times New Roman"/>
          <w:i/>
          <w:color w:val="000000"/>
          <w:sz w:val="20"/>
          <w:szCs w:val="20"/>
        </w:rPr>
        <w:lastRenderedPageBreak/>
        <w:t>Learning Community</w:t>
      </w:r>
      <w:r w:rsidR="0025142E" w:rsidRPr="00352CB3">
        <w:rPr>
          <w:rFonts w:ascii="Century Gothic" w:hAnsi="Century Gothic" w:cs="Times New Roman"/>
          <w:color w:val="000000"/>
          <w:sz w:val="20"/>
          <w:szCs w:val="20"/>
        </w:rPr>
        <w:t xml:space="preserve"> (PLC) di sekolah dasar</w:t>
      </w:r>
      <w:r w:rsidR="009F4B47">
        <w:rPr>
          <w:rFonts w:ascii="Century Gothic" w:hAnsi="Century Gothic" w:cs="Times New Roman"/>
          <w:color w:val="000000"/>
          <w:sz w:val="20"/>
          <w:szCs w:val="20"/>
        </w:rPr>
        <w:t xml:space="preserve"> dengan rumusan masalah</w:t>
      </w:r>
      <w:r w:rsidR="0025142E" w:rsidRPr="00352CB3">
        <w:rPr>
          <w:rFonts w:ascii="Century Gothic" w:hAnsi="Century Gothic" w:cs="Times New Roman"/>
          <w:color w:val="000000"/>
          <w:sz w:val="20"/>
          <w:szCs w:val="20"/>
        </w:rPr>
        <w:t xml:space="preserve"> </w:t>
      </w:r>
      <w:r w:rsidR="009F4B47">
        <w:rPr>
          <w:rFonts w:ascii="Century Gothic" w:hAnsi="Century Gothic" w:cs="Times New Roman"/>
          <w:color w:val="000000"/>
          <w:sz w:val="20"/>
          <w:szCs w:val="20"/>
        </w:rPr>
        <w:t>sebagai berikut</w:t>
      </w:r>
      <w:r w:rsidR="0025142E" w:rsidRPr="00352CB3">
        <w:rPr>
          <w:rFonts w:ascii="Century Gothic" w:hAnsi="Century Gothic" w:cs="Times New Roman"/>
          <w:color w:val="000000"/>
          <w:sz w:val="20"/>
          <w:szCs w:val="20"/>
        </w:rPr>
        <w:t>:</w:t>
      </w:r>
    </w:p>
    <w:p w:rsidR="0075081D" w:rsidRPr="00352CB3" w:rsidRDefault="0075081D" w:rsidP="008F0C3F">
      <w:pPr>
        <w:pStyle w:val="ListParagraph"/>
        <w:numPr>
          <w:ilvl w:val="0"/>
          <w:numId w:val="1"/>
        </w:numPr>
        <w:spacing w:after="0" w:line="360" w:lineRule="auto"/>
        <w:ind w:left="426"/>
        <w:jc w:val="both"/>
        <w:rPr>
          <w:rFonts w:ascii="Century Gothic" w:hAnsi="Century Gothic" w:cs="Times New Roman"/>
          <w:sz w:val="20"/>
          <w:szCs w:val="20"/>
        </w:rPr>
      </w:pPr>
      <w:r w:rsidRPr="00352CB3">
        <w:rPr>
          <w:rFonts w:ascii="Century Gothic" w:hAnsi="Century Gothic" w:cs="Times New Roman"/>
          <w:sz w:val="20"/>
          <w:szCs w:val="20"/>
        </w:rPr>
        <w:t xml:space="preserve">Bagaimana implementasi </w:t>
      </w:r>
      <w:r w:rsidRPr="00352CB3">
        <w:rPr>
          <w:rFonts w:ascii="Century Gothic" w:hAnsi="Century Gothic" w:cs="Times New Roman"/>
          <w:i/>
          <w:color w:val="000000"/>
          <w:sz w:val="20"/>
          <w:szCs w:val="20"/>
        </w:rPr>
        <w:t>Professional Learning Community</w:t>
      </w:r>
      <w:r w:rsidRPr="00352CB3">
        <w:rPr>
          <w:rFonts w:ascii="Century Gothic" w:hAnsi="Century Gothic" w:cs="Times New Roman"/>
          <w:color w:val="000000"/>
          <w:sz w:val="20"/>
          <w:szCs w:val="20"/>
        </w:rPr>
        <w:t xml:space="preserve"> (PLC) yang meliputi sosialisasi, komunikasi</w:t>
      </w:r>
      <w:r w:rsidRPr="00352CB3">
        <w:rPr>
          <w:rFonts w:ascii="Century Gothic" w:hAnsi="Century Gothic" w:cs="Times New Roman"/>
          <w:sz w:val="20"/>
          <w:szCs w:val="20"/>
          <w:lang w:val="af-ZA"/>
        </w:rPr>
        <w:t>, pemahaman, kepatuhan dan kepatutan PLC serta kekuatan dan kelemahan PLC</w:t>
      </w:r>
      <w:r w:rsidRPr="00352CB3">
        <w:rPr>
          <w:rFonts w:ascii="Century Gothic" w:hAnsi="Century Gothic" w:cs="Times New Roman"/>
          <w:color w:val="000000"/>
          <w:sz w:val="20"/>
          <w:szCs w:val="20"/>
        </w:rPr>
        <w:t xml:space="preserve"> pada sekolah dasar di Kabupaten Sumedang?</w:t>
      </w:r>
    </w:p>
    <w:p w:rsidR="008D1534" w:rsidRPr="00352CB3" w:rsidRDefault="0075081D" w:rsidP="008F0C3F">
      <w:pPr>
        <w:pStyle w:val="ListParagraph"/>
        <w:numPr>
          <w:ilvl w:val="0"/>
          <w:numId w:val="1"/>
        </w:numPr>
        <w:spacing w:after="0" w:line="360" w:lineRule="auto"/>
        <w:ind w:left="426"/>
        <w:jc w:val="both"/>
        <w:rPr>
          <w:rFonts w:ascii="Century Gothic" w:hAnsi="Century Gothic" w:cs="Times New Roman"/>
          <w:sz w:val="20"/>
          <w:szCs w:val="20"/>
        </w:rPr>
      </w:pPr>
      <w:r w:rsidRPr="00352CB3">
        <w:rPr>
          <w:rFonts w:ascii="Century Gothic" w:hAnsi="Century Gothic" w:cs="Times New Roman"/>
          <w:color w:val="000000"/>
          <w:sz w:val="20"/>
          <w:szCs w:val="20"/>
        </w:rPr>
        <w:t xml:space="preserve">Bagaimana program-program </w:t>
      </w:r>
      <w:r w:rsidRPr="00352CB3">
        <w:rPr>
          <w:rFonts w:ascii="Century Gothic" w:hAnsi="Century Gothic" w:cs="Times New Roman"/>
          <w:i/>
          <w:color w:val="000000"/>
          <w:sz w:val="20"/>
          <w:szCs w:val="20"/>
        </w:rPr>
        <w:t>Professional Learning Community</w:t>
      </w:r>
      <w:r w:rsidRPr="00352CB3">
        <w:rPr>
          <w:rFonts w:ascii="Century Gothic" w:hAnsi="Century Gothic" w:cs="Times New Roman"/>
          <w:color w:val="000000"/>
          <w:sz w:val="20"/>
          <w:szCs w:val="20"/>
        </w:rPr>
        <w:t xml:space="preserve"> (PLC) meliputi </w:t>
      </w:r>
      <w:r w:rsidRPr="00352CB3">
        <w:rPr>
          <w:rFonts w:ascii="Century Gothic" w:hAnsi="Century Gothic" w:cs="Times New Roman"/>
          <w:sz w:val="20"/>
          <w:szCs w:val="20"/>
          <w:lang w:val="af-ZA"/>
        </w:rPr>
        <w:t xml:space="preserve">definisi, tujuan, sasaran, </w:t>
      </w:r>
      <w:r w:rsidRPr="00352CB3">
        <w:rPr>
          <w:rFonts w:ascii="Century Gothic" w:hAnsi="Century Gothic" w:cs="Times New Roman"/>
          <w:color w:val="000000"/>
          <w:sz w:val="20"/>
          <w:szCs w:val="20"/>
        </w:rPr>
        <w:t>jenis, manfaat, mekanisme dan persyaratan/standar PLC bagi guru pada sekolah dasar di Kabupaten Sumedang?</w:t>
      </w:r>
    </w:p>
    <w:p w:rsidR="00F85D5F" w:rsidRPr="00352CB3" w:rsidRDefault="0025142E" w:rsidP="00CD6BB2">
      <w:pPr>
        <w:spacing w:after="0" w:line="360" w:lineRule="auto"/>
        <w:ind w:firstLine="567"/>
        <w:jc w:val="both"/>
        <w:rPr>
          <w:rFonts w:ascii="Century Gothic" w:hAnsi="Century Gothic" w:cs="Times New Roman"/>
          <w:sz w:val="20"/>
          <w:szCs w:val="20"/>
        </w:rPr>
      </w:pPr>
      <w:r w:rsidRPr="00352CB3">
        <w:rPr>
          <w:rFonts w:ascii="Century Gothic" w:hAnsi="Century Gothic" w:cs="Times New Roman"/>
          <w:sz w:val="20"/>
          <w:szCs w:val="20"/>
        </w:rPr>
        <w:t>Adapun tujuan dilaksanakannya penelitian ini s</w:t>
      </w:r>
      <w:r w:rsidR="00F85D5F" w:rsidRPr="00352CB3">
        <w:rPr>
          <w:rFonts w:ascii="Century Gothic" w:hAnsi="Century Gothic" w:cs="Times New Roman"/>
          <w:sz w:val="20"/>
          <w:szCs w:val="20"/>
        </w:rPr>
        <w:t xml:space="preserve">ecara </w:t>
      </w:r>
      <w:r w:rsidRPr="00352CB3">
        <w:rPr>
          <w:rFonts w:ascii="Century Gothic" w:hAnsi="Century Gothic" w:cs="Times New Roman"/>
          <w:sz w:val="20"/>
          <w:szCs w:val="20"/>
        </w:rPr>
        <w:t xml:space="preserve">generalisasi </w:t>
      </w:r>
      <w:r w:rsidR="00F85D5F" w:rsidRPr="00352CB3">
        <w:rPr>
          <w:rFonts w:ascii="Century Gothic" w:hAnsi="Century Gothic" w:cs="Times New Roman"/>
          <w:sz w:val="20"/>
          <w:szCs w:val="20"/>
        </w:rPr>
        <w:t xml:space="preserve">bertujuan untuk memperoleh desain program </w:t>
      </w:r>
      <w:r w:rsidR="00F85D5F" w:rsidRPr="00352CB3">
        <w:rPr>
          <w:rFonts w:ascii="Century Gothic" w:hAnsi="Century Gothic" w:cs="Times New Roman"/>
          <w:i/>
          <w:color w:val="000000"/>
          <w:sz w:val="20"/>
          <w:szCs w:val="20"/>
        </w:rPr>
        <w:t>Professional Learning Community</w:t>
      </w:r>
      <w:r w:rsidR="00F85D5F" w:rsidRPr="00352CB3">
        <w:rPr>
          <w:rFonts w:ascii="Century Gothic" w:hAnsi="Century Gothic" w:cs="Times New Roman"/>
          <w:color w:val="000000"/>
          <w:sz w:val="20"/>
          <w:szCs w:val="20"/>
        </w:rPr>
        <w:t xml:space="preserve"> (PLC) pada sekolah dasar di Kabupaten Sumedang dan </w:t>
      </w:r>
      <w:r w:rsidRPr="00352CB3">
        <w:rPr>
          <w:rFonts w:ascii="Century Gothic" w:hAnsi="Century Gothic" w:cs="Times New Roman"/>
          <w:color w:val="000000"/>
          <w:sz w:val="20"/>
          <w:szCs w:val="20"/>
        </w:rPr>
        <w:t>tujuan</w:t>
      </w:r>
      <w:r w:rsidR="00F85D5F" w:rsidRPr="00352CB3">
        <w:rPr>
          <w:rFonts w:ascii="Century Gothic" w:hAnsi="Century Gothic" w:cs="Times New Roman"/>
          <w:color w:val="000000"/>
          <w:sz w:val="20"/>
          <w:szCs w:val="20"/>
        </w:rPr>
        <w:t xml:space="preserve"> khusus penelitian ini </w:t>
      </w:r>
      <w:r w:rsidRPr="00352CB3">
        <w:rPr>
          <w:rFonts w:ascii="Century Gothic" w:hAnsi="Century Gothic" w:cs="Times New Roman"/>
          <w:color w:val="000000"/>
          <w:sz w:val="20"/>
          <w:szCs w:val="20"/>
        </w:rPr>
        <w:t>yaitu</w:t>
      </w:r>
      <w:r w:rsidR="00F85D5F" w:rsidRPr="00352CB3">
        <w:rPr>
          <w:rFonts w:ascii="Century Gothic" w:hAnsi="Century Gothic" w:cs="Times New Roman"/>
          <w:color w:val="000000"/>
          <w:sz w:val="20"/>
          <w:szCs w:val="20"/>
        </w:rPr>
        <w:t xml:space="preserve"> untuk menghasilkan </w:t>
      </w:r>
      <w:r w:rsidRPr="00352CB3">
        <w:rPr>
          <w:rFonts w:ascii="Century Gothic" w:hAnsi="Century Gothic" w:cs="Times New Roman"/>
          <w:color w:val="000000"/>
          <w:sz w:val="20"/>
          <w:szCs w:val="20"/>
        </w:rPr>
        <w:t xml:space="preserve">jawaban atas </w:t>
      </w:r>
      <w:r w:rsidR="00F85D5F" w:rsidRPr="00352CB3">
        <w:rPr>
          <w:rFonts w:ascii="Century Gothic" w:hAnsi="Century Gothic" w:cs="Times New Roman"/>
          <w:color w:val="000000"/>
          <w:sz w:val="20"/>
          <w:szCs w:val="20"/>
        </w:rPr>
        <w:t xml:space="preserve">rumusan-rumusan </w:t>
      </w:r>
      <w:r w:rsidRPr="00352CB3">
        <w:rPr>
          <w:rFonts w:ascii="Century Gothic" w:hAnsi="Century Gothic" w:cs="Times New Roman"/>
          <w:color w:val="000000"/>
          <w:sz w:val="20"/>
          <w:szCs w:val="20"/>
        </w:rPr>
        <w:t xml:space="preserve">masalah yang diajukan sebagai </w:t>
      </w:r>
      <w:r w:rsidR="00F85D5F" w:rsidRPr="00352CB3">
        <w:rPr>
          <w:rFonts w:ascii="Century Gothic" w:hAnsi="Century Gothic" w:cs="Times New Roman"/>
          <w:color w:val="000000"/>
          <w:sz w:val="20"/>
          <w:szCs w:val="20"/>
        </w:rPr>
        <w:t>berikut:</w:t>
      </w:r>
    </w:p>
    <w:p w:rsidR="00F85D5F" w:rsidRPr="00352CB3" w:rsidRDefault="00F85D5F" w:rsidP="008F0C3F">
      <w:pPr>
        <w:pStyle w:val="ListParagraph"/>
        <w:numPr>
          <w:ilvl w:val="0"/>
          <w:numId w:val="7"/>
        </w:numPr>
        <w:spacing w:after="0" w:line="360" w:lineRule="auto"/>
        <w:ind w:left="360"/>
        <w:jc w:val="both"/>
        <w:rPr>
          <w:rFonts w:ascii="Century Gothic" w:hAnsi="Century Gothic"/>
          <w:sz w:val="20"/>
          <w:szCs w:val="20"/>
        </w:rPr>
      </w:pPr>
      <w:r w:rsidRPr="00352CB3">
        <w:rPr>
          <w:rFonts w:ascii="Century Gothic" w:hAnsi="Century Gothic" w:cs="Times New Roman"/>
          <w:color w:val="000000"/>
          <w:sz w:val="20"/>
          <w:szCs w:val="20"/>
        </w:rPr>
        <w:t xml:space="preserve">Teranalisanya implementasi </w:t>
      </w:r>
      <w:r w:rsidRPr="00352CB3">
        <w:rPr>
          <w:rFonts w:ascii="Century Gothic" w:hAnsi="Century Gothic" w:cs="Times New Roman"/>
          <w:i/>
          <w:color w:val="000000"/>
          <w:sz w:val="20"/>
          <w:szCs w:val="20"/>
        </w:rPr>
        <w:t>Professional Learning Community</w:t>
      </w:r>
      <w:r w:rsidRPr="00352CB3">
        <w:rPr>
          <w:rFonts w:ascii="Century Gothic" w:hAnsi="Century Gothic" w:cs="Times New Roman"/>
          <w:color w:val="000000"/>
          <w:sz w:val="20"/>
          <w:szCs w:val="20"/>
        </w:rPr>
        <w:t xml:space="preserve"> (PLC) meliputi sosialisasi, komunikasi</w:t>
      </w:r>
      <w:r w:rsidRPr="00352CB3">
        <w:rPr>
          <w:rFonts w:ascii="Century Gothic" w:hAnsi="Century Gothic" w:cs="Times New Roman"/>
          <w:sz w:val="20"/>
          <w:szCs w:val="20"/>
          <w:lang w:val="af-ZA"/>
        </w:rPr>
        <w:t>, pemahaman, kepatuhan dan kepatutan PLC</w:t>
      </w:r>
      <w:r w:rsidRPr="00352CB3">
        <w:rPr>
          <w:rFonts w:ascii="Century Gothic" w:hAnsi="Century Gothic" w:cs="Times New Roman"/>
          <w:color w:val="000000"/>
          <w:sz w:val="20"/>
          <w:szCs w:val="20"/>
        </w:rPr>
        <w:t xml:space="preserve"> serta </w:t>
      </w:r>
      <w:r w:rsidRPr="00352CB3">
        <w:rPr>
          <w:rFonts w:ascii="Century Gothic" w:hAnsi="Century Gothic" w:cs="Times New Roman"/>
          <w:sz w:val="20"/>
          <w:szCs w:val="20"/>
          <w:lang w:val="af-ZA"/>
        </w:rPr>
        <w:t>kekuatan dan kelemahan PLC,</w:t>
      </w:r>
      <w:r w:rsidRPr="00352CB3">
        <w:rPr>
          <w:rFonts w:ascii="Century Gothic" w:hAnsi="Century Gothic" w:cs="Times New Roman"/>
          <w:color w:val="000000"/>
          <w:sz w:val="20"/>
          <w:szCs w:val="20"/>
        </w:rPr>
        <w:t xml:space="preserve"> pada sekolah dasar di Kabupaten Sumedang.</w:t>
      </w:r>
    </w:p>
    <w:p w:rsidR="00F85D5F" w:rsidRPr="00352CB3" w:rsidRDefault="00F85D5F" w:rsidP="008F0C3F">
      <w:pPr>
        <w:pStyle w:val="ListParagraph"/>
        <w:numPr>
          <w:ilvl w:val="0"/>
          <w:numId w:val="7"/>
        </w:numPr>
        <w:spacing w:after="0" w:line="360" w:lineRule="auto"/>
        <w:ind w:left="360"/>
        <w:jc w:val="both"/>
        <w:rPr>
          <w:rFonts w:ascii="Century Gothic" w:hAnsi="Century Gothic"/>
          <w:sz w:val="20"/>
          <w:szCs w:val="20"/>
        </w:rPr>
      </w:pPr>
      <w:r w:rsidRPr="00352CB3">
        <w:rPr>
          <w:rFonts w:ascii="Century Gothic" w:hAnsi="Century Gothic" w:cs="Times New Roman"/>
          <w:sz w:val="20"/>
          <w:szCs w:val="20"/>
          <w:lang w:val="af-ZA"/>
        </w:rPr>
        <w:t>Terdeskripsikannya</w:t>
      </w:r>
      <w:r w:rsidRPr="00352CB3">
        <w:rPr>
          <w:rFonts w:ascii="Century Gothic" w:hAnsi="Century Gothic" w:cs="Times New Roman"/>
          <w:color w:val="000000"/>
          <w:sz w:val="20"/>
          <w:szCs w:val="20"/>
        </w:rPr>
        <w:t xml:space="preserve"> program-program </w:t>
      </w:r>
      <w:r w:rsidRPr="00352CB3">
        <w:rPr>
          <w:rFonts w:ascii="Century Gothic" w:hAnsi="Century Gothic" w:cs="Times New Roman"/>
          <w:i/>
          <w:color w:val="000000"/>
          <w:sz w:val="20"/>
          <w:szCs w:val="20"/>
        </w:rPr>
        <w:t>Professional Learning Community</w:t>
      </w:r>
      <w:r w:rsidRPr="00352CB3">
        <w:rPr>
          <w:rFonts w:ascii="Century Gothic" w:hAnsi="Century Gothic" w:cs="Times New Roman"/>
          <w:color w:val="000000"/>
          <w:sz w:val="20"/>
          <w:szCs w:val="20"/>
        </w:rPr>
        <w:t xml:space="preserve"> (PLC) meliputi </w:t>
      </w:r>
      <w:r w:rsidRPr="00352CB3">
        <w:rPr>
          <w:rFonts w:ascii="Century Gothic" w:hAnsi="Century Gothic" w:cs="Times New Roman"/>
          <w:sz w:val="20"/>
          <w:szCs w:val="20"/>
          <w:lang w:val="af-ZA"/>
        </w:rPr>
        <w:t xml:space="preserve">definisi, tujuan, sasaran, </w:t>
      </w:r>
      <w:r w:rsidRPr="00352CB3">
        <w:rPr>
          <w:rFonts w:ascii="Century Gothic" w:hAnsi="Century Gothic" w:cs="Times New Roman"/>
          <w:color w:val="000000"/>
          <w:sz w:val="20"/>
          <w:szCs w:val="20"/>
        </w:rPr>
        <w:t xml:space="preserve">jenis, manfaat, mekanisme dan </w:t>
      </w:r>
      <w:r w:rsidRPr="00352CB3">
        <w:rPr>
          <w:rFonts w:ascii="Century Gothic" w:hAnsi="Century Gothic" w:cs="Times New Roman"/>
          <w:color w:val="000000"/>
          <w:sz w:val="20"/>
          <w:szCs w:val="20"/>
        </w:rPr>
        <w:lastRenderedPageBreak/>
        <w:t>persyaratan/standar PLC bagi guru pada sekolah dasar di Kabupaten Sumedang.</w:t>
      </w:r>
    </w:p>
    <w:p w:rsidR="008D1534" w:rsidRPr="00352CB3" w:rsidRDefault="008D1534" w:rsidP="008F0C3F">
      <w:pPr>
        <w:spacing w:after="0" w:line="360" w:lineRule="auto"/>
        <w:jc w:val="both"/>
        <w:rPr>
          <w:rFonts w:ascii="Century Gothic" w:hAnsi="Century Gothic" w:cs="Times New Roman"/>
          <w:sz w:val="20"/>
          <w:szCs w:val="20"/>
        </w:rPr>
      </w:pPr>
    </w:p>
    <w:p w:rsidR="0075081D" w:rsidRPr="00352CB3" w:rsidRDefault="0075081D" w:rsidP="008F0C3F">
      <w:pPr>
        <w:spacing w:after="0" w:line="360" w:lineRule="auto"/>
        <w:rPr>
          <w:rFonts w:ascii="Century Gothic" w:hAnsi="Century Gothic"/>
          <w:b/>
          <w:sz w:val="20"/>
          <w:szCs w:val="20"/>
        </w:rPr>
      </w:pPr>
      <w:r w:rsidRPr="00352CB3">
        <w:rPr>
          <w:rFonts w:ascii="Century Gothic" w:hAnsi="Century Gothic"/>
          <w:b/>
          <w:sz w:val="20"/>
          <w:szCs w:val="20"/>
        </w:rPr>
        <w:t>Metode</w:t>
      </w:r>
    </w:p>
    <w:p w:rsidR="00EF718F" w:rsidRDefault="00F85D5F" w:rsidP="0050357C">
      <w:pPr>
        <w:pStyle w:val="ListParagraph"/>
        <w:spacing w:after="0" w:line="360" w:lineRule="auto"/>
        <w:ind w:left="0"/>
        <w:jc w:val="both"/>
        <w:rPr>
          <w:rFonts w:ascii="Century Gothic" w:hAnsi="Century Gothic" w:cs="Times New Roman"/>
          <w:sz w:val="20"/>
          <w:szCs w:val="20"/>
        </w:rPr>
      </w:pPr>
      <w:r w:rsidRPr="00352CB3">
        <w:rPr>
          <w:rFonts w:ascii="Century Gothic" w:hAnsi="Century Gothic" w:cs="Times New Roman"/>
          <w:sz w:val="20"/>
          <w:szCs w:val="20"/>
        </w:rPr>
        <w:t xml:space="preserve">Penelitian </w:t>
      </w:r>
      <w:r w:rsidR="00D1031A" w:rsidRPr="00352CB3">
        <w:rPr>
          <w:rFonts w:ascii="Century Gothic" w:hAnsi="Century Gothic" w:cs="Times New Roman"/>
          <w:sz w:val="20"/>
          <w:szCs w:val="20"/>
        </w:rPr>
        <w:t>yang dipilih untuk mengatasi permasalahan yang muncul yaitu</w:t>
      </w:r>
      <w:r w:rsidRPr="00352CB3">
        <w:rPr>
          <w:rFonts w:ascii="Century Gothic" w:hAnsi="Century Gothic" w:cs="Times New Roman"/>
          <w:sz w:val="20"/>
          <w:szCs w:val="20"/>
        </w:rPr>
        <w:t xml:space="preserve"> metode deskriptif dengan pendekatan survey. </w:t>
      </w:r>
      <w:r w:rsidR="00A25F0A" w:rsidRPr="00352CB3">
        <w:rPr>
          <w:rFonts w:ascii="Century Gothic" w:hAnsi="Century Gothic" w:cs="Times New Roman"/>
          <w:sz w:val="20"/>
          <w:szCs w:val="20"/>
        </w:rPr>
        <w:t xml:space="preserve">Berkaitan dengan populasi dari penelitian yang memiliki skala besar dan membutuhkan waktu yang </w:t>
      </w:r>
      <w:r w:rsidR="00D1031A" w:rsidRPr="00352CB3">
        <w:rPr>
          <w:rFonts w:ascii="Century Gothic" w:hAnsi="Century Gothic" w:cs="Times New Roman"/>
          <w:sz w:val="20"/>
          <w:szCs w:val="20"/>
        </w:rPr>
        <w:t>cukup untuk</w:t>
      </w:r>
      <w:r w:rsidR="00A25F0A" w:rsidRPr="00352CB3">
        <w:rPr>
          <w:rFonts w:ascii="Century Gothic" w:hAnsi="Century Gothic" w:cs="Times New Roman"/>
          <w:sz w:val="20"/>
          <w:szCs w:val="20"/>
        </w:rPr>
        <w:t xml:space="preserve"> melakukan penilaian terhadap kondisi implementasi fokus penelitian maka alasan penggunaan pendekatan survey dinilai sangat tepat, terlebih lagi penggunaan metode pendekatan survey ini bertujuan untuk mengambil peristiwa secara langsung dan merujuk pada asas apa adanya agar pengambilan data objektif dan tidak mengada-ngada</w:t>
      </w:r>
      <w:r w:rsidR="00A76ECE">
        <w:rPr>
          <w:rFonts w:ascii="Century Gothic" w:hAnsi="Century Gothic" w:cs="Times New Roman"/>
          <w:sz w:val="20"/>
          <w:szCs w:val="20"/>
        </w:rPr>
        <w:t xml:space="preserve"> (Permana, 2016)</w:t>
      </w:r>
      <w:r w:rsidR="00A25F0A" w:rsidRPr="00352CB3">
        <w:rPr>
          <w:rFonts w:ascii="Century Gothic" w:hAnsi="Century Gothic" w:cs="Times New Roman"/>
          <w:sz w:val="20"/>
          <w:szCs w:val="20"/>
        </w:rPr>
        <w:t xml:space="preserve">. Waktu yang diambil untuk melakukan penelitian ini yaitu sekitar 7 bulan yang dimulai dari bulan april hingga oktober 2019. Adapun pemilihan lokasi </w:t>
      </w:r>
      <w:r w:rsidR="00D1031A" w:rsidRPr="00352CB3">
        <w:rPr>
          <w:rFonts w:ascii="Century Gothic" w:hAnsi="Century Gothic" w:cs="Times New Roman"/>
          <w:sz w:val="20"/>
          <w:szCs w:val="20"/>
        </w:rPr>
        <w:t>tertuju</w:t>
      </w:r>
      <w:r w:rsidR="00A25F0A" w:rsidRPr="00352CB3">
        <w:rPr>
          <w:rFonts w:ascii="Century Gothic" w:hAnsi="Century Gothic" w:cs="Times New Roman"/>
          <w:sz w:val="20"/>
          <w:szCs w:val="20"/>
        </w:rPr>
        <w:t xml:space="preserve"> pada sekolah dasar yang ada di Kabupaten Sumedang dengan penentuan sampel lokasi penelitian dilakukan secara acak atau random. Berdasarkan hasil penentuan lokasi </w:t>
      </w:r>
      <w:r w:rsidR="00D1031A" w:rsidRPr="00352CB3">
        <w:rPr>
          <w:rFonts w:ascii="Century Gothic" w:hAnsi="Century Gothic" w:cs="Times New Roman"/>
          <w:sz w:val="20"/>
          <w:szCs w:val="20"/>
        </w:rPr>
        <w:t xml:space="preserve">itu pula </w:t>
      </w:r>
      <w:r w:rsidR="00A25F0A" w:rsidRPr="00352CB3">
        <w:rPr>
          <w:rFonts w:ascii="Century Gothic" w:hAnsi="Century Gothic" w:cs="Times New Roman"/>
          <w:sz w:val="20"/>
          <w:szCs w:val="20"/>
        </w:rPr>
        <w:t xml:space="preserve">maka diperoleh subjek penelitian </w:t>
      </w:r>
      <w:r w:rsidR="00D1031A" w:rsidRPr="00352CB3">
        <w:rPr>
          <w:rFonts w:ascii="Century Gothic" w:hAnsi="Century Gothic" w:cs="Times New Roman"/>
          <w:sz w:val="20"/>
          <w:szCs w:val="20"/>
        </w:rPr>
        <w:t xml:space="preserve">yang diguanakan peneliti </w:t>
      </w:r>
      <w:r w:rsidR="00A25F0A" w:rsidRPr="00352CB3">
        <w:rPr>
          <w:rFonts w:ascii="Century Gothic" w:hAnsi="Century Gothic" w:cs="Times New Roman"/>
          <w:sz w:val="20"/>
          <w:szCs w:val="20"/>
        </w:rPr>
        <w:t>sebanyak 52 orang yang terdiri dari guru sekolah dasar di Kabupaten Sumednag, yang semuanya termasuk guru sekolah dasar dari 26 kecamatan di Kabupaten Sumedang.</w:t>
      </w:r>
      <w:r w:rsidR="008B43F8">
        <w:rPr>
          <w:rFonts w:ascii="Century Gothic" w:hAnsi="Century Gothic" w:cs="Times New Roman"/>
          <w:sz w:val="20"/>
          <w:szCs w:val="20"/>
        </w:rPr>
        <w:t xml:space="preserve"> </w:t>
      </w:r>
    </w:p>
    <w:p w:rsidR="00A76ECE" w:rsidRDefault="00A76ECE" w:rsidP="0050357C">
      <w:pPr>
        <w:pStyle w:val="ListParagraph"/>
        <w:spacing w:after="0" w:line="360" w:lineRule="auto"/>
        <w:ind w:left="0"/>
        <w:jc w:val="both"/>
        <w:rPr>
          <w:rFonts w:ascii="Century Gothic" w:hAnsi="Century Gothic" w:cs="Times New Roman"/>
          <w:sz w:val="20"/>
          <w:szCs w:val="20"/>
        </w:rPr>
      </w:pPr>
    </w:p>
    <w:p w:rsidR="00A76ECE" w:rsidRDefault="00A76ECE" w:rsidP="0050357C">
      <w:pPr>
        <w:pStyle w:val="ListParagraph"/>
        <w:spacing w:after="0" w:line="360" w:lineRule="auto"/>
        <w:ind w:left="0"/>
        <w:jc w:val="both"/>
        <w:rPr>
          <w:rFonts w:ascii="Century Gothic" w:hAnsi="Century Gothic" w:cs="Times New Roman"/>
          <w:sz w:val="20"/>
          <w:szCs w:val="20"/>
        </w:rPr>
        <w:sectPr w:rsidR="00A76ECE" w:rsidSect="00EF718F">
          <w:type w:val="continuous"/>
          <w:pgSz w:w="11907" w:h="16839" w:code="9"/>
          <w:pgMar w:top="1418" w:right="1418" w:bottom="1418" w:left="1418" w:header="720" w:footer="720" w:gutter="0"/>
          <w:cols w:num="2" w:space="720"/>
          <w:docGrid w:linePitch="360"/>
        </w:sectPr>
      </w:pPr>
    </w:p>
    <w:p w:rsidR="00D1031A" w:rsidRDefault="00D1031A" w:rsidP="00CD6BB2">
      <w:pPr>
        <w:pStyle w:val="ListParagraph"/>
        <w:spacing w:after="0" w:line="360" w:lineRule="auto"/>
        <w:ind w:left="0" w:firstLine="567"/>
        <w:jc w:val="both"/>
        <w:rPr>
          <w:rFonts w:ascii="Century Gothic" w:hAnsi="Century Gothic" w:cs="Times New Roman"/>
          <w:sz w:val="20"/>
          <w:szCs w:val="20"/>
        </w:rPr>
      </w:pPr>
    </w:p>
    <w:p w:rsidR="004853DB" w:rsidRPr="00C75D7D" w:rsidRDefault="004853DB" w:rsidP="00C75D7D">
      <w:pPr>
        <w:spacing w:after="0" w:line="360" w:lineRule="auto"/>
        <w:jc w:val="both"/>
        <w:rPr>
          <w:rFonts w:ascii="Century Gothic" w:hAnsi="Century Gothic" w:cs="Times New Roman"/>
          <w:sz w:val="20"/>
          <w:szCs w:val="20"/>
        </w:rPr>
      </w:pPr>
      <w:r w:rsidRPr="00C75D7D">
        <w:rPr>
          <w:rFonts w:ascii="Century Gothic" w:hAnsi="Century Gothic" w:cs="Times New Roman"/>
          <w:sz w:val="20"/>
          <w:szCs w:val="20"/>
        </w:rPr>
        <w:lastRenderedPageBreak/>
        <w:t>Tabel 1. Matrik Pengumpulan Data</w:t>
      </w:r>
    </w:p>
    <w:tbl>
      <w:tblPr>
        <w:tblStyle w:val="PlainTable2"/>
        <w:tblW w:w="0" w:type="auto"/>
        <w:tblLook w:val="04A0" w:firstRow="1" w:lastRow="0" w:firstColumn="1" w:lastColumn="0" w:noHBand="0" w:noVBand="1"/>
      </w:tblPr>
      <w:tblGrid>
        <w:gridCol w:w="1564"/>
        <w:gridCol w:w="2296"/>
        <w:gridCol w:w="2363"/>
        <w:gridCol w:w="3064"/>
      </w:tblGrid>
      <w:tr w:rsidR="004853DB" w:rsidRPr="00BA3FC4" w:rsidTr="00BA3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4853DB" w:rsidRPr="00BA3FC4" w:rsidRDefault="004853DB" w:rsidP="00C75D7D">
            <w:pPr>
              <w:autoSpaceDE w:val="0"/>
              <w:autoSpaceDN w:val="0"/>
              <w:adjustRightInd w:val="0"/>
              <w:spacing w:line="360" w:lineRule="auto"/>
              <w:jc w:val="center"/>
              <w:rPr>
                <w:rFonts w:ascii="Century Gothic" w:eastAsia="Times New Roman" w:hAnsi="Century Gothic"/>
                <w:b w:val="0"/>
                <w:bCs w:val="0"/>
                <w:sz w:val="20"/>
                <w:szCs w:val="20"/>
              </w:rPr>
            </w:pPr>
            <w:r w:rsidRPr="00BA3FC4">
              <w:rPr>
                <w:rFonts w:ascii="Century Gothic" w:eastAsia="Times New Roman" w:hAnsi="Century Gothic"/>
                <w:sz w:val="20"/>
                <w:szCs w:val="20"/>
              </w:rPr>
              <w:t>Tujuan</w:t>
            </w:r>
          </w:p>
        </w:tc>
        <w:tc>
          <w:tcPr>
            <w:tcW w:w="4636" w:type="dxa"/>
            <w:gridSpan w:val="2"/>
          </w:tcPr>
          <w:p w:rsidR="004853DB" w:rsidRPr="00BA3FC4" w:rsidRDefault="004853DB" w:rsidP="00C75D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b w:val="0"/>
                <w:bCs w:val="0"/>
                <w:sz w:val="20"/>
                <w:szCs w:val="20"/>
              </w:rPr>
            </w:pPr>
            <w:r w:rsidRPr="00BA3FC4">
              <w:rPr>
                <w:rFonts w:ascii="Century Gothic" w:eastAsia="Times New Roman" w:hAnsi="Century Gothic"/>
                <w:sz w:val="20"/>
                <w:szCs w:val="20"/>
              </w:rPr>
              <w:t>Data Primer</w:t>
            </w:r>
          </w:p>
        </w:tc>
        <w:tc>
          <w:tcPr>
            <w:tcW w:w="3064" w:type="dxa"/>
          </w:tcPr>
          <w:p w:rsidR="004853DB" w:rsidRPr="00BA3FC4" w:rsidRDefault="004853DB" w:rsidP="00C75D7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b w:val="0"/>
                <w:bCs w:val="0"/>
                <w:sz w:val="20"/>
                <w:szCs w:val="20"/>
              </w:rPr>
            </w:pPr>
            <w:r w:rsidRPr="00BA3FC4">
              <w:rPr>
                <w:rFonts w:ascii="Century Gothic" w:eastAsia="Times New Roman" w:hAnsi="Century Gothic"/>
                <w:sz w:val="20"/>
                <w:szCs w:val="20"/>
              </w:rPr>
              <w:t>Data Sekunder</w:t>
            </w:r>
          </w:p>
        </w:tc>
      </w:tr>
      <w:tr w:rsidR="004853DB" w:rsidRPr="00BA3FC4" w:rsidTr="00BA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4853DB" w:rsidRPr="00BA3FC4" w:rsidRDefault="004853DB" w:rsidP="00C75D7D">
            <w:pPr>
              <w:autoSpaceDE w:val="0"/>
              <w:autoSpaceDN w:val="0"/>
              <w:adjustRightInd w:val="0"/>
              <w:spacing w:line="360" w:lineRule="auto"/>
              <w:rPr>
                <w:rFonts w:ascii="Century Gothic" w:eastAsia="Times New Roman" w:hAnsi="Century Gothic"/>
                <w:bCs w:val="0"/>
                <w:sz w:val="20"/>
                <w:szCs w:val="20"/>
              </w:rPr>
            </w:pPr>
          </w:p>
        </w:tc>
        <w:tc>
          <w:tcPr>
            <w:tcW w:w="2296" w:type="dxa"/>
          </w:tcPr>
          <w:p w:rsidR="004853DB" w:rsidRPr="00BA3FC4" w:rsidRDefault="004853DB" w:rsidP="00C75D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sz w:val="20"/>
                <w:szCs w:val="20"/>
              </w:rPr>
            </w:pPr>
            <w:r w:rsidRPr="00BA3FC4">
              <w:rPr>
                <w:rFonts w:ascii="Century Gothic" w:eastAsia="Times New Roman" w:hAnsi="Century Gothic"/>
                <w:b/>
                <w:bCs/>
                <w:i/>
                <w:iCs/>
                <w:sz w:val="20"/>
                <w:szCs w:val="20"/>
              </w:rPr>
              <w:t>Indepth</w:t>
            </w:r>
          </w:p>
        </w:tc>
        <w:tc>
          <w:tcPr>
            <w:tcW w:w="2340" w:type="dxa"/>
          </w:tcPr>
          <w:p w:rsidR="004853DB" w:rsidRPr="00BA3FC4" w:rsidRDefault="004853DB" w:rsidP="00C75D7D">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bCs/>
                <w:sz w:val="20"/>
                <w:szCs w:val="20"/>
              </w:rPr>
            </w:pPr>
            <w:r w:rsidRPr="00BA3FC4">
              <w:rPr>
                <w:rFonts w:ascii="Century Gothic" w:eastAsia="Times New Roman" w:hAnsi="Century Gothic"/>
                <w:b/>
                <w:bCs/>
                <w:sz w:val="20"/>
                <w:szCs w:val="20"/>
              </w:rPr>
              <w:t>Survei</w:t>
            </w:r>
          </w:p>
        </w:tc>
        <w:tc>
          <w:tcPr>
            <w:tcW w:w="3064" w:type="dxa"/>
          </w:tcPr>
          <w:p w:rsidR="004853DB" w:rsidRPr="00BA3FC4" w:rsidRDefault="004853DB" w:rsidP="00C75D7D">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Cs/>
                <w:sz w:val="20"/>
                <w:szCs w:val="20"/>
              </w:rPr>
            </w:pPr>
          </w:p>
        </w:tc>
      </w:tr>
      <w:tr w:rsidR="004853DB" w:rsidRPr="00BA3FC4" w:rsidTr="00BA3FC4">
        <w:tc>
          <w:tcPr>
            <w:cnfStyle w:val="001000000000" w:firstRow="0" w:lastRow="0" w:firstColumn="1" w:lastColumn="0" w:oddVBand="0" w:evenVBand="0" w:oddHBand="0" w:evenHBand="0" w:firstRowFirstColumn="0" w:firstRowLastColumn="0" w:lastRowFirstColumn="0" w:lastRowLastColumn="0"/>
            <w:tcW w:w="0" w:type="auto"/>
          </w:tcPr>
          <w:p w:rsidR="004853DB" w:rsidRPr="00BA3FC4" w:rsidRDefault="004853DB" w:rsidP="00647399">
            <w:pPr>
              <w:autoSpaceDE w:val="0"/>
              <w:autoSpaceDN w:val="0"/>
              <w:adjustRightInd w:val="0"/>
              <w:spacing w:line="360" w:lineRule="auto"/>
              <w:rPr>
                <w:rFonts w:ascii="Century Gothic" w:eastAsia="Times New Roman" w:hAnsi="Century Gothic"/>
                <w:bCs w:val="0"/>
                <w:sz w:val="20"/>
                <w:szCs w:val="20"/>
              </w:rPr>
            </w:pPr>
            <w:r w:rsidRPr="00BA3FC4">
              <w:rPr>
                <w:rFonts w:ascii="Century Gothic" w:eastAsia="Times New Roman" w:hAnsi="Century Gothic"/>
                <w:sz w:val="20"/>
                <w:szCs w:val="20"/>
              </w:rPr>
              <w:t>Mencari data</w:t>
            </w:r>
          </w:p>
          <w:p w:rsidR="004853DB" w:rsidRPr="00BA3FC4" w:rsidRDefault="004853DB" w:rsidP="00647399">
            <w:pPr>
              <w:autoSpaceDE w:val="0"/>
              <w:autoSpaceDN w:val="0"/>
              <w:adjustRightInd w:val="0"/>
              <w:spacing w:line="360" w:lineRule="auto"/>
              <w:rPr>
                <w:rFonts w:ascii="Century Gothic" w:eastAsia="Times New Roman" w:hAnsi="Century Gothic"/>
                <w:bCs w:val="0"/>
                <w:sz w:val="20"/>
                <w:szCs w:val="20"/>
              </w:rPr>
            </w:pPr>
            <w:r w:rsidRPr="00BA3FC4">
              <w:rPr>
                <w:rFonts w:ascii="Century Gothic" w:eastAsia="Times New Roman" w:hAnsi="Century Gothic"/>
                <w:sz w:val="20"/>
                <w:szCs w:val="20"/>
              </w:rPr>
              <w:t>berkenaan</w:t>
            </w:r>
          </w:p>
          <w:p w:rsidR="004853DB" w:rsidRPr="00BA3FC4" w:rsidRDefault="004853DB" w:rsidP="00647399">
            <w:pPr>
              <w:autoSpaceDE w:val="0"/>
              <w:autoSpaceDN w:val="0"/>
              <w:adjustRightInd w:val="0"/>
              <w:spacing w:line="360" w:lineRule="auto"/>
              <w:rPr>
                <w:rFonts w:ascii="Century Gothic" w:eastAsia="Times New Roman" w:hAnsi="Century Gothic"/>
                <w:bCs w:val="0"/>
                <w:sz w:val="20"/>
                <w:szCs w:val="20"/>
              </w:rPr>
            </w:pPr>
            <w:r w:rsidRPr="00BA3FC4">
              <w:rPr>
                <w:rFonts w:ascii="Century Gothic" w:eastAsia="Times New Roman" w:hAnsi="Century Gothic"/>
                <w:sz w:val="20"/>
                <w:szCs w:val="20"/>
              </w:rPr>
              <w:t>dengan</w:t>
            </w:r>
          </w:p>
          <w:p w:rsidR="004853DB" w:rsidRPr="00BA3FC4" w:rsidRDefault="004853DB" w:rsidP="00647399">
            <w:pPr>
              <w:autoSpaceDE w:val="0"/>
              <w:autoSpaceDN w:val="0"/>
              <w:adjustRightInd w:val="0"/>
              <w:spacing w:line="360" w:lineRule="auto"/>
              <w:rPr>
                <w:rFonts w:ascii="Century Gothic" w:eastAsia="Times New Roman" w:hAnsi="Century Gothic"/>
                <w:bCs w:val="0"/>
                <w:sz w:val="20"/>
                <w:szCs w:val="20"/>
              </w:rPr>
            </w:pPr>
            <w:r w:rsidRPr="00BA3FC4">
              <w:rPr>
                <w:rFonts w:ascii="Century Gothic" w:hAnsi="Century Gothic" w:cs="Times New Roman"/>
                <w:color w:val="000000"/>
                <w:sz w:val="20"/>
                <w:szCs w:val="20"/>
              </w:rPr>
              <w:t>implementasi PLC dan program PLC</w:t>
            </w:r>
          </w:p>
        </w:tc>
        <w:tc>
          <w:tcPr>
            <w:tcW w:w="2296" w:type="dxa"/>
          </w:tcPr>
          <w:p w:rsidR="004853DB" w:rsidRPr="00BA3FC4" w:rsidRDefault="004853DB" w:rsidP="00647399">
            <w:pPr>
              <w:pStyle w:val="ListParagraph"/>
              <w:numPr>
                <w:ilvl w:val="0"/>
                <w:numId w:val="11"/>
              </w:numPr>
              <w:autoSpaceDE w:val="0"/>
              <w:autoSpaceDN w:val="0"/>
              <w:adjustRightInd w:val="0"/>
              <w:spacing w:line="360" w:lineRule="auto"/>
              <w:ind w:left="221" w:hanging="21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 xml:space="preserve">Alat: pedoman wawancara </w:t>
            </w:r>
          </w:p>
          <w:p w:rsidR="004853DB" w:rsidRPr="00BA3FC4" w:rsidRDefault="004853DB" w:rsidP="00647399">
            <w:pPr>
              <w:pStyle w:val="ListParagraph"/>
              <w:numPr>
                <w:ilvl w:val="0"/>
                <w:numId w:val="11"/>
              </w:numPr>
              <w:autoSpaceDE w:val="0"/>
              <w:autoSpaceDN w:val="0"/>
              <w:adjustRightInd w:val="0"/>
              <w:spacing w:line="360" w:lineRule="auto"/>
              <w:ind w:left="221" w:hanging="21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 xml:space="preserve">Substansi: seluruh informasi berkaitan dengan </w:t>
            </w:r>
            <w:r w:rsidRPr="00BA3FC4">
              <w:rPr>
                <w:rFonts w:ascii="Century Gothic" w:hAnsi="Century Gothic" w:cs="Times New Roman"/>
                <w:color w:val="000000"/>
                <w:sz w:val="20"/>
                <w:szCs w:val="20"/>
              </w:rPr>
              <w:t>implementasi PLC seperti sosialisasi, komunikasi</w:t>
            </w:r>
            <w:r w:rsidRPr="00BA3FC4">
              <w:rPr>
                <w:rFonts w:ascii="Century Gothic" w:hAnsi="Century Gothic" w:cs="Times New Roman"/>
                <w:sz w:val="20"/>
                <w:szCs w:val="20"/>
                <w:lang w:val="af-ZA"/>
              </w:rPr>
              <w:t>, pemahaman, kepatuhan dan kepatutan, kekuatan dan kelemahan</w:t>
            </w:r>
            <w:r w:rsidRPr="00BA3FC4">
              <w:rPr>
                <w:rFonts w:ascii="Century Gothic" w:hAnsi="Century Gothic" w:cs="Times New Roman"/>
                <w:color w:val="000000"/>
                <w:sz w:val="20"/>
                <w:szCs w:val="20"/>
              </w:rPr>
              <w:t xml:space="preserve"> serta program PLC yang terdiri dari d</w:t>
            </w:r>
            <w:r w:rsidRPr="00BA3FC4">
              <w:rPr>
                <w:rFonts w:ascii="Century Gothic" w:hAnsi="Century Gothic" w:cs="Times New Roman"/>
                <w:sz w:val="20"/>
                <w:szCs w:val="20"/>
                <w:lang w:val="af-ZA"/>
              </w:rPr>
              <w:t xml:space="preserve">efinisi, tujuan, sasaran, </w:t>
            </w:r>
            <w:r w:rsidRPr="00BA3FC4">
              <w:rPr>
                <w:rFonts w:ascii="Century Gothic" w:hAnsi="Century Gothic" w:cs="Times New Roman"/>
                <w:color w:val="000000"/>
                <w:sz w:val="20"/>
                <w:szCs w:val="20"/>
              </w:rPr>
              <w:t>jenis, manfaat, mekanisme</w:t>
            </w:r>
            <w:r w:rsidR="00BA3FC4" w:rsidRPr="00BA3FC4">
              <w:rPr>
                <w:rFonts w:ascii="Century Gothic" w:hAnsi="Century Gothic" w:cs="Times New Roman"/>
                <w:color w:val="000000"/>
                <w:sz w:val="20"/>
                <w:szCs w:val="20"/>
              </w:rPr>
              <w:t xml:space="preserve"> dan p</w:t>
            </w:r>
            <w:r w:rsidRPr="00BA3FC4">
              <w:rPr>
                <w:rFonts w:ascii="Century Gothic" w:hAnsi="Century Gothic" w:cs="Times New Roman"/>
                <w:color w:val="000000"/>
                <w:sz w:val="20"/>
                <w:szCs w:val="20"/>
              </w:rPr>
              <w:t>ersyaratan/standar</w:t>
            </w:r>
          </w:p>
          <w:p w:rsidR="004853DB" w:rsidRPr="00BA3FC4" w:rsidRDefault="004853DB" w:rsidP="00647399">
            <w:pPr>
              <w:pStyle w:val="ListParagraph"/>
              <w:numPr>
                <w:ilvl w:val="0"/>
                <w:numId w:val="11"/>
              </w:numPr>
              <w:autoSpaceDE w:val="0"/>
              <w:autoSpaceDN w:val="0"/>
              <w:adjustRightInd w:val="0"/>
              <w:spacing w:line="360" w:lineRule="auto"/>
              <w:ind w:left="221" w:hanging="21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 xml:space="preserve">Informan: guru </w:t>
            </w:r>
          </w:p>
          <w:p w:rsidR="004853DB" w:rsidRPr="00BA3FC4" w:rsidRDefault="004853DB" w:rsidP="00647399">
            <w:pPr>
              <w:pStyle w:val="ListParagraph"/>
              <w:numPr>
                <w:ilvl w:val="0"/>
                <w:numId w:val="11"/>
              </w:numPr>
              <w:autoSpaceDE w:val="0"/>
              <w:autoSpaceDN w:val="0"/>
              <w:adjustRightInd w:val="0"/>
              <w:spacing w:line="360" w:lineRule="auto"/>
              <w:ind w:left="221" w:hanging="21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Cs/>
                <w:i/>
                <w:iCs/>
                <w:sz w:val="20"/>
                <w:szCs w:val="20"/>
              </w:rPr>
            </w:pPr>
            <w:r w:rsidRPr="00BA3FC4">
              <w:rPr>
                <w:rFonts w:ascii="Century Gothic" w:eastAsia="Times New Roman" w:hAnsi="Century Gothic"/>
                <w:sz w:val="20"/>
                <w:szCs w:val="20"/>
              </w:rPr>
              <w:t>Pemilihan informan: random</w:t>
            </w:r>
          </w:p>
        </w:tc>
        <w:tc>
          <w:tcPr>
            <w:tcW w:w="2340" w:type="dxa"/>
          </w:tcPr>
          <w:p w:rsidR="004853DB" w:rsidRPr="00BA3FC4" w:rsidRDefault="004853DB" w:rsidP="00647399">
            <w:pPr>
              <w:pStyle w:val="ListParagraph"/>
              <w:numPr>
                <w:ilvl w:val="0"/>
                <w:numId w:val="12"/>
              </w:numPr>
              <w:autoSpaceDE w:val="0"/>
              <w:autoSpaceDN w:val="0"/>
              <w:adjustRightInd w:val="0"/>
              <w:spacing w:line="360" w:lineRule="auto"/>
              <w:ind w:left="150" w:hanging="19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Alat: kuesioner/angket</w:t>
            </w:r>
          </w:p>
          <w:p w:rsidR="004853DB" w:rsidRPr="00BA3FC4" w:rsidRDefault="004853DB" w:rsidP="00647399">
            <w:pPr>
              <w:pStyle w:val="ListParagraph"/>
              <w:numPr>
                <w:ilvl w:val="0"/>
                <w:numId w:val="12"/>
              </w:numPr>
              <w:autoSpaceDE w:val="0"/>
              <w:autoSpaceDN w:val="0"/>
              <w:adjustRightInd w:val="0"/>
              <w:spacing w:line="360" w:lineRule="auto"/>
              <w:ind w:left="150" w:hanging="19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Substansi: berkenaan</w:t>
            </w:r>
          </w:p>
          <w:p w:rsidR="004853DB" w:rsidRPr="00BA3FC4" w:rsidRDefault="004853DB" w:rsidP="00647399">
            <w:pPr>
              <w:pStyle w:val="ListParagraph"/>
              <w:autoSpaceDE w:val="0"/>
              <w:autoSpaceDN w:val="0"/>
              <w:adjustRightInd w:val="0"/>
              <w:spacing w:line="360" w:lineRule="auto"/>
              <w:ind w:left="15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sz w:val="20"/>
                <w:szCs w:val="20"/>
              </w:rPr>
            </w:pPr>
            <w:r w:rsidRPr="00BA3FC4">
              <w:rPr>
                <w:rFonts w:ascii="Century Gothic" w:eastAsia="Times New Roman" w:hAnsi="Century Gothic"/>
                <w:sz w:val="20"/>
                <w:szCs w:val="20"/>
              </w:rPr>
              <w:t xml:space="preserve">dengan persepsi responden tentang </w:t>
            </w:r>
            <w:r w:rsidRPr="00BA3FC4">
              <w:rPr>
                <w:rFonts w:ascii="Century Gothic" w:hAnsi="Century Gothic" w:cs="Times New Roman"/>
                <w:color w:val="000000"/>
                <w:sz w:val="20"/>
                <w:szCs w:val="20"/>
              </w:rPr>
              <w:t xml:space="preserve">implementasi PLC </w:t>
            </w:r>
            <w:r w:rsidR="00BA3FC4" w:rsidRPr="00BA3FC4">
              <w:rPr>
                <w:rFonts w:ascii="Century Gothic" w:hAnsi="Century Gothic" w:cs="Times New Roman"/>
                <w:color w:val="000000"/>
                <w:sz w:val="20"/>
                <w:szCs w:val="20"/>
              </w:rPr>
              <w:t>seperti sosialisasi, komunikasi</w:t>
            </w:r>
            <w:r w:rsidR="00BA3FC4" w:rsidRPr="00BA3FC4">
              <w:rPr>
                <w:rFonts w:ascii="Century Gothic" w:hAnsi="Century Gothic" w:cs="Times New Roman"/>
                <w:sz w:val="20"/>
                <w:szCs w:val="20"/>
                <w:lang w:val="af-ZA"/>
              </w:rPr>
              <w:t>, pemahaman, kepatuhan dan kepatutan, kekuatan dan kelemahan</w:t>
            </w:r>
            <w:r w:rsidR="00BA3FC4" w:rsidRPr="00BA3FC4">
              <w:rPr>
                <w:rFonts w:ascii="Century Gothic" w:hAnsi="Century Gothic" w:cs="Times New Roman"/>
                <w:color w:val="000000"/>
                <w:sz w:val="20"/>
                <w:szCs w:val="20"/>
              </w:rPr>
              <w:t xml:space="preserve"> serta program PLC yang terdiri dari d</w:t>
            </w:r>
            <w:r w:rsidR="00BA3FC4" w:rsidRPr="00BA3FC4">
              <w:rPr>
                <w:rFonts w:ascii="Century Gothic" w:hAnsi="Century Gothic" w:cs="Times New Roman"/>
                <w:sz w:val="20"/>
                <w:szCs w:val="20"/>
                <w:lang w:val="af-ZA"/>
              </w:rPr>
              <w:t xml:space="preserve">efinisi, tujuan, sasaran, </w:t>
            </w:r>
            <w:r w:rsidR="00BA3FC4" w:rsidRPr="00BA3FC4">
              <w:rPr>
                <w:rFonts w:ascii="Century Gothic" w:hAnsi="Century Gothic" w:cs="Times New Roman"/>
                <w:color w:val="000000"/>
                <w:sz w:val="20"/>
                <w:szCs w:val="20"/>
              </w:rPr>
              <w:t>jenis, manfaat, mekanisme dan persyaratan/standar</w:t>
            </w:r>
          </w:p>
          <w:p w:rsidR="004853DB" w:rsidRPr="00BA3FC4" w:rsidRDefault="004853DB" w:rsidP="00647399">
            <w:pPr>
              <w:pStyle w:val="ListParagraph"/>
              <w:numPr>
                <w:ilvl w:val="0"/>
                <w:numId w:val="11"/>
              </w:numPr>
              <w:autoSpaceDE w:val="0"/>
              <w:autoSpaceDN w:val="0"/>
              <w:adjustRightInd w:val="0"/>
              <w:spacing w:line="360" w:lineRule="auto"/>
              <w:ind w:left="221" w:hanging="21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 xml:space="preserve">Informan: guru </w:t>
            </w:r>
          </w:p>
          <w:p w:rsidR="004853DB" w:rsidRPr="00BA3FC4" w:rsidRDefault="004853DB" w:rsidP="00647399">
            <w:pPr>
              <w:spacing w:line="360" w:lineRule="auto"/>
              <w:cnfStyle w:val="000000000000" w:firstRow="0" w:lastRow="0" w:firstColumn="0" w:lastColumn="0" w:oddVBand="0" w:evenVBand="0" w:oddHBand="0" w:evenHBand="0" w:firstRowFirstColumn="0" w:firstRowLastColumn="0" w:lastRowFirstColumn="0" w:lastRowLastColumn="0"/>
            </w:pPr>
            <w:r w:rsidRPr="00BA3FC4">
              <w:t>Pemilihan informan: random</w:t>
            </w:r>
          </w:p>
        </w:tc>
        <w:tc>
          <w:tcPr>
            <w:tcW w:w="3064" w:type="dxa"/>
          </w:tcPr>
          <w:p w:rsidR="004853DB" w:rsidRPr="00BA3FC4" w:rsidRDefault="004853DB" w:rsidP="00647399">
            <w:pPr>
              <w:pStyle w:val="ListParagraph"/>
              <w:numPr>
                <w:ilvl w:val="0"/>
                <w:numId w:val="12"/>
              </w:numPr>
              <w:autoSpaceDE w:val="0"/>
              <w:autoSpaceDN w:val="0"/>
              <w:adjustRightInd w:val="0"/>
              <w:spacing w:line="360" w:lineRule="auto"/>
              <w:ind w:left="150" w:hanging="19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sz w:val="20"/>
                <w:szCs w:val="20"/>
              </w:rPr>
              <w:t xml:space="preserve">Substansi: data-data penunjang, berkenaan dengan </w:t>
            </w:r>
            <w:r w:rsidRPr="00BA3FC4">
              <w:rPr>
                <w:rFonts w:ascii="Century Gothic" w:hAnsi="Century Gothic" w:cs="Times New Roman"/>
                <w:color w:val="000000"/>
                <w:sz w:val="20"/>
                <w:szCs w:val="20"/>
              </w:rPr>
              <w:t>implementasi PLC dan program PLC</w:t>
            </w:r>
          </w:p>
          <w:p w:rsidR="004853DB" w:rsidRPr="00BA3FC4" w:rsidRDefault="004853DB" w:rsidP="00647399">
            <w:pPr>
              <w:pStyle w:val="ListParagraph"/>
              <w:numPr>
                <w:ilvl w:val="0"/>
                <w:numId w:val="12"/>
              </w:numPr>
              <w:autoSpaceDE w:val="0"/>
              <w:autoSpaceDN w:val="0"/>
              <w:adjustRightInd w:val="0"/>
              <w:spacing w:line="360" w:lineRule="auto"/>
              <w:ind w:left="150" w:hanging="19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BA3FC4">
              <w:rPr>
                <w:rFonts w:ascii="Century Gothic" w:eastAsia="Times New Roman" w:hAnsi="Century Gothic"/>
                <w:bCs/>
                <w:sz w:val="20"/>
                <w:szCs w:val="20"/>
              </w:rPr>
              <w:t>Informan: Kepala sekolah/wakil kepala sekolah</w:t>
            </w:r>
          </w:p>
        </w:tc>
      </w:tr>
    </w:tbl>
    <w:p w:rsidR="008B43F8" w:rsidRPr="00352CB3" w:rsidRDefault="008B43F8" w:rsidP="008F0C3F">
      <w:pPr>
        <w:pStyle w:val="ListParagraph"/>
        <w:spacing w:line="360" w:lineRule="auto"/>
        <w:ind w:left="0" w:firstLine="720"/>
        <w:jc w:val="both"/>
        <w:rPr>
          <w:rFonts w:ascii="Century Gothic" w:hAnsi="Century Gothic" w:cs="Times New Roman"/>
          <w:sz w:val="20"/>
          <w:szCs w:val="20"/>
        </w:rPr>
      </w:pPr>
    </w:p>
    <w:p w:rsidR="00EF718F" w:rsidRDefault="00EF718F" w:rsidP="00CD6BB2">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space="720"/>
          <w:docGrid w:linePitch="360"/>
        </w:sectPr>
      </w:pPr>
    </w:p>
    <w:p w:rsidR="0075081D" w:rsidRPr="00352CB3" w:rsidRDefault="00647399" w:rsidP="00CD6BB2">
      <w:pPr>
        <w:pStyle w:val="ListParagraph"/>
        <w:spacing w:after="0" w:line="360" w:lineRule="auto"/>
        <w:ind w:left="0" w:firstLine="567"/>
        <w:jc w:val="both"/>
        <w:rPr>
          <w:rFonts w:ascii="Century Gothic" w:hAnsi="Century Gothic" w:cs="Times New Roman"/>
          <w:color w:val="000000"/>
          <w:sz w:val="20"/>
          <w:szCs w:val="20"/>
        </w:rPr>
      </w:pPr>
      <w:r>
        <w:rPr>
          <w:rFonts w:ascii="Century Gothic" w:hAnsi="Century Gothic" w:cs="Times New Roman"/>
          <w:sz w:val="20"/>
          <w:szCs w:val="20"/>
        </w:rPr>
        <w:lastRenderedPageBreak/>
        <w:t xml:space="preserve">Berdasarkan matrik pengumpulan data diatas, maka </w:t>
      </w:r>
      <w:r w:rsidRPr="00352CB3">
        <w:rPr>
          <w:rFonts w:ascii="Century Gothic" w:hAnsi="Century Gothic" w:cs="Times New Roman"/>
          <w:sz w:val="20"/>
          <w:szCs w:val="20"/>
        </w:rPr>
        <w:t xml:space="preserve">alur </w:t>
      </w:r>
      <w:r w:rsidR="00D1031A" w:rsidRPr="00352CB3">
        <w:rPr>
          <w:rFonts w:ascii="Century Gothic" w:hAnsi="Century Gothic" w:cs="Times New Roman"/>
          <w:sz w:val="20"/>
          <w:szCs w:val="20"/>
        </w:rPr>
        <w:t>penelitian</w:t>
      </w:r>
      <w:r w:rsidR="004827A2">
        <w:rPr>
          <w:rFonts w:ascii="Century Gothic" w:hAnsi="Century Gothic" w:cs="Times New Roman"/>
          <w:sz w:val="20"/>
          <w:szCs w:val="20"/>
        </w:rPr>
        <w:t xml:space="preserve"> yang dilakukan pada penelitian ini</w:t>
      </w:r>
      <w:r w:rsidR="00A25F0A" w:rsidRPr="00352CB3">
        <w:rPr>
          <w:rFonts w:ascii="Century Gothic" w:hAnsi="Century Gothic" w:cs="Times New Roman"/>
          <w:sz w:val="20"/>
          <w:szCs w:val="20"/>
        </w:rPr>
        <w:t xml:space="preserve"> dimulai</w:t>
      </w:r>
      <w:r w:rsidR="0075081D" w:rsidRPr="00352CB3">
        <w:rPr>
          <w:rFonts w:ascii="Century Gothic" w:hAnsi="Century Gothic" w:cs="Times New Roman"/>
          <w:sz w:val="20"/>
          <w:szCs w:val="20"/>
        </w:rPr>
        <w:t xml:space="preserve"> dengan studi pendahuluan de</w:t>
      </w:r>
      <w:r w:rsidR="00D1031A" w:rsidRPr="00352CB3">
        <w:rPr>
          <w:rFonts w:ascii="Century Gothic" w:hAnsi="Century Gothic" w:cs="Times New Roman"/>
          <w:sz w:val="20"/>
          <w:szCs w:val="20"/>
        </w:rPr>
        <w:t>ngan melakukan studi literatur mengenai</w:t>
      </w:r>
      <w:r w:rsidR="0075081D" w:rsidRPr="00352CB3">
        <w:rPr>
          <w:rFonts w:ascii="Century Gothic" w:hAnsi="Century Gothic" w:cs="Times New Roman"/>
          <w:sz w:val="20"/>
          <w:szCs w:val="20"/>
        </w:rPr>
        <w:t xml:space="preserve"> kebijakan pengembangan keprofesian berkelanjutan dan program PLC bagi guru terutama guru sekolah dasar. </w:t>
      </w:r>
      <w:r w:rsidR="00D1031A" w:rsidRPr="00352CB3">
        <w:rPr>
          <w:rFonts w:ascii="Century Gothic" w:hAnsi="Century Gothic" w:cs="Times New Roman"/>
          <w:sz w:val="20"/>
          <w:szCs w:val="20"/>
        </w:rPr>
        <w:t xml:space="preserve">Termasuk dalam studi pendahuluan, </w:t>
      </w:r>
      <w:r w:rsidR="0075081D" w:rsidRPr="00352CB3">
        <w:rPr>
          <w:rFonts w:ascii="Century Gothic" w:hAnsi="Century Gothic" w:cs="Times New Roman"/>
          <w:sz w:val="20"/>
          <w:szCs w:val="20"/>
        </w:rPr>
        <w:t xml:space="preserve">dilakukan </w:t>
      </w:r>
      <w:r w:rsidR="00D1031A" w:rsidRPr="00352CB3">
        <w:rPr>
          <w:rFonts w:ascii="Century Gothic" w:hAnsi="Century Gothic" w:cs="Times New Roman"/>
          <w:sz w:val="20"/>
          <w:szCs w:val="20"/>
        </w:rPr>
        <w:t xml:space="preserve">juga </w:t>
      </w:r>
      <w:r w:rsidR="0075081D" w:rsidRPr="00352CB3">
        <w:rPr>
          <w:rFonts w:ascii="Century Gothic" w:hAnsi="Century Gothic" w:cs="Times New Roman"/>
          <w:sz w:val="20"/>
          <w:szCs w:val="20"/>
        </w:rPr>
        <w:t>studi lapangan te</w:t>
      </w:r>
      <w:r w:rsidR="00D1031A" w:rsidRPr="00352CB3">
        <w:rPr>
          <w:rFonts w:ascii="Century Gothic" w:hAnsi="Century Gothic" w:cs="Times New Roman"/>
          <w:sz w:val="20"/>
          <w:szCs w:val="20"/>
        </w:rPr>
        <w:t>rkait</w:t>
      </w:r>
      <w:r w:rsidR="0075081D" w:rsidRPr="00352CB3">
        <w:rPr>
          <w:rFonts w:ascii="Century Gothic" w:hAnsi="Century Gothic" w:cs="Times New Roman"/>
          <w:sz w:val="20"/>
          <w:szCs w:val="20"/>
        </w:rPr>
        <w:t xml:space="preserve"> implementasi PLC dan program PLC yang </w:t>
      </w:r>
      <w:r w:rsidR="00D1031A" w:rsidRPr="00352CB3">
        <w:rPr>
          <w:rFonts w:ascii="Century Gothic" w:hAnsi="Century Gothic" w:cs="Times New Roman"/>
          <w:sz w:val="20"/>
          <w:szCs w:val="20"/>
        </w:rPr>
        <w:t>terdapat di</w:t>
      </w:r>
      <w:r w:rsidR="0075081D" w:rsidRPr="00352CB3">
        <w:rPr>
          <w:rFonts w:ascii="Century Gothic" w:hAnsi="Century Gothic" w:cs="Times New Roman"/>
          <w:sz w:val="20"/>
          <w:szCs w:val="20"/>
        </w:rPr>
        <w:t xml:space="preserve"> </w:t>
      </w:r>
      <w:r w:rsidR="0075081D" w:rsidRPr="00352CB3">
        <w:rPr>
          <w:rFonts w:ascii="Century Gothic" w:hAnsi="Century Gothic" w:cs="Times New Roman"/>
          <w:sz w:val="20"/>
          <w:szCs w:val="20"/>
        </w:rPr>
        <w:lastRenderedPageBreak/>
        <w:t xml:space="preserve">sekolah dasar. </w:t>
      </w:r>
      <w:r w:rsidR="00D1031A" w:rsidRPr="00352CB3">
        <w:rPr>
          <w:rFonts w:ascii="Century Gothic" w:hAnsi="Century Gothic" w:cs="Times New Roman"/>
          <w:sz w:val="20"/>
          <w:szCs w:val="20"/>
        </w:rPr>
        <w:t>Tahapan kedua pada pelaksanaan penelitian</w:t>
      </w:r>
      <w:r w:rsidR="0075081D" w:rsidRPr="00352CB3">
        <w:rPr>
          <w:rFonts w:ascii="Century Gothic" w:hAnsi="Century Gothic" w:cs="Times New Roman"/>
          <w:sz w:val="20"/>
          <w:szCs w:val="20"/>
        </w:rPr>
        <w:t xml:space="preserve"> adalah </w:t>
      </w:r>
      <w:r w:rsidR="00D1031A" w:rsidRPr="00352CB3">
        <w:rPr>
          <w:rFonts w:ascii="Century Gothic" w:hAnsi="Century Gothic" w:cs="Times New Roman"/>
          <w:sz w:val="20"/>
          <w:szCs w:val="20"/>
        </w:rPr>
        <w:t xml:space="preserve">dengan melakukan </w:t>
      </w:r>
      <w:r w:rsidR="0075081D" w:rsidRPr="00352CB3">
        <w:rPr>
          <w:rFonts w:ascii="Century Gothic" w:hAnsi="Century Gothic" w:cs="Times New Roman"/>
          <w:sz w:val="20"/>
          <w:szCs w:val="20"/>
        </w:rPr>
        <w:t xml:space="preserve">pengembangan instrument penelitian. Pada tahapan ini peneliti mengembangkan instrument terkait dengan implementasi PLC yang </w:t>
      </w:r>
      <w:r w:rsidR="00D1031A" w:rsidRPr="00352CB3">
        <w:rPr>
          <w:rFonts w:ascii="Century Gothic" w:hAnsi="Century Gothic" w:cs="Times New Roman"/>
          <w:sz w:val="20"/>
          <w:szCs w:val="20"/>
        </w:rPr>
        <w:t xml:space="preserve">terdiri dari 12 pertanyaan </w:t>
      </w:r>
      <w:r w:rsidR="0075081D" w:rsidRPr="00352CB3">
        <w:rPr>
          <w:rFonts w:ascii="Century Gothic" w:hAnsi="Century Gothic" w:cs="Times New Roman"/>
          <w:sz w:val="20"/>
          <w:szCs w:val="20"/>
        </w:rPr>
        <w:t xml:space="preserve">meliputi </w:t>
      </w:r>
      <w:r w:rsidR="0075081D" w:rsidRPr="00352CB3">
        <w:rPr>
          <w:rFonts w:ascii="Century Gothic" w:hAnsi="Century Gothic" w:cs="Times New Roman"/>
          <w:sz w:val="20"/>
          <w:szCs w:val="20"/>
          <w:lang w:val="af-ZA"/>
        </w:rPr>
        <w:t>kekuatan dan kelemahan PLC,</w:t>
      </w:r>
      <w:r w:rsidR="0075081D" w:rsidRPr="00352CB3">
        <w:rPr>
          <w:rFonts w:ascii="Century Gothic" w:hAnsi="Century Gothic" w:cs="Times New Roman"/>
          <w:color w:val="000000"/>
          <w:sz w:val="20"/>
          <w:szCs w:val="20"/>
        </w:rPr>
        <w:t xml:space="preserve"> sosialisasi, komunikasi</w:t>
      </w:r>
      <w:r w:rsidR="0075081D" w:rsidRPr="00352CB3">
        <w:rPr>
          <w:rFonts w:ascii="Century Gothic" w:hAnsi="Century Gothic" w:cs="Times New Roman"/>
          <w:sz w:val="20"/>
          <w:szCs w:val="20"/>
          <w:lang w:val="af-ZA"/>
        </w:rPr>
        <w:t xml:space="preserve">, pemahaman, kepatuhan dan kepatutan PLC pada sekolah dasar serta angket program PLC yang </w:t>
      </w:r>
      <w:r w:rsidR="00D1031A" w:rsidRPr="00352CB3">
        <w:rPr>
          <w:rFonts w:ascii="Century Gothic" w:hAnsi="Century Gothic" w:cs="Times New Roman"/>
          <w:sz w:val="20"/>
          <w:szCs w:val="20"/>
          <w:lang w:val="af-ZA"/>
        </w:rPr>
        <w:t xml:space="preserve">terdiri dari 7 </w:t>
      </w:r>
      <w:r w:rsidR="00D1031A" w:rsidRPr="00352CB3">
        <w:rPr>
          <w:rFonts w:ascii="Century Gothic" w:hAnsi="Century Gothic" w:cs="Times New Roman"/>
          <w:sz w:val="20"/>
          <w:szCs w:val="20"/>
          <w:lang w:val="af-ZA"/>
        </w:rPr>
        <w:lastRenderedPageBreak/>
        <w:t xml:space="preserve">pertanyaan yang diajukan </w:t>
      </w:r>
      <w:r w:rsidR="0075081D" w:rsidRPr="00352CB3">
        <w:rPr>
          <w:rFonts w:ascii="Century Gothic" w:hAnsi="Century Gothic" w:cs="Times New Roman"/>
          <w:sz w:val="20"/>
          <w:szCs w:val="20"/>
          <w:lang w:val="af-ZA"/>
        </w:rPr>
        <w:t xml:space="preserve">meliputi tujuan, sasaran, </w:t>
      </w:r>
      <w:r w:rsidR="0075081D" w:rsidRPr="00352CB3">
        <w:rPr>
          <w:rFonts w:ascii="Century Gothic" w:hAnsi="Century Gothic" w:cs="Times New Roman"/>
          <w:color w:val="000000"/>
          <w:sz w:val="20"/>
          <w:szCs w:val="20"/>
        </w:rPr>
        <w:t xml:space="preserve">jenis, manfaat, mekanisme, dan persyaratan/standar PLC pada sekolah dasar. Tahap terakhir </w:t>
      </w:r>
      <w:r w:rsidR="0025142E" w:rsidRPr="00352CB3">
        <w:rPr>
          <w:rFonts w:ascii="Century Gothic" w:hAnsi="Century Gothic" w:cs="Times New Roman"/>
          <w:color w:val="000000"/>
          <w:sz w:val="20"/>
          <w:szCs w:val="20"/>
        </w:rPr>
        <w:t xml:space="preserve">yaitu </w:t>
      </w:r>
      <w:r w:rsidR="0075081D" w:rsidRPr="00352CB3">
        <w:rPr>
          <w:rFonts w:ascii="Century Gothic" w:hAnsi="Century Gothic" w:cs="Times New Roman"/>
          <w:color w:val="000000"/>
          <w:sz w:val="20"/>
          <w:szCs w:val="20"/>
        </w:rPr>
        <w:t>pelaksanaan penelitian melalui survey. Pada tahap ini peneliti menentukan sample penelitian, melaksanakan penyebaran angket dan melakukan wawancara terkait implementasi dan program PLC disek</w:t>
      </w:r>
      <w:r w:rsidR="0025142E" w:rsidRPr="00352CB3">
        <w:rPr>
          <w:rFonts w:ascii="Century Gothic" w:hAnsi="Century Gothic" w:cs="Times New Roman"/>
          <w:color w:val="000000"/>
          <w:sz w:val="20"/>
          <w:szCs w:val="20"/>
        </w:rPr>
        <w:t>olah dasar. Setelah peneliti memperoleh data, kemudian di</w:t>
      </w:r>
      <w:r w:rsidR="0075081D" w:rsidRPr="00352CB3">
        <w:rPr>
          <w:rFonts w:ascii="Century Gothic" w:hAnsi="Century Gothic" w:cs="Times New Roman"/>
          <w:color w:val="000000"/>
          <w:sz w:val="20"/>
          <w:szCs w:val="20"/>
        </w:rPr>
        <w:t>lakukan pengolah</w:t>
      </w:r>
      <w:r w:rsidR="0025142E" w:rsidRPr="00352CB3">
        <w:rPr>
          <w:rFonts w:ascii="Century Gothic" w:hAnsi="Century Gothic" w:cs="Times New Roman"/>
          <w:color w:val="000000"/>
          <w:sz w:val="20"/>
          <w:szCs w:val="20"/>
        </w:rPr>
        <w:t xml:space="preserve">an dan analisa data. Selanjutnya pada </w:t>
      </w:r>
      <w:r w:rsidR="0075081D" w:rsidRPr="00352CB3">
        <w:rPr>
          <w:rFonts w:ascii="Century Gothic" w:hAnsi="Century Gothic" w:cs="Times New Roman"/>
          <w:color w:val="000000"/>
          <w:sz w:val="20"/>
          <w:szCs w:val="20"/>
        </w:rPr>
        <w:t xml:space="preserve">akhir </w:t>
      </w:r>
      <w:r w:rsidR="0025142E" w:rsidRPr="00352CB3">
        <w:rPr>
          <w:rFonts w:ascii="Century Gothic" w:hAnsi="Century Gothic" w:cs="Times New Roman"/>
          <w:color w:val="000000"/>
          <w:sz w:val="20"/>
          <w:szCs w:val="20"/>
        </w:rPr>
        <w:t xml:space="preserve">tahapan penelitian </w:t>
      </w:r>
      <w:r w:rsidR="0075081D" w:rsidRPr="00352CB3">
        <w:rPr>
          <w:rFonts w:ascii="Century Gothic" w:hAnsi="Century Gothic" w:cs="Times New Roman"/>
          <w:color w:val="000000"/>
          <w:sz w:val="20"/>
          <w:szCs w:val="20"/>
        </w:rPr>
        <w:t>ini maka dihar</w:t>
      </w:r>
      <w:r w:rsidR="0025142E" w:rsidRPr="00352CB3">
        <w:rPr>
          <w:rFonts w:ascii="Century Gothic" w:hAnsi="Century Gothic" w:cs="Times New Roman"/>
          <w:color w:val="000000"/>
          <w:sz w:val="20"/>
          <w:szCs w:val="20"/>
        </w:rPr>
        <w:t>a</w:t>
      </w:r>
      <w:r w:rsidR="0075081D" w:rsidRPr="00352CB3">
        <w:rPr>
          <w:rFonts w:ascii="Century Gothic" w:hAnsi="Century Gothic" w:cs="Times New Roman"/>
          <w:color w:val="000000"/>
          <w:sz w:val="20"/>
          <w:szCs w:val="20"/>
        </w:rPr>
        <w:t xml:space="preserve">pkan peneliti </w:t>
      </w:r>
      <w:r w:rsidR="0025142E" w:rsidRPr="00352CB3">
        <w:rPr>
          <w:rFonts w:ascii="Century Gothic" w:hAnsi="Century Gothic" w:cs="Times New Roman"/>
          <w:color w:val="000000"/>
          <w:sz w:val="20"/>
          <w:szCs w:val="20"/>
        </w:rPr>
        <w:t xml:space="preserve">yaitu </w:t>
      </w:r>
      <w:r w:rsidR="0075081D" w:rsidRPr="00352CB3">
        <w:rPr>
          <w:rFonts w:ascii="Century Gothic" w:hAnsi="Century Gothic" w:cs="Times New Roman"/>
          <w:color w:val="000000"/>
          <w:sz w:val="20"/>
          <w:szCs w:val="20"/>
        </w:rPr>
        <w:t>menghasilkan draft des</w:t>
      </w:r>
      <w:r w:rsidR="0025142E" w:rsidRPr="00352CB3">
        <w:rPr>
          <w:rFonts w:ascii="Century Gothic" w:hAnsi="Century Gothic" w:cs="Times New Roman"/>
          <w:color w:val="000000"/>
          <w:sz w:val="20"/>
          <w:szCs w:val="20"/>
        </w:rPr>
        <w:t xml:space="preserve">ain PLC bagi sekolah dasar yang </w:t>
      </w:r>
      <w:r w:rsidR="0075081D" w:rsidRPr="00352CB3">
        <w:rPr>
          <w:rFonts w:ascii="Century Gothic" w:hAnsi="Century Gothic" w:cs="Times New Roman"/>
          <w:color w:val="000000"/>
          <w:sz w:val="20"/>
          <w:szCs w:val="20"/>
        </w:rPr>
        <w:t xml:space="preserve">diharapkan </w:t>
      </w:r>
      <w:r w:rsidR="0025142E" w:rsidRPr="00352CB3">
        <w:rPr>
          <w:rFonts w:ascii="Century Gothic" w:hAnsi="Century Gothic" w:cs="Times New Roman"/>
          <w:color w:val="000000"/>
          <w:sz w:val="20"/>
          <w:szCs w:val="20"/>
        </w:rPr>
        <w:t>dapat</w:t>
      </w:r>
      <w:r w:rsidR="0075081D" w:rsidRPr="00352CB3">
        <w:rPr>
          <w:rFonts w:ascii="Century Gothic" w:hAnsi="Century Gothic" w:cs="Times New Roman"/>
          <w:color w:val="000000"/>
          <w:sz w:val="20"/>
          <w:szCs w:val="20"/>
        </w:rPr>
        <w:t xml:space="preserve"> dikembangkan menjadi program PLC</w:t>
      </w:r>
      <w:r w:rsidR="0025142E" w:rsidRPr="00352CB3">
        <w:rPr>
          <w:rFonts w:ascii="Century Gothic" w:hAnsi="Century Gothic" w:cs="Times New Roman"/>
          <w:color w:val="000000"/>
          <w:sz w:val="20"/>
          <w:szCs w:val="20"/>
        </w:rPr>
        <w:t xml:space="preserve"> sesuai dengan kebutuhan guru di sekolah dasar.</w:t>
      </w:r>
    </w:p>
    <w:p w:rsidR="004B4805" w:rsidRPr="00352CB3" w:rsidRDefault="004B4805" w:rsidP="008F0C3F">
      <w:pPr>
        <w:spacing w:after="0" w:line="360" w:lineRule="auto"/>
        <w:jc w:val="center"/>
        <w:rPr>
          <w:rFonts w:ascii="Century Gothic" w:hAnsi="Century Gothic" w:cs="Times New Roman"/>
          <w:color w:val="000000"/>
          <w:sz w:val="20"/>
          <w:szCs w:val="20"/>
        </w:rPr>
      </w:pPr>
    </w:p>
    <w:p w:rsidR="004B4805" w:rsidRPr="00352CB3" w:rsidRDefault="007B6C74" w:rsidP="008F0C3F">
      <w:pPr>
        <w:spacing w:after="0" w:line="360" w:lineRule="auto"/>
        <w:rPr>
          <w:rFonts w:ascii="Century Gothic" w:hAnsi="Century Gothic" w:cs="Times New Roman"/>
          <w:b/>
          <w:color w:val="000000"/>
          <w:sz w:val="20"/>
          <w:szCs w:val="20"/>
        </w:rPr>
      </w:pPr>
      <w:r w:rsidRPr="00352CB3">
        <w:rPr>
          <w:rFonts w:ascii="Century Gothic" w:hAnsi="Century Gothic" w:cs="Times New Roman"/>
          <w:b/>
          <w:color w:val="000000"/>
          <w:sz w:val="20"/>
          <w:szCs w:val="20"/>
        </w:rPr>
        <w:t>Hasil Penelitian dan Pembahasan</w:t>
      </w:r>
    </w:p>
    <w:p w:rsidR="00EF718F" w:rsidRDefault="00C75D7D" w:rsidP="0050357C">
      <w:pPr>
        <w:spacing w:after="0" w:line="360" w:lineRule="auto"/>
        <w:jc w:val="both"/>
        <w:rPr>
          <w:rFonts w:ascii="Century Gothic" w:hAnsi="Century Gothic" w:cs="Times New Roman"/>
          <w:color w:val="000000"/>
          <w:sz w:val="20"/>
          <w:szCs w:val="20"/>
        </w:rPr>
      </w:pPr>
      <w:r w:rsidRPr="00C75D7D">
        <w:rPr>
          <w:rFonts w:ascii="Century Gothic" w:hAnsi="Century Gothic" w:cs="Times New Roman"/>
          <w:color w:val="000000"/>
          <w:sz w:val="20"/>
          <w:szCs w:val="20"/>
        </w:rPr>
        <w:t xml:space="preserve">Pada persekolahan di Indonesia </w:t>
      </w:r>
      <w:r w:rsidRPr="00C75D7D">
        <w:rPr>
          <w:rFonts w:ascii="Century Gothic" w:hAnsi="Century Gothic" w:cs="Times New Roman"/>
          <w:i/>
          <w:color w:val="000000"/>
          <w:sz w:val="20"/>
          <w:szCs w:val="20"/>
        </w:rPr>
        <w:t>Professional Learning Community</w:t>
      </w:r>
      <w:r w:rsidRPr="00C75D7D">
        <w:rPr>
          <w:rFonts w:ascii="Century Gothic" w:hAnsi="Century Gothic" w:cs="Times New Roman"/>
          <w:color w:val="000000"/>
          <w:sz w:val="20"/>
          <w:szCs w:val="20"/>
        </w:rPr>
        <w:t xml:space="preserve"> (PLC) yang di wujudkan dalam kegiatan </w:t>
      </w:r>
      <w:r w:rsidRPr="00C75D7D">
        <w:rPr>
          <w:rFonts w:ascii="Century Gothic" w:hAnsi="Century Gothic" w:cs="Times New Roman"/>
          <w:color w:val="000000"/>
          <w:sz w:val="20"/>
          <w:szCs w:val="20"/>
        </w:rPr>
        <w:lastRenderedPageBreak/>
        <w:t xml:space="preserve">Musyawarah Guru Mata Pelajaran (MGMP) atau Kelompok Kerja Guru (KKG) pada kondisi realnya tidak selalu dapat diimplementasikan sesuai dengan program. Berdasarkan hal tersebut, </w:t>
      </w:r>
      <w:r w:rsidRPr="00C75D7D">
        <w:rPr>
          <w:rStyle w:val="fontstyle01"/>
          <w:rFonts w:ascii="Century Gothic" w:hAnsi="Century Gothic" w:cs="Times New Roman"/>
          <w:i w:val="0"/>
          <w:sz w:val="20"/>
          <w:szCs w:val="20"/>
        </w:rPr>
        <w:t xml:space="preserve">mengacu pada tujuan penelitian yang telah ditetapkan peneliti, antara lain </w:t>
      </w:r>
      <w:r w:rsidRPr="00C75D7D">
        <w:rPr>
          <w:rFonts w:ascii="Century Gothic" w:hAnsi="Century Gothic" w:cs="Times New Roman"/>
          <w:color w:val="000000"/>
          <w:sz w:val="20"/>
          <w:szCs w:val="20"/>
        </w:rPr>
        <w:t xml:space="preserve">teranalisanya implementasi </w:t>
      </w:r>
      <w:r w:rsidRPr="00C75D7D">
        <w:rPr>
          <w:rFonts w:ascii="Century Gothic" w:hAnsi="Century Gothic" w:cs="Times New Roman"/>
          <w:i/>
          <w:color w:val="000000"/>
          <w:sz w:val="20"/>
          <w:szCs w:val="20"/>
        </w:rPr>
        <w:t>Professional Learning Community</w:t>
      </w:r>
      <w:r w:rsidRPr="00C75D7D">
        <w:rPr>
          <w:rFonts w:ascii="Century Gothic" w:hAnsi="Century Gothic" w:cs="Times New Roman"/>
          <w:color w:val="000000"/>
          <w:sz w:val="20"/>
          <w:szCs w:val="20"/>
        </w:rPr>
        <w:t xml:space="preserve"> (PLC) meliputi sosialisasi, komunikasi</w:t>
      </w:r>
      <w:r w:rsidRPr="00C75D7D">
        <w:rPr>
          <w:rFonts w:ascii="Century Gothic" w:hAnsi="Century Gothic" w:cs="Times New Roman"/>
          <w:sz w:val="20"/>
          <w:szCs w:val="20"/>
          <w:lang w:val="af-ZA"/>
        </w:rPr>
        <w:t>, pemahaman, kepatuhan dan kepatutan PLC</w:t>
      </w:r>
      <w:r w:rsidRPr="00C75D7D">
        <w:rPr>
          <w:rFonts w:ascii="Century Gothic" w:hAnsi="Century Gothic" w:cs="Times New Roman"/>
          <w:color w:val="000000"/>
          <w:sz w:val="20"/>
          <w:szCs w:val="20"/>
        </w:rPr>
        <w:t xml:space="preserve"> serta </w:t>
      </w:r>
      <w:r w:rsidRPr="00C75D7D">
        <w:rPr>
          <w:rFonts w:ascii="Century Gothic" w:hAnsi="Century Gothic" w:cs="Times New Roman"/>
          <w:sz w:val="20"/>
          <w:szCs w:val="20"/>
          <w:lang w:val="af-ZA"/>
        </w:rPr>
        <w:t>kekuatan dan kelemahan PLC,</w:t>
      </w:r>
      <w:r w:rsidRPr="00C75D7D">
        <w:rPr>
          <w:rFonts w:ascii="Century Gothic" w:hAnsi="Century Gothic" w:cs="Times New Roman"/>
          <w:color w:val="000000"/>
          <w:sz w:val="20"/>
          <w:szCs w:val="20"/>
        </w:rPr>
        <w:t xml:space="preserve"> pada sekolah dasar di Kabupaten Sumedang serta </w:t>
      </w:r>
      <w:r w:rsidRPr="00C75D7D">
        <w:rPr>
          <w:rFonts w:ascii="Century Gothic" w:hAnsi="Century Gothic" w:cs="Times New Roman"/>
          <w:sz w:val="20"/>
          <w:szCs w:val="20"/>
          <w:lang w:val="af-ZA"/>
        </w:rPr>
        <w:t>terdeskripsikannya</w:t>
      </w:r>
      <w:r w:rsidRPr="00C75D7D">
        <w:rPr>
          <w:rFonts w:ascii="Century Gothic" w:hAnsi="Century Gothic" w:cs="Times New Roman"/>
          <w:color w:val="000000"/>
          <w:sz w:val="20"/>
          <w:szCs w:val="20"/>
        </w:rPr>
        <w:t xml:space="preserve"> program-program </w:t>
      </w:r>
      <w:r w:rsidRPr="00C75D7D">
        <w:rPr>
          <w:rFonts w:ascii="Century Gothic" w:hAnsi="Century Gothic" w:cs="Times New Roman"/>
          <w:i/>
          <w:color w:val="000000"/>
          <w:sz w:val="20"/>
          <w:szCs w:val="20"/>
        </w:rPr>
        <w:t>Professional Learning Community</w:t>
      </w:r>
      <w:r w:rsidRPr="00C75D7D">
        <w:rPr>
          <w:rFonts w:ascii="Century Gothic" w:hAnsi="Century Gothic" w:cs="Times New Roman"/>
          <w:color w:val="000000"/>
          <w:sz w:val="20"/>
          <w:szCs w:val="20"/>
        </w:rPr>
        <w:t xml:space="preserve"> (PLC) meliputi </w:t>
      </w:r>
      <w:r w:rsidRPr="00C75D7D">
        <w:rPr>
          <w:rFonts w:ascii="Century Gothic" w:hAnsi="Century Gothic" w:cs="Times New Roman"/>
          <w:sz w:val="20"/>
          <w:szCs w:val="20"/>
          <w:lang w:val="af-ZA"/>
        </w:rPr>
        <w:t xml:space="preserve">definisi, tujuan, sasaran, </w:t>
      </w:r>
      <w:r w:rsidRPr="00C75D7D">
        <w:rPr>
          <w:rFonts w:ascii="Century Gothic" w:hAnsi="Century Gothic" w:cs="Times New Roman"/>
          <w:color w:val="000000"/>
          <w:sz w:val="20"/>
          <w:szCs w:val="20"/>
        </w:rPr>
        <w:t>jenis, manfaat, mekanisme dan persyaratan/standar PLC bagi guru pada sekolah dasar di Kabupaten Sumedang, maka dengan menggunakan metode yang telah ditetapkan pula, peneliti memperoleh hasil penelitian yang dipaparkan berikut ini:</w:t>
      </w:r>
    </w:p>
    <w:p w:rsidR="00A76ECE" w:rsidRDefault="00A76ECE" w:rsidP="0050357C">
      <w:pPr>
        <w:spacing w:after="0" w:line="360" w:lineRule="auto"/>
        <w:jc w:val="both"/>
        <w:rPr>
          <w:rFonts w:ascii="Century Gothic" w:hAnsi="Century Gothic" w:cs="Times New Roman"/>
          <w:color w:val="000000"/>
          <w:sz w:val="20"/>
          <w:szCs w:val="20"/>
        </w:rPr>
        <w:sectPr w:rsidR="00A76ECE" w:rsidSect="00EF718F">
          <w:type w:val="continuous"/>
          <w:pgSz w:w="11907" w:h="16839" w:code="9"/>
          <w:pgMar w:top="1418" w:right="1418" w:bottom="1418" w:left="1418" w:header="720" w:footer="720" w:gutter="0"/>
          <w:cols w:num="2" w:space="720"/>
          <w:docGrid w:linePitch="360"/>
        </w:sectPr>
      </w:pPr>
    </w:p>
    <w:p w:rsidR="00197D0A" w:rsidRDefault="00197D0A" w:rsidP="00197D0A">
      <w:pPr>
        <w:spacing w:after="0" w:line="360" w:lineRule="auto"/>
        <w:jc w:val="both"/>
        <w:rPr>
          <w:rFonts w:ascii="Century Gothic" w:hAnsi="Century Gothic" w:cs="Times New Roman"/>
          <w:sz w:val="20"/>
          <w:szCs w:val="20"/>
        </w:rPr>
      </w:pPr>
      <w:r>
        <w:rPr>
          <w:rFonts w:ascii="Century Gothic" w:hAnsi="Century Gothic" w:cs="Times New Roman"/>
          <w:sz w:val="20"/>
          <w:szCs w:val="20"/>
        </w:rPr>
        <w:lastRenderedPageBreak/>
        <w:t>Tabel 2. Hasil Pengumpulan Data</w:t>
      </w:r>
    </w:p>
    <w:tbl>
      <w:tblPr>
        <w:tblStyle w:val="TableGrid"/>
        <w:tblW w:w="0" w:type="auto"/>
        <w:tblBorders>
          <w:top w:val="none" w:sz="0" w:space="0" w:color="auto"/>
          <w:left w:val="none" w:sz="0" w:space="0" w:color="auto"/>
          <w:bottom w:val="none" w:sz="0" w:space="0" w:color="auto"/>
          <w:right w:val="none" w:sz="0" w:space="0" w:color="auto"/>
          <w:insideH w:val="single" w:sz="2" w:space="0" w:color="000000"/>
          <w:insideV w:val="none" w:sz="0" w:space="0" w:color="auto"/>
        </w:tblBorders>
        <w:tblLook w:val="04A0" w:firstRow="1" w:lastRow="0" w:firstColumn="1" w:lastColumn="0" w:noHBand="0" w:noVBand="1"/>
      </w:tblPr>
      <w:tblGrid>
        <w:gridCol w:w="1543"/>
        <w:gridCol w:w="2237"/>
        <w:gridCol w:w="2390"/>
        <w:gridCol w:w="3117"/>
      </w:tblGrid>
      <w:tr w:rsidR="00EF718F" w:rsidRPr="00197D0A" w:rsidTr="00CE7BED">
        <w:trPr>
          <w:trHeight w:val="524"/>
          <w:tblHeader/>
        </w:trPr>
        <w:tc>
          <w:tcPr>
            <w:tcW w:w="0" w:type="auto"/>
            <w:tcBorders>
              <w:top w:val="single" w:sz="2" w:space="0" w:color="auto"/>
              <w:bottom w:val="single" w:sz="2" w:space="0" w:color="000000"/>
            </w:tcBorders>
            <w:vAlign w:val="center"/>
          </w:tcPr>
          <w:p w:rsidR="00197D0A" w:rsidRPr="00197D0A" w:rsidRDefault="00197D0A" w:rsidP="0045712B">
            <w:pPr>
              <w:jc w:val="center"/>
              <w:rPr>
                <w:rFonts w:ascii="Century Gothic" w:hAnsi="Century Gothic" w:cs="Times New Roman"/>
                <w:b/>
                <w:sz w:val="20"/>
                <w:szCs w:val="20"/>
              </w:rPr>
            </w:pPr>
            <w:r w:rsidRPr="00197D0A">
              <w:rPr>
                <w:rFonts w:ascii="Century Gothic" w:hAnsi="Century Gothic" w:cs="Times New Roman"/>
                <w:b/>
                <w:sz w:val="20"/>
                <w:szCs w:val="20"/>
              </w:rPr>
              <w:t>Kategori</w:t>
            </w:r>
          </w:p>
        </w:tc>
        <w:tc>
          <w:tcPr>
            <w:tcW w:w="0" w:type="auto"/>
            <w:tcBorders>
              <w:top w:val="single" w:sz="2" w:space="0" w:color="auto"/>
              <w:bottom w:val="single" w:sz="2" w:space="0" w:color="000000"/>
            </w:tcBorders>
            <w:vAlign w:val="center"/>
          </w:tcPr>
          <w:p w:rsidR="00197D0A" w:rsidRPr="00197D0A" w:rsidRDefault="00197D0A" w:rsidP="0045712B">
            <w:pPr>
              <w:jc w:val="center"/>
              <w:rPr>
                <w:rFonts w:ascii="Century Gothic" w:hAnsi="Century Gothic" w:cs="Times New Roman"/>
                <w:b/>
                <w:sz w:val="20"/>
                <w:szCs w:val="20"/>
              </w:rPr>
            </w:pPr>
            <w:r w:rsidRPr="00197D0A">
              <w:rPr>
                <w:rFonts w:ascii="Century Gothic" w:hAnsi="Century Gothic" w:cs="Times New Roman"/>
                <w:b/>
                <w:sz w:val="20"/>
                <w:szCs w:val="20"/>
              </w:rPr>
              <w:t>Sub Kategori</w:t>
            </w:r>
          </w:p>
        </w:tc>
        <w:tc>
          <w:tcPr>
            <w:tcW w:w="0" w:type="auto"/>
            <w:tcBorders>
              <w:top w:val="single" w:sz="2" w:space="0" w:color="auto"/>
              <w:bottom w:val="single" w:sz="2" w:space="0" w:color="000000"/>
            </w:tcBorders>
            <w:vAlign w:val="center"/>
          </w:tcPr>
          <w:p w:rsidR="00197D0A" w:rsidRPr="00197D0A" w:rsidRDefault="00197D0A" w:rsidP="0045712B">
            <w:pPr>
              <w:jc w:val="center"/>
              <w:rPr>
                <w:rFonts w:ascii="Century Gothic" w:hAnsi="Century Gothic" w:cs="Times New Roman"/>
                <w:b/>
                <w:sz w:val="20"/>
                <w:szCs w:val="20"/>
              </w:rPr>
            </w:pPr>
            <w:r w:rsidRPr="00197D0A">
              <w:rPr>
                <w:rFonts w:ascii="Century Gothic" w:hAnsi="Century Gothic" w:cs="Times New Roman"/>
                <w:b/>
                <w:sz w:val="20"/>
                <w:szCs w:val="20"/>
              </w:rPr>
              <w:t>Grafik</w:t>
            </w:r>
          </w:p>
        </w:tc>
        <w:tc>
          <w:tcPr>
            <w:tcW w:w="0" w:type="auto"/>
            <w:tcBorders>
              <w:top w:val="single" w:sz="2" w:space="0" w:color="auto"/>
              <w:bottom w:val="single" w:sz="2" w:space="0" w:color="000000"/>
            </w:tcBorders>
            <w:vAlign w:val="center"/>
          </w:tcPr>
          <w:p w:rsidR="00197D0A" w:rsidRPr="00197D0A" w:rsidRDefault="00197D0A" w:rsidP="0045712B">
            <w:pPr>
              <w:jc w:val="center"/>
              <w:rPr>
                <w:rFonts w:ascii="Century Gothic" w:hAnsi="Century Gothic" w:cs="Times New Roman"/>
                <w:b/>
                <w:sz w:val="20"/>
                <w:szCs w:val="20"/>
              </w:rPr>
            </w:pPr>
            <w:r w:rsidRPr="00197D0A">
              <w:rPr>
                <w:rFonts w:ascii="Century Gothic" w:hAnsi="Century Gothic" w:cs="Times New Roman"/>
                <w:b/>
                <w:sz w:val="20"/>
                <w:szCs w:val="20"/>
              </w:rPr>
              <w:t>Kesimpulan</w:t>
            </w:r>
          </w:p>
        </w:tc>
      </w:tr>
      <w:tr w:rsidR="00EF718F" w:rsidRPr="00197D0A" w:rsidTr="00EF718F">
        <w:trPr>
          <w:trHeight w:val="1399"/>
        </w:trPr>
        <w:tc>
          <w:tcPr>
            <w:tcW w:w="0" w:type="auto"/>
            <w:tcBorders>
              <w:top w:val="single" w:sz="2" w:space="0" w:color="000000"/>
            </w:tcBorders>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sz w:val="20"/>
                <w:szCs w:val="20"/>
                <w:lang w:val="af-ZA"/>
              </w:rPr>
              <w:t>Implementasi PLC</w:t>
            </w:r>
          </w:p>
        </w:tc>
        <w:tc>
          <w:tcPr>
            <w:tcW w:w="0" w:type="auto"/>
            <w:tcBorders>
              <w:top w:val="single" w:sz="2" w:space="0" w:color="000000"/>
            </w:tcBorders>
          </w:tcPr>
          <w:p w:rsidR="00197D0A" w:rsidRPr="00197D0A" w:rsidRDefault="00197D0A" w:rsidP="0045712B">
            <w:pPr>
              <w:rPr>
                <w:rFonts w:ascii="Century Gothic" w:hAnsi="Century Gothic" w:cs="Times New Roman"/>
                <w:color w:val="000000"/>
                <w:sz w:val="20"/>
                <w:szCs w:val="20"/>
              </w:rPr>
            </w:pPr>
            <w:r w:rsidRPr="00197D0A">
              <w:rPr>
                <w:rFonts w:ascii="Century Gothic" w:hAnsi="Century Gothic" w:cs="Times New Roman"/>
                <w:color w:val="000000"/>
                <w:sz w:val="20"/>
                <w:szCs w:val="20"/>
              </w:rPr>
              <w:t>Sosialisasi</w:t>
            </w:r>
          </w:p>
        </w:tc>
        <w:tc>
          <w:tcPr>
            <w:tcW w:w="0" w:type="auto"/>
            <w:tcBorders>
              <w:top w:val="single" w:sz="2" w:space="0" w:color="000000"/>
            </w:tcBorders>
          </w:tcPr>
          <w:p w:rsidR="00EF718F" w:rsidRDefault="00EF718F" w:rsidP="0045712B">
            <w:pPr>
              <w:pStyle w:val="ListParagraph"/>
              <w:ind w:left="-108"/>
              <w:jc w:val="center"/>
              <w:rPr>
                <w:rFonts w:ascii="Century Gothic" w:hAnsi="Century Gothic" w:cs="Times New Roman"/>
                <w:noProof/>
                <w:sz w:val="20"/>
                <w:szCs w:val="20"/>
              </w:rPr>
            </w:pPr>
          </w:p>
          <w:p w:rsidR="00197D0A" w:rsidRPr="00197D0A" w:rsidRDefault="00197D0A" w:rsidP="0045712B">
            <w:pPr>
              <w:pStyle w:val="ListParagraph"/>
              <w:ind w:left="-108"/>
              <w:jc w:val="center"/>
              <w:rPr>
                <w:rFonts w:ascii="Century Gothic" w:hAnsi="Century Gothic" w:cs="Times New Roman"/>
                <w:sz w:val="20"/>
                <w:szCs w:val="20"/>
                <w:lang w:val="af-ZA"/>
              </w:rPr>
            </w:pPr>
            <w:r w:rsidRPr="00197D0A">
              <w:rPr>
                <w:rFonts w:ascii="Century Gothic" w:hAnsi="Century Gothic" w:cs="Times New Roman"/>
                <w:noProof/>
                <w:sz w:val="20"/>
                <w:szCs w:val="20"/>
              </w:rPr>
              <w:drawing>
                <wp:inline distT="0" distB="0" distL="0" distR="0" wp14:anchorId="3AEC5AC7" wp14:editId="1863694D">
                  <wp:extent cx="968586" cy="775487"/>
                  <wp:effectExtent l="0" t="0" r="317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6889" cy="806154"/>
                          </a:xfrm>
                          <a:prstGeom prst="rect">
                            <a:avLst/>
                          </a:prstGeom>
                          <a:noFill/>
                          <a:ln>
                            <a:noFill/>
                          </a:ln>
                        </pic:spPr>
                      </pic:pic>
                    </a:graphicData>
                  </a:graphic>
                </wp:inline>
              </w:drawing>
            </w:r>
          </w:p>
        </w:tc>
        <w:tc>
          <w:tcPr>
            <w:tcW w:w="0" w:type="auto"/>
            <w:tcBorders>
              <w:top w:val="single" w:sz="2" w:space="0" w:color="000000"/>
            </w:tcBorders>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noProof/>
                <w:sz w:val="20"/>
                <w:szCs w:val="20"/>
              </w:rPr>
              <w:t>Sosialisasi program PLC lebih tinggi frekuensinya dibandingkan dengan sosialisasi akan peraturan PLC</w:t>
            </w:r>
          </w:p>
        </w:tc>
      </w:tr>
      <w:tr w:rsidR="00EF718F" w:rsidRPr="00197D0A" w:rsidTr="00EF718F">
        <w:trPr>
          <w:trHeight w:val="1631"/>
        </w:trPr>
        <w:tc>
          <w:tcPr>
            <w:tcW w:w="0" w:type="auto"/>
          </w:tcPr>
          <w:p w:rsidR="00197D0A" w:rsidRPr="00197D0A" w:rsidRDefault="00197D0A" w:rsidP="0045712B">
            <w:pPr>
              <w:rPr>
                <w:rFonts w:ascii="Century Gothic" w:hAnsi="Century Gothic" w:cs="Times New Roman"/>
                <w:sz w:val="20"/>
                <w:szCs w:val="20"/>
                <w:lang w:val="af-ZA"/>
              </w:rPr>
            </w:pPr>
          </w:p>
        </w:tc>
        <w:tc>
          <w:tcPr>
            <w:tcW w:w="0" w:type="auto"/>
          </w:tcPr>
          <w:p w:rsidR="00197D0A" w:rsidRPr="00197D0A" w:rsidRDefault="00197D0A" w:rsidP="0045712B">
            <w:pPr>
              <w:rPr>
                <w:rFonts w:ascii="Century Gothic" w:hAnsi="Century Gothic" w:cs="Times New Roman"/>
                <w:color w:val="000000"/>
                <w:sz w:val="20"/>
                <w:szCs w:val="20"/>
              </w:rPr>
            </w:pPr>
            <w:r w:rsidRPr="00197D0A">
              <w:rPr>
                <w:rFonts w:ascii="Century Gothic" w:hAnsi="Century Gothic" w:cs="Times New Roman"/>
                <w:color w:val="000000"/>
                <w:sz w:val="20"/>
                <w:szCs w:val="20"/>
              </w:rPr>
              <w:t xml:space="preserve">Komunikasi </w:t>
            </w:r>
          </w:p>
        </w:tc>
        <w:tc>
          <w:tcPr>
            <w:tcW w:w="0" w:type="auto"/>
          </w:tcPr>
          <w:p w:rsidR="00EF718F" w:rsidRDefault="00EF718F" w:rsidP="0045712B">
            <w:pPr>
              <w:pStyle w:val="ListParagraph"/>
              <w:ind w:left="0"/>
              <w:jc w:val="center"/>
              <w:rPr>
                <w:rFonts w:ascii="Century Gothic" w:hAnsi="Century Gothic" w:cs="Times New Roman"/>
                <w:noProof/>
                <w:sz w:val="20"/>
                <w:szCs w:val="20"/>
              </w:rPr>
            </w:pPr>
          </w:p>
          <w:p w:rsidR="00197D0A" w:rsidRPr="00197D0A" w:rsidRDefault="00197D0A" w:rsidP="0045712B">
            <w:pPr>
              <w:pStyle w:val="ListParagraph"/>
              <w:ind w:left="0"/>
              <w:jc w:val="center"/>
              <w:rPr>
                <w:rFonts w:ascii="Century Gothic" w:hAnsi="Century Gothic" w:cs="Times New Roman"/>
                <w:sz w:val="20"/>
                <w:szCs w:val="20"/>
                <w:lang w:val="af-ZA"/>
              </w:rPr>
            </w:pPr>
            <w:r w:rsidRPr="00197D0A">
              <w:rPr>
                <w:rFonts w:ascii="Century Gothic" w:hAnsi="Century Gothic" w:cs="Times New Roman"/>
                <w:noProof/>
                <w:sz w:val="20"/>
                <w:szCs w:val="20"/>
              </w:rPr>
              <w:drawing>
                <wp:inline distT="0" distB="0" distL="0" distR="0" wp14:anchorId="38CB5CC1" wp14:editId="6CB23147">
                  <wp:extent cx="921174" cy="737526"/>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788" cy="754831"/>
                          </a:xfrm>
                          <a:prstGeom prst="rect">
                            <a:avLst/>
                          </a:prstGeom>
                          <a:noFill/>
                          <a:ln>
                            <a:noFill/>
                          </a:ln>
                        </pic:spPr>
                      </pic:pic>
                    </a:graphicData>
                  </a:graphic>
                </wp:inline>
              </w:drawing>
            </w:r>
          </w:p>
        </w:tc>
        <w:tc>
          <w:tcPr>
            <w:tcW w:w="0" w:type="auto"/>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noProof/>
                <w:sz w:val="20"/>
                <w:szCs w:val="20"/>
              </w:rPr>
              <w:t>Proses komunikasi mengenai program PLC lebih banyak dilakukan dibandingkan dengan proses komunikasi terkait peraturan PLC</w:t>
            </w:r>
          </w:p>
        </w:tc>
      </w:tr>
      <w:tr w:rsidR="00EF718F" w:rsidRPr="00197D0A" w:rsidTr="00CE7BED">
        <w:tc>
          <w:tcPr>
            <w:tcW w:w="0" w:type="auto"/>
          </w:tcPr>
          <w:p w:rsidR="00197D0A" w:rsidRPr="00197D0A" w:rsidRDefault="00197D0A" w:rsidP="0045712B">
            <w:pPr>
              <w:rPr>
                <w:rFonts w:ascii="Century Gothic" w:hAnsi="Century Gothic" w:cs="Times New Roman"/>
                <w:sz w:val="20"/>
                <w:szCs w:val="20"/>
                <w:lang w:val="af-ZA"/>
              </w:rPr>
            </w:pPr>
          </w:p>
        </w:tc>
        <w:tc>
          <w:tcPr>
            <w:tcW w:w="0" w:type="auto"/>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sz w:val="20"/>
                <w:szCs w:val="20"/>
                <w:lang w:val="af-ZA"/>
              </w:rPr>
              <w:t>Pemahaman</w:t>
            </w:r>
          </w:p>
        </w:tc>
        <w:tc>
          <w:tcPr>
            <w:tcW w:w="0" w:type="auto"/>
          </w:tcPr>
          <w:p w:rsidR="00EF718F" w:rsidRDefault="00EF718F" w:rsidP="0045712B">
            <w:pPr>
              <w:jc w:val="center"/>
              <w:rPr>
                <w:rFonts w:ascii="Century Gothic" w:hAnsi="Century Gothic" w:cs="Times New Roman"/>
                <w:noProof/>
                <w:sz w:val="20"/>
                <w:szCs w:val="20"/>
              </w:rPr>
            </w:pPr>
          </w:p>
          <w:p w:rsidR="00197D0A" w:rsidRPr="00197D0A" w:rsidRDefault="00197D0A" w:rsidP="0045712B">
            <w:pPr>
              <w:jc w:val="center"/>
              <w:rPr>
                <w:rFonts w:ascii="Century Gothic" w:hAnsi="Century Gothic" w:cs="Times New Roman"/>
                <w:sz w:val="20"/>
                <w:szCs w:val="20"/>
                <w:lang w:val="af-ZA"/>
              </w:rPr>
            </w:pPr>
            <w:r w:rsidRPr="00197D0A">
              <w:rPr>
                <w:rFonts w:ascii="Century Gothic" w:hAnsi="Century Gothic" w:cs="Times New Roman"/>
                <w:noProof/>
                <w:sz w:val="20"/>
                <w:szCs w:val="20"/>
              </w:rPr>
              <w:drawing>
                <wp:inline distT="0" distB="0" distL="0" distR="0" wp14:anchorId="0B19507B" wp14:editId="65313082">
                  <wp:extent cx="948267" cy="759764"/>
                  <wp:effectExtent l="0" t="0" r="444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181" cy="776521"/>
                          </a:xfrm>
                          <a:prstGeom prst="rect">
                            <a:avLst/>
                          </a:prstGeom>
                          <a:noFill/>
                          <a:ln>
                            <a:noFill/>
                          </a:ln>
                        </pic:spPr>
                      </pic:pic>
                    </a:graphicData>
                  </a:graphic>
                </wp:inline>
              </w:drawing>
            </w:r>
          </w:p>
        </w:tc>
        <w:tc>
          <w:tcPr>
            <w:tcW w:w="0" w:type="auto"/>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sz w:val="20"/>
                <w:szCs w:val="20"/>
              </w:rPr>
              <w:t>Pemahaman guru akan program PLC lebih baik dibandingkan dengan pemahaman guru akan peraturan PLC.</w:t>
            </w:r>
          </w:p>
        </w:tc>
      </w:tr>
      <w:tr w:rsidR="00EF718F" w:rsidRPr="00197D0A" w:rsidTr="00CE7BED">
        <w:tc>
          <w:tcPr>
            <w:tcW w:w="0" w:type="auto"/>
          </w:tcPr>
          <w:p w:rsidR="00197D0A" w:rsidRPr="00197D0A" w:rsidRDefault="00197D0A" w:rsidP="0045712B">
            <w:pPr>
              <w:rPr>
                <w:rFonts w:ascii="Century Gothic" w:hAnsi="Century Gothic" w:cs="Times New Roman"/>
                <w:sz w:val="20"/>
                <w:szCs w:val="20"/>
                <w:lang w:val="af-ZA"/>
              </w:rPr>
            </w:pPr>
          </w:p>
        </w:tc>
        <w:tc>
          <w:tcPr>
            <w:tcW w:w="0" w:type="auto"/>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sz w:val="20"/>
                <w:szCs w:val="20"/>
                <w:lang w:val="af-ZA"/>
              </w:rPr>
              <w:t>Kepatuhan Dan Kepatutan</w:t>
            </w:r>
          </w:p>
        </w:tc>
        <w:tc>
          <w:tcPr>
            <w:tcW w:w="0" w:type="auto"/>
          </w:tcPr>
          <w:p w:rsidR="00EF718F" w:rsidRDefault="00EF718F" w:rsidP="0045712B">
            <w:pPr>
              <w:jc w:val="center"/>
              <w:rPr>
                <w:rFonts w:ascii="Century Gothic" w:hAnsi="Century Gothic" w:cs="Times New Roman"/>
                <w:noProof/>
                <w:sz w:val="20"/>
                <w:szCs w:val="20"/>
              </w:rPr>
            </w:pPr>
          </w:p>
          <w:p w:rsidR="00197D0A" w:rsidRPr="00197D0A" w:rsidRDefault="00197D0A" w:rsidP="0045712B">
            <w:pPr>
              <w:jc w:val="center"/>
              <w:rPr>
                <w:rFonts w:ascii="Century Gothic" w:hAnsi="Century Gothic" w:cs="Times New Roman"/>
                <w:sz w:val="20"/>
                <w:szCs w:val="20"/>
                <w:lang w:val="af-ZA"/>
              </w:rPr>
            </w:pPr>
            <w:r w:rsidRPr="00197D0A">
              <w:rPr>
                <w:rFonts w:ascii="Century Gothic" w:hAnsi="Century Gothic" w:cs="Times New Roman"/>
                <w:noProof/>
                <w:sz w:val="20"/>
                <w:szCs w:val="20"/>
              </w:rPr>
              <w:drawing>
                <wp:inline distT="0" distB="0" distL="0" distR="0" wp14:anchorId="2B1EE36A" wp14:editId="5B071A78">
                  <wp:extent cx="1022774" cy="818871"/>
                  <wp:effectExtent l="0" t="0" r="635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287" cy="828889"/>
                          </a:xfrm>
                          <a:prstGeom prst="rect">
                            <a:avLst/>
                          </a:prstGeom>
                          <a:noFill/>
                          <a:ln>
                            <a:noFill/>
                          </a:ln>
                        </pic:spPr>
                      </pic:pic>
                    </a:graphicData>
                  </a:graphic>
                </wp:inline>
              </w:drawing>
            </w:r>
          </w:p>
        </w:tc>
        <w:tc>
          <w:tcPr>
            <w:tcW w:w="0" w:type="auto"/>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noProof/>
                <w:sz w:val="20"/>
                <w:szCs w:val="20"/>
              </w:rPr>
              <w:t>Kepatuhan dan kepatutan yang dimiliki oleh guru terhadap program PLC lebih tinggi dibandingkan dengan kepatuhan dan kepatutan terhadap peraturan dalam menjalankan program PLC.</w:t>
            </w:r>
          </w:p>
        </w:tc>
      </w:tr>
      <w:tr w:rsidR="00EF718F" w:rsidRPr="00197D0A" w:rsidTr="00CE7BED">
        <w:tc>
          <w:tcPr>
            <w:tcW w:w="0" w:type="auto"/>
            <w:tcBorders>
              <w:bottom w:val="single" w:sz="2" w:space="0" w:color="000000"/>
            </w:tcBorders>
          </w:tcPr>
          <w:p w:rsidR="00197D0A" w:rsidRPr="00197D0A" w:rsidRDefault="00197D0A" w:rsidP="0045712B">
            <w:pPr>
              <w:rPr>
                <w:rFonts w:ascii="Century Gothic" w:hAnsi="Century Gothic" w:cs="Times New Roman"/>
                <w:sz w:val="20"/>
                <w:szCs w:val="20"/>
                <w:lang w:val="af-ZA"/>
              </w:rPr>
            </w:pPr>
          </w:p>
        </w:tc>
        <w:tc>
          <w:tcPr>
            <w:tcW w:w="0" w:type="auto"/>
            <w:tcBorders>
              <w:bottom w:val="single" w:sz="2" w:space="0" w:color="000000"/>
            </w:tcBorders>
          </w:tcPr>
          <w:p w:rsidR="00197D0A" w:rsidRPr="00197D0A" w:rsidRDefault="00197D0A" w:rsidP="0045712B">
            <w:pPr>
              <w:rPr>
                <w:rFonts w:ascii="Century Gothic" w:hAnsi="Century Gothic"/>
                <w:sz w:val="20"/>
                <w:szCs w:val="20"/>
              </w:rPr>
            </w:pPr>
            <w:r w:rsidRPr="00197D0A">
              <w:rPr>
                <w:rFonts w:ascii="Century Gothic" w:hAnsi="Century Gothic" w:cs="Times New Roman"/>
                <w:sz w:val="20"/>
                <w:szCs w:val="20"/>
                <w:lang w:val="af-ZA"/>
              </w:rPr>
              <w:t>Kekuatan Dan Kelemahan</w:t>
            </w:r>
          </w:p>
        </w:tc>
        <w:tc>
          <w:tcPr>
            <w:tcW w:w="0" w:type="auto"/>
            <w:tcBorders>
              <w:bottom w:val="single" w:sz="2" w:space="0" w:color="000000"/>
            </w:tcBorders>
          </w:tcPr>
          <w:p w:rsidR="00EF718F" w:rsidRDefault="00EF718F" w:rsidP="0045712B">
            <w:pPr>
              <w:jc w:val="center"/>
              <w:rPr>
                <w:rFonts w:ascii="Century Gothic" w:hAnsi="Century Gothic" w:cs="Times New Roman"/>
                <w:noProof/>
                <w:sz w:val="20"/>
                <w:szCs w:val="20"/>
              </w:rPr>
            </w:pPr>
          </w:p>
          <w:p w:rsidR="00197D0A" w:rsidRPr="00197D0A" w:rsidRDefault="00197D0A" w:rsidP="0045712B">
            <w:pPr>
              <w:jc w:val="center"/>
              <w:rPr>
                <w:rFonts w:ascii="Century Gothic" w:hAnsi="Century Gothic" w:cs="Times New Roman"/>
                <w:sz w:val="20"/>
                <w:szCs w:val="20"/>
                <w:lang w:val="af-ZA"/>
              </w:rPr>
            </w:pPr>
            <w:r w:rsidRPr="00197D0A">
              <w:rPr>
                <w:rFonts w:ascii="Century Gothic" w:hAnsi="Century Gothic" w:cs="Times New Roman"/>
                <w:noProof/>
                <w:sz w:val="20"/>
                <w:szCs w:val="20"/>
              </w:rPr>
              <w:drawing>
                <wp:inline distT="0" distB="0" distL="0" distR="0" wp14:anchorId="3A8F59F1" wp14:editId="287A3F0E">
                  <wp:extent cx="1043093" cy="835141"/>
                  <wp:effectExtent l="0" t="0" r="508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48" cy="846474"/>
                          </a:xfrm>
                          <a:prstGeom prst="rect">
                            <a:avLst/>
                          </a:prstGeom>
                          <a:noFill/>
                          <a:ln>
                            <a:noFill/>
                          </a:ln>
                        </pic:spPr>
                      </pic:pic>
                    </a:graphicData>
                  </a:graphic>
                </wp:inline>
              </w:drawing>
            </w:r>
          </w:p>
        </w:tc>
        <w:tc>
          <w:tcPr>
            <w:tcW w:w="0" w:type="auto"/>
            <w:tcBorders>
              <w:bottom w:val="single" w:sz="2" w:space="0" w:color="000000"/>
            </w:tcBorders>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cs="Times New Roman"/>
                <w:sz w:val="20"/>
                <w:szCs w:val="20"/>
              </w:rPr>
              <w:t>Indikator manajemen PLC menjadi kelemahan utama pelaksanaan PLC. Sedangkan kekuatan utama adalah kesempatan yang dimiliki dalam melaksanakan PLC</w:t>
            </w:r>
          </w:p>
        </w:tc>
      </w:tr>
      <w:tr w:rsidR="00EF718F" w:rsidRPr="00197D0A" w:rsidTr="00CE7BED">
        <w:tc>
          <w:tcPr>
            <w:tcW w:w="0" w:type="auto"/>
            <w:tcBorders>
              <w:top w:val="single" w:sz="2" w:space="0" w:color="000000"/>
              <w:bottom w:val="single" w:sz="2" w:space="0" w:color="auto"/>
            </w:tcBorders>
          </w:tcPr>
          <w:p w:rsidR="00197D0A" w:rsidRPr="00197D0A" w:rsidRDefault="00197D0A" w:rsidP="0045712B">
            <w:pPr>
              <w:rPr>
                <w:rFonts w:ascii="Century Gothic" w:hAnsi="Century Gothic" w:cs="Times New Roman"/>
                <w:sz w:val="20"/>
                <w:szCs w:val="20"/>
                <w:lang w:val="af-ZA"/>
              </w:rPr>
            </w:pPr>
            <w:r w:rsidRPr="00197D0A">
              <w:rPr>
                <w:rFonts w:ascii="Century Gothic" w:hAnsi="Century Gothic"/>
                <w:sz w:val="20"/>
                <w:szCs w:val="20"/>
              </w:rPr>
              <w:t>Program PLC</w:t>
            </w:r>
          </w:p>
        </w:tc>
        <w:tc>
          <w:tcPr>
            <w:tcW w:w="0" w:type="auto"/>
            <w:tcBorders>
              <w:top w:val="single" w:sz="2" w:space="0" w:color="000000"/>
              <w:bottom w:val="single" w:sz="2" w:space="0" w:color="auto"/>
            </w:tcBorders>
          </w:tcPr>
          <w:p w:rsidR="00197D0A" w:rsidRPr="00197D0A" w:rsidRDefault="00197D0A" w:rsidP="0045712B">
            <w:pPr>
              <w:jc w:val="both"/>
              <w:rPr>
                <w:rFonts w:ascii="Century Gothic" w:hAnsi="Century Gothic" w:cs="Times New Roman"/>
                <w:sz w:val="20"/>
                <w:szCs w:val="20"/>
                <w:lang w:val="af-ZA"/>
              </w:rPr>
            </w:pPr>
            <w:r w:rsidRPr="00197D0A">
              <w:rPr>
                <w:rFonts w:ascii="Century Gothic" w:hAnsi="Century Gothic" w:cs="Times New Roman"/>
                <w:sz w:val="20"/>
                <w:szCs w:val="20"/>
                <w:lang w:val="af-ZA"/>
              </w:rPr>
              <w:t>Definisi</w:t>
            </w:r>
          </w:p>
          <w:p w:rsidR="00197D0A" w:rsidRPr="00197D0A" w:rsidRDefault="00197D0A" w:rsidP="0045712B">
            <w:pPr>
              <w:jc w:val="both"/>
              <w:rPr>
                <w:rFonts w:ascii="Century Gothic" w:hAnsi="Century Gothic" w:cs="Times New Roman"/>
                <w:sz w:val="20"/>
                <w:szCs w:val="20"/>
                <w:lang w:val="af-ZA"/>
              </w:rPr>
            </w:pPr>
            <w:r w:rsidRPr="00197D0A">
              <w:rPr>
                <w:rFonts w:ascii="Century Gothic" w:hAnsi="Century Gothic" w:cs="Times New Roman"/>
                <w:sz w:val="20"/>
                <w:szCs w:val="20"/>
                <w:lang w:val="af-ZA"/>
              </w:rPr>
              <w:t xml:space="preserve">Tujuan </w:t>
            </w:r>
          </w:p>
          <w:p w:rsidR="00197D0A" w:rsidRPr="00197D0A" w:rsidRDefault="00197D0A" w:rsidP="0045712B">
            <w:pPr>
              <w:jc w:val="both"/>
              <w:rPr>
                <w:rFonts w:ascii="Century Gothic" w:hAnsi="Century Gothic" w:cs="Times New Roman"/>
                <w:sz w:val="20"/>
                <w:szCs w:val="20"/>
                <w:lang w:val="af-ZA"/>
              </w:rPr>
            </w:pPr>
            <w:r w:rsidRPr="00197D0A">
              <w:rPr>
                <w:rFonts w:ascii="Century Gothic" w:hAnsi="Century Gothic" w:cs="Times New Roman"/>
                <w:sz w:val="20"/>
                <w:szCs w:val="20"/>
                <w:lang w:val="af-ZA"/>
              </w:rPr>
              <w:t xml:space="preserve">Sasaran </w:t>
            </w:r>
          </w:p>
          <w:p w:rsidR="00197D0A" w:rsidRPr="00197D0A" w:rsidRDefault="00197D0A" w:rsidP="0045712B">
            <w:pPr>
              <w:jc w:val="both"/>
              <w:rPr>
                <w:rFonts w:ascii="Century Gothic" w:hAnsi="Century Gothic" w:cs="Times New Roman"/>
                <w:color w:val="000000"/>
                <w:sz w:val="20"/>
                <w:szCs w:val="20"/>
              </w:rPr>
            </w:pPr>
            <w:r w:rsidRPr="00197D0A">
              <w:rPr>
                <w:rFonts w:ascii="Century Gothic" w:hAnsi="Century Gothic" w:cs="Times New Roman"/>
                <w:color w:val="000000"/>
                <w:sz w:val="20"/>
                <w:szCs w:val="20"/>
              </w:rPr>
              <w:t>Jenis</w:t>
            </w:r>
          </w:p>
          <w:p w:rsidR="00197D0A" w:rsidRPr="00197D0A" w:rsidRDefault="00197D0A" w:rsidP="0045712B">
            <w:pPr>
              <w:jc w:val="both"/>
              <w:rPr>
                <w:rFonts w:ascii="Century Gothic" w:hAnsi="Century Gothic" w:cs="Times New Roman"/>
                <w:color w:val="000000"/>
                <w:sz w:val="20"/>
                <w:szCs w:val="20"/>
              </w:rPr>
            </w:pPr>
            <w:r w:rsidRPr="00197D0A">
              <w:rPr>
                <w:rFonts w:ascii="Century Gothic" w:hAnsi="Century Gothic" w:cs="Times New Roman"/>
                <w:color w:val="000000"/>
                <w:sz w:val="20"/>
                <w:szCs w:val="20"/>
              </w:rPr>
              <w:t>Manfaat</w:t>
            </w:r>
          </w:p>
          <w:p w:rsidR="00197D0A" w:rsidRPr="00197D0A" w:rsidRDefault="00197D0A" w:rsidP="0045712B">
            <w:pPr>
              <w:jc w:val="both"/>
              <w:rPr>
                <w:rFonts w:ascii="Century Gothic" w:hAnsi="Century Gothic" w:cs="Times New Roman"/>
                <w:color w:val="000000"/>
                <w:sz w:val="20"/>
                <w:szCs w:val="20"/>
              </w:rPr>
            </w:pPr>
            <w:r w:rsidRPr="00197D0A">
              <w:rPr>
                <w:rFonts w:ascii="Century Gothic" w:hAnsi="Century Gothic" w:cs="Times New Roman"/>
                <w:color w:val="000000"/>
                <w:sz w:val="20"/>
                <w:szCs w:val="20"/>
              </w:rPr>
              <w:t>Mekanisme</w:t>
            </w:r>
          </w:p>
          <w:p w:rsidR="00197D0A" w:rsidRPr="00197D0A" w:rsidRDefault="00197D0A" w:rsidP="0045712B">
            <w:pPr>
              <w:rPr>
                <w:rFonts w:ascii="Century Gothic" w:hAnsi="Century Gothic" w:cs="Times New Roman"/>
                <w:color w:val="000000"/>
                <w:sz w:val="20"/>
                <w:szCs w:val="20"/>
              </w:rPr>
            </w:pPr>
            <w:r w:rsidRPr="00197D0A">
              <w:rPr>
                <w:rFonts w:ascii="Century Gothic" w:hAnsi="Century Gothic" w:cs="Times New Roman"/>
                <w:color w:val="000000"/>
                <w:sz w:val="20"/>
                <w:szCs w:val="20"/>
              </w:rPr>
              <w:t>Persyaratan/standar</w:t>
            </w:r>
          </w:p>
        </w:tc>
        <w:tc>
          <w:tcPr>
            <w:tcW w:w="0" w:type="auto"/>
            <w:tcBorders>
              <w:top w:val="single" w:sz="2" w:space="0" w:color="000000"/>
              <w:bottom w:val="single" w:sz="2" w:space="0" w:color="auto"/>
            </w:tcBorders>
          </w:tcPr>
          <w:p w:rsidR="00EF718F" w:rsidRDefault="00EF718F" w:rsidP="0045712B">
            <w:pPr>
              <w:pStyle w:val="ListParagraph"/>
              <w:ind w:left="-108"/>
              <w:jc w:val="center"/>
              <w:rPr>
                <w:rFonts w:ascii="Century Gothic" w:hAnsi="Century Gothic" w:cs="Times New Roman"/>
                <w:noProof/>
                <w:sz w:val="20"/>
                <w:szCs w:val="20"/>
              </w:rPr>
            </w:pPr>
          </w:p>
          <w:p w:rsidR="00197D0A" w:rsidRPr="00197D0A" w:rsidRDefault="00197D0A" w:rsidP="0045712B">
            <w:pPr>
              <w:pStyle w:val="ListParagraph"/>
              <w:ind w:left="-108"/>
              <w:jc w:val="center"/>
              <w:rPr>
                <w:rFonts w:ascii="Century Gothic" w:hAnsi="Century Gothic" w:cs="Times New Roman"/>
                <w:sz w:val="20"/>
                <w:szCs w:val="20"/>
                <w:lang w:val="af-ZA"/>
              </w:rPr>
            </w:pPr>
            <w:r w:rsidRPr="00197D0A">
              <w:rPr>
                <w:rFonts w:ascii="Century Gothic" w:hAnsi="Century Gothic" w:cs="Times New Roman"/>
                <w:noProof/>
                <w:sz w:val="20"/>
                <w:szCs w:val="20"/>
              </w:rPr>
              <w:drawing>
                <wp:inline distT="0" distB="0" distL="0" distR="0" wp14:anchorId="74D1C104" wp14:editId="2DE6BADA">
                  <wp:extent cx="1449493" cy="1160520"/>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2922" cy="1187285"/>
                          </a:xfrm>
                          <a:prstGeom prst="rect">
                            <a:avLst/>
                          </a:prstGeom>
                          <a:noFill/>
                          <a:ln>
                            <a:noFill/>
                          </a:ln>
                        </pic:spPr>
                      </pic:pic>
                    </a:graphicData>
                  </a:graphic>
                </wp:inline>
              </w:drawing>
            </w:r>
          </w:p>
        </w:tc>
        <w:tc>
          <w:tcPr>
            <w:tcW w:w="0" w:type="auto"/>
            <w:tcBorders>
              <w:top w:val="single" w:sz="2" w:space="0" w:color="000000"/>
              <w:bottom w:val="single" w:sz="2" w:space="0" w:color="auto"/>
            </w:tcBorders>
          </w:tcPr>
          <w:p w:rsidR="00197D0A" w:rsidRPr="00197D0A" w:rsidRDefault="00197D0A" w:rsidP="0045712B">
            <w:pPr>
              <w:pStyle w:val="ListParagraph"/>
              <w:ind w:left="0"/>
              <w:jc w:val="both"/>
              <w:rPr>
                <w:rFonts w:ascii="Century Gothic" w:hAnsi="Century Gothic" w:cs="Times New Roman"/>
                <w:sz w:val="20"/>
                <w:szCs w:val="20"/>
                <w:lang w:val="af-ZA"/>
              </w:rPr>
            </w:pPr>
            <w:r w:rsidRPr="00197D0A">
              <w:rPr>
                <w:rFonts w:ascii="Century Gothic" w:hAnsi="Century Gothic" w:cs="Times New Roman"/>
                <w:sz w:val="20"/>
                <w:szCs w:val="20"/>
              </w:rPr>
              <w:t>Pemahaman guru akan tujuan program PLC memperoleh prosentase tertinggi diantara program PLC lainnya. Sedangkan untuk pemahaman guru akan mekanisme PLC memperoleh prosentase terendah dibandingkan dengan indicator program PLC lainnya</w:t>
            </w:r>
          </w:p>
        </w:tc>
      </w:tr>
    </w:tbl>
    <w:p w:rsidR="00197D0A" w:rsidRPr="00C75D7D" w:rsidRDefault="00197D0A" w:rsidP="00197D0A">
      <w:pPr>
        <w:spacing w:after="0" w:line="360" w:lineRule="auto"/>
        <w:jc w:val="both"/>
        <w:rPr>
          <w:rFonts w:ascii="Century Gothic" w:hAnsi="Century Gothic" w:cs="Times New Roman"/>
          <w:color w:val="000000"/>
          <w:sz w:val="20"/>
          <w:szCs w:val="20"/>
        </w:rPr>
      </w:pPr>
    </w:p>
    <w:p w:rsidR="00EF718F" w:rsidRDefault="00EF718F" w:rsidP="008F0C3F">
      <w:pPr>
        <w:pStyle w:val="ListParagraph"/>
        <w:numPr>
          <w:ilvl w:val="0"/>
          <w:numId w:val="5"/>
        </w:numPr>
        <w:spacing w:after="0" w:line="360" w:lineRule="auto"/>
        <w:ind w:left="360"/>
        <w:jc w:val="both"/>
        <w:rPr>
          <w:rFonts w:ascii="Century Gothic" w:hAnsi="Century Gothic" w:cs="Times New Roman"/>
          <w:color w:val="000000"/>
          <w:sz w:val="20"/>
          <w:szCs w:val="20"/>
        </w:rPr>
        <w:sectPr w:rsidR="00EF718F" w:rsidSect="00EF718F">
          <w:type w:val="continuous"/>
          <w:pgSz w:w="11907" w:h="16839" w:code="9"/>
          <w:pgMar w:top="1418" w:right="1418" w:bottom="1418" w:left="1418" w:header="720" w:footer="720" w:gutter="0"/>
          <w:cols w:space="720"/>
          <w:docGrid w:linePitch="360"/>
        </w:sectPr>
      </w:pPr>
    </w:p>
    <w:p w:rsidR="004B4805" w:rsidRPr="00352CB3" w:rsidRDefault="004B4805" w:rsidP="008F0C3F">
      <w:pPr>
        <w:pStyle w:val="ListParagraph"/>
        <w:numPr>
          <w:ilvl w:val="0"/>
          <w:numId w:val="5"/>
        </w:numPr>
        <w:spacing w:after="0" w:line="360" w:lineRule="auto"/>
        <w:ind w:left="360"/>
        <w:jc w:val="both"/>
        <w:rPr>
          <w:rFonts w:ascii="Century Gothic" w:hAnsi="Century Gothic" w:cs="Times New Roman"/>
          <w:color w:val="000000"/>
          <w:sz w:val="20"/>
          <w:szCs w:val="20"/>
        </w:rPr>
      </w:pPr>
      <w:r w:rsidRPr="00352CB3">
        <w:rPr>
          <w:rFonts w:ascii="Century Gothic" w:hAnsi="Century Gothic" w:cs="Times New Roman"/>
          <w:color w:val="000000"/>
          <w:sz w:val="20"/>
          <w:szCs w:val="20"/>
        </w:rPr>
        <w:lastRenderedPageBreak/>
        <w:t xml:space="preserve">Implementasi </w:t>
      </w:r>
      <w:r w:rsidRPr="00352CB3">
        <w:rPr>
          <w:rFonts w:ascii="Century Gothic" w:hAnsi="Century Gothic" w:cs="Times New Roman"/>
          <w:i/>
          <w:color w:val="000000"/>
          <w:sz w:val="20"/>
          <w:szCs w:val="20"/>
        </w:rPr>
        <w:t>Professional Learning Community</w:t>
      </w:r>
      <w:r w:rsidRPr="00352CB3">
        <w:rPr>
          <w:rFonts w:ascii="Century Gothic" w:hAnsi="Century Gothic" w:cs="Times New Roman"/>
          <w:color w:val="000000"/>
          <w:sz w:val="20"/>
          <w:szCs w:val="20"/>
        </w:rPr>
        <w:t xml:space="preserve"> (PLC) meliputi sosialisasi, komunikasi</w:t>
      </w:r>
      <w:r w:rsidRPr="00352CB3">
        <w:rPr>
          <w:rFonts w:ascii="Century Gothic" w:hAnsi="Century Gothic" w:cs="Times New Roman"/>
          <w:sz w:val="20"/>
          <w:szCs w:val="20"/>
          <w:lang w:val="af-ZA"/>
        </w:rPr>
        <w:t>, pemahaman, kepatuhan dan kepatutan PLC</w:t>
      </w:r>
      <w:r w:rsidRPr="00352CB3">
        <w:rPr>
          <w:rFonts w:ascii="Century Gothic" w:hAnsi="Century Gothic" w:cs="Times New Roman"/>
          <w:color w:val="000000"/>
          <w:sz w:val="20"/>
          <w:szCs w:val="20"/>
        </w:rPr>
        <w:t xml:space="preserve"> serta </w:t>
      </w:r>
      <w:r w:rsidRPr="00352CB3">
        <w:rPr>
          <w:rFonts w:ascii="Century Gothic" w:hAnsi="Century Gothic" w:cs="Times New Roman"/>
          <w:sz w:val="20"/>
          <w:szCs w:val="20"/>
          <w:lang w:val="af-ZA"/>
        </w:rPr>
        <w:t>kekuatan dan kelemahan PLC,</w:t>
      </w:r>
      <w:r w:rsidRPr="00352CB3">
        <w:rPr>
          <w:rFonts w:ascii="Century Gothic" w:hAnsi="Century Gothic" w:cs="Times New Roman"/>
          <w:color w:val="000000"/>
          <w:sz w:val="20"/>
          <w:szCs w:val="20"/>
        </w:rPr>
        <w:t xml:space="preserve"> pada sekolah dasar di Kabupaten Sumedang</w:t>
      </w:r>
    </w:p>
    <w:p w:rsidR="00EF718F" w:rsidRDefault="00FC3DC0" w:rsidP="00CD6BB2">
      <w:pPr>
        <w:spacing w:after="0" w:line="360" w:lineRule="auto"/>
        <w:ind w:firstLine="567"/>
        <w:jc w:val="both"/>
        <w:rPr>
          <w:rFonts w:ascii="Century Gothic" w:hAnsi="Century Gothic" w:cs="Times New Roman"/>
          <w:noProof/>
          <w:sz w:val="20"/>
          <w:szCs w:val="20"/>
        </w:rPr>
        <w:sectPr w:rsidR="00EF718F" w:rsidSect="00EF718F">
          <w:type w:val="continuous"/>
          <w:pgSz w:w="11907" w:h="16839" w:code="9"/>
          <w:pgMar w:top="1418" w:right="1418" w:bottom="1418" w:left="1418" w:header="720" w:footer="720" w:gutter="0"/>
          <w:cols w:num="2" w:space="720"/>
          <w:docGrid w:linePitch="360"/>
        </w:sectPr>
      </w:pPr>
      <w:r w:rsidRPr="008D722E">
        <w:rPr>
          <w:rFonts w:ascii="Century Gothic" w:hAnsi="Century Gothic" w:cs="Times New Roman"/>
          <w:color w:val="000000"/>
          <w:sz w:val="20"/>
          <w:szCs w:val="20"/>
        </w:rPr>
        <w:t xml:space="preserve">Sosialisasi yang meliputi arahan dari kepala sekolah terkait perkenalan program maupun peraturan yang dapat dilakukan oleh guru pada sekolah dasar di </w:t>
      </w:r>
      <w:r w:rsidRPr="008D722E">
        <w:rPr>
          <w:rFonts w:ascii="Century Gothic" w:hAnsi="Century Gothic" w:cs="Times New Roman"/>
          <w:color w:val="000000"/>
          <w:sz w:val="20"/>
          <w:szCs w:val="20"/>
        </w:rPr>
        <w:lastRenderedPageBreak/>
        <w:t xml:space="preserve">Kabupaten Sumedang </w:t>
      </w:r>
      <w:r w:rsidRPr="008D722E">
        <w:rPr>
          <w:rFonts w:ascii="Century Gothic" w:hAnsi="Century Gothic" w:cs="Times New Roman"/>
          <w:noProof/>
          <w:sz w:val="20"/>
          <w:szCs w:val="20"/>
        </w:rPr>
        <w:t>tercatat sebanyak 65% guru menyatakan bahwa para guru telah mendapatkan sosialisasi akan program PLC pada sekolah masing-masing. Sedangkan sebanyak 56% para guru telah mendapatkan sosialisasi mengenai peraturan PLC. Sehingga pada intinya, sosialisasi program PLC lebih tinggi frekuensinya dibandingkan dengan sosialisasi akan peraturan PLC.</w:t>
      </w:r>
    </w:p>
    <w:p w:rsidR="00647399" w:rsidRPr="00C75D7D" w:rsidRDefault="00C75D7D" w:rsidP="00EF718F">
      <w:pPr>
        <w:spacing w:after="0" w:line="360" w:lineRule="auto"/>
        <w:jc w:val="both"/>
        <w:rPr>
          <w:rFonts w:ascii="Century Gothic" w:hAnsi="Century Gothic" w:cs="Times New Roman"/>
          <w:color w:val="000000"/>
          <w:sz w:val="20"/>
          <w:szCs w:val="20"/>
        </w:rPr>
      </w:pPr>
      <w:r>
        <w:rPr>
          <w:rFonts w:ascii="Century Gothic" w:hAnsi="Century Gothic" w:cs="Times New Roman"/>
          <w:color w:val="000000"/>
          <w:sz w:val="20"/>
          <w:szCs w:val="20"/>
        </w:rPr>
        <w:lastRenderedPageBreak/>
        <w:t>Tabel 3.</w:t>
      </w:r>
      <w:r w:rsidR="00647399" w:rsidRPr="00C75D7D">
        <w:rPr>
          <w:rFonts w:ascii="Century Gothic" w:hAnsi="Century Gothic" w:cs="Times New Roman"/>
          <w:color w:val="000000"/>
          <w:sz w:val="20"/>
          <w:szCs w:val="20"/>
        </w:rPr>
        <w:t xml:space="preserve"> Sosialisasi PLC</w:t>
      </w:r>
    </w:p>
    <w:tbl>
      <w:tblPr>
        <w:tblW w:w="5476" w:type="dxa"/>
        <w:jc w:val="center"/>
        <w:tblBorders>
          <w:insideH w:val="single" w:sz="4" w:space="0" w:color="auto"/>
        </w:tblBorders>
        <w:tblLayout w:type="fixed"/>
        <w:tblCellMar>
          <w:left w:w="30" w:type="dxa"/>
          <w:right w:w="30" w:type="dxa"/>
        </w:tblCellMar>
        <w:tblLook w:val="0000" w:firstRow="0" w:lastRow="0" w:firstColumn="0" w:lastColumn="0" w:noHBand="0" w:noVBand="0"/>
      </w:tblPr>
      <w:tblGrid>
        <w:gridCol w:w="1214"/>
        <w:gridCol w:w="2159"/>
        <w:gridCol w:w="1007"/>
        <w:gridCol w:w="1096"/>
      </w:tblGrid>
      <w:tr w:rsidR="00647399" w:rsidRPr="00C75D7D" w:rsidTr="00EF718F">
        <w:trPr>
          <w:cantSplit/>
          <w:tblHeader/>
          <w:jc w:val="center"/>
        </w:trPr>
        <w:tc>
          <w:tcPr>
            <w:tcW w:w="1214" w:type="dxa"/>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Times New Roman"/>
                <w:sz w:val="20"/>
                <w:szCs w:val="20"/>
              </w:rPr>
            </w:pPr>
          </w:p>
        </w:tc>
        <w:tc>
          <w:tcPr>
            <w:tcW w:w="2159" w:type="dxa"/>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Times New Roman"/>
                <w:sz w:val="20"/>
                <w:szCs w:val="20"/>
              </w:rPr>
            </w:pPr>
          </w:p>
        </w:tc>
        <w:tc>
          <w:tcPr>
            <w:tcW w:w="100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647399" w:rsidRPr="00C75D7D" w:rsidRDefault="00647399" w:rsidP="00C75D7D">
            <w:pPr>
              <w:autoSpaceDE w:val="0"/>
              <w:autoSpaceDN w:val="0"/>
              <w:adjustRightInd w:val="0"/>
              <w:spacing w:after="0" w:line="240" w:lineRule="auto"/>
              <w:jc w:val="center"/>
              <w:rPr>
                <w:rFonts w:ascii="Century Gothic" w:hAnsi="Century Gothic" w:cs="Arial"/>
                <w:color w:val="000000"/>
                <w:sz w:val="20"/>
                <w:szCs w:val="20"/>
              </w:rPr>
            </w:pPr>
            <w:r w:rsidRPr="00C75D7D">
              <w:rPr>
                <w:rFonts w:ascii="Century Gothic" w:hAnsi="Century Gothic" w:cs="Arial"/>
                <w:color w:val="000000"/>
                <w:sz w:val="20"/>
                <w:szCs w:val="20"/>
              </w:rPr>
              <w:t>Program</w:t>
            </w:r>
          </w:p>
        </w:tc>
        <w:tc>
          <w:tcPr>
            <w:tcW w:w="109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647399" w:rsidRPr="00C75D7D" w:rsidRDefault="00647399" w:rsidP="00C75D7D">
            <w:pPr>
              <w:autoSpaceDE w:val="0"/>
              <w:autoSpaceDN w:val="0"/>
              <w:adjustRightInd w:val="0"/>
              <w:spacing w:after="0" w:line="240" w:lineRule="auto"/>
              <w:jc w:val="center"/>
              <w:rPr>
                <w:rFonts w:ascii="Century Gothic" w:hAnsi="Century Gothic" w:cs="Arial"/>
                <w:color w:val="000000"/>
                <w:sz w:val="20"/>
                <w:szCs w:val="20"/>
              </w:rPr>
            </w:pPr>
            <w:r w:rsidRPr="00C75D7D">
              <w:rPr>
                <w:rFonts w:ascii="Century Gothic" w:hAnsi="Century Gothic" w:cs="Arial"/>
                <w:color w:val="000000"/>
                <w:sz w:val="20"/>
                <w:szCs w:val="20"/>
              </w:rPr>
              <w:t>Peraturan</w:t>
            </w:r>
          </w:p>
        </w:tc>
      </w:tr>
      <w:tr w:rsidR="00647399" w:rsidRPr="00C75D7D" w:rsidTr="00EF718F">
        <w:trPr>
          <w:cantSplit/>
          <w:jc w:val="center"/>
        </w:trPr>
        <w:tc>
          <w:tcPr>
            <w:tcW w:w="1214" w:type="dxa"/>
            <w:vMerge w:val="restart"/>
            <w:tcBorders>
              <w:top w:val="single" w:sz="4" w:space="0" w:color="auto"/>
            </w:tcBorders>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N</w:t>
            </w:r>
          </w:p>
        </w:tc>
        <w:tc>
          <w:tcPr>
            <w:tcW w:w="2159" w:type="dxa"/>
            <w:tcBorders>
              <w:top w:val="single" w:sz="4" w:space="0" w:color="auto"/>
            </w:tcBorders>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Valid</w:t>
            </w:r>
          </w:p>
        </w:tc>
        <w:tc>
          <w:tcPr>
            <w:tcW w:w="1007" w:type="dxa"/>
            <w:tcBorders>
              <w:top w:val="single" w:sz="4" w:space="0" w:color="auto"/>
            </w:tcBorders>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52</w:t>
            </w:r>
          </w:p>
        </w:tc>
        <w:tc>
          <w:tcPr>
            <w:tcW w:w="1096" w:type="dxa"/>
            <w:tcBorders>
              <w:top w:val="single" w:sz="4" w:space="0" w:color="auto"/>
            </w:tcBorders>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52</w:t>
            </w:r>
          </w:p>
        </w:tc>
      </w:tr>
      <w:tr w:rsidR="00647399" w:rsidRPr="00C75D7D" w:rsidTr="00EF718F">
        <w:trPr>
          <w:cantSplit/>
          <w:jc w:val="center"/>
        </w:trPr>
        <w:tc>
          <w:tcPr>
            <w:tcW w:w="1214" w:type="dxa"/>
            <w:vMerge/>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Missing</w:t>
            </w:r>
          </w:p>
        </w:tc>
        <w:tc>
          <w:tcPr>
            <w:tcW w:w="1007"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Mean</w:t>
            </w:r>
          </w:p>
        </w:tc>
        <w:tc>
          <w:tcPr>
            <w:tcW w:w="1007"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.65</w:t>
            </w:r>
          </w:p>
        </w:tc>
        <w:tc>
          <w:tcPr>
            <w:tcW w:w="1096"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.56</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Std. Error of Mean</w:t>
            </w:r>
          </w:p>
        </w:tc>
        <w:tc>
          <w:tcPr>
            <w:tcW w:w="1007"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.067</w:t>
            </w:r>
          </w:p>
        </w:tc>
        <w:tc>
          <w:tcPr>
            <w:tcW w:w="1096"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.070</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C75D7D">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Median</w:t>
            </w:r>
          </w:p>
        </w:tc>
        <w:tc>
          <w:tcPr>
            <w:tcW w:w="1007"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1.00</w:t>
            </w:r>
          </w:p>
        </w:tc>
        <w:tc>
          <w:tcPr>
            <w:tcW w:w="1096" w:type="dxa"/>
            <w:shd w:val="clear" w:color="auto" w:fill="FFFFFF"/>
            <w:tcMar>
              <w:top w:w="30" w:type="dxa"/>
              <w:left w:w="30" w:type="dxa"/>
              <w:bottom w:w="30" w:type="dxa"/>
              <w:right w:w="30" w:type="dxa"/>
            </w:tcMar>
            <w:vAlign w:val="center"/>
          </w:tcPr>
          <w:p w:rsidR="00647399" w:rsidRPr="00C75D7D" w:rsidRDefault="00647399" w:rsidP="00C75D7D">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1.00</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Mode</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Std. Deviation</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.480</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.502</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Variance</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.231</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.252</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lastRenderedPageBreak/>
              <w:t>Skewness</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-.666</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-.239</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Std. Error of Skewness</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.330</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.330</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Kurtosis</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-1.620</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-2.022</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Std. Error of Kurtosis</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.650</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.650</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Range</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Minimum</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w:t>
            </w:r>
          </w:p>
        </w:tc>
      </w:tr>
      <w:tr w:rsidR="00647399" w:rsidRPr="00C75D7D" w:rsidTr="00EF718F">
        <w:trPr>
          <w:cantSplit/>
          <w:jc w:val="center"/>
        </w:trPr>
        <w:tc>
          <w:tcPr>
            <w:tcW w:w="3373" w:type="dxa"/>
            <w:gridSpan w:val="2"/>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Maximum</w:t>
            </w:r>
          </w:p>
        </w:tc>
        <w:tc>
          <w:tcPr>
            <w:tcW w:w="1007"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w:t>
            </w:r>
          </w:p>
        </w:tc>
      </w:tr>
      <w:tr w:rsidR="00647399" w:rsidRPr="00C75D7D" w:rsidTr="00A76ECE">
        <w:trPr>
          <w:cantSplit/>
          <w:jc w:val="center"/>
        </w:trPr>
        <w:tc>
          <w:tcPr>
            <w:tcW w:w="3373" w:type="dxa"/>
            <w:gridSpan w:val="2"/>
            <w:tcBorders>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Sum</w:t>
            </w:r>
          </w:p>
        </w:tc>
        <w:tc>
          <w:tcPr>
            <w:tcW w:w="1007" w:type="dxa"/>
            <w:tcBorders>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34</w:t>
            </w:r>
          </w:p>
        </w:tc>
        <w:tc>
          <w:tcPr>
            <w:tcW w:w="1096" w:type="dxa"/>
            <w:tcBorders>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29</w:t>
            </w:r>
          </w:p>
        </w:tc>
      </w:tr>
      <w:tr w:rsidR="00647399" w:rsidRPr="00C75D7D" w:rsidTr="00A76ECE">
        <w:trPr>
          <w:cantSplit/>
          <w:jc w:val="center"/>
        </w:trPr>
        <w:tc>
          <w:tcPr>
            <w:tcW w:w="1214" w:type="dxa"/>
            <w:vMerge w:val="restart"/>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Percentiles</w:t>
            </w:r>
          </w:p>
        </w:tc>
        <w:tc>
          <w:tcPr>
            <w:tcW w:w="2159" w:type="dxa"/>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25</w:t>
            </w:r>
          </w:p>
        </w:tc>
        <w:tc>
          <w:tcPr>
            <w:tcW w:w="100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.00</w:t>
            </w:r>
          </w:p>
        </w:tc>
        <w:tc>
          <w:tcPr>
            <w:tcW w:w="109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.00</w:t>
            </w:r>
          </w:p>
        </w:tc>
      </w:tr>
      <w:tr w:rsidR="00647399" w:rsidRPr="00C75D7D" w:rsidTr="00A76ECE">
        <w:trPr>
          <w:cantSplit/>
          <w:jc w:val="center"/>
        </w:trPr>
        <w:tc>
          <w:tcPr>
            <w:tcW w:w="1214" w:type="dxa"/>
            <w:vMerge/>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p>
        </w:tc>
        <w:tc>
          <w:tcPr>
            <w:tcW w:w="2159" w:type="dxa"/>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50</w:t>
            </w:r>
          </w:p>
        </w:tc>
        <w:tc>
          <w:tcPr>
            <w:tcW w:w="100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1.00</w:t>
            </w:r>
          </w:p>
        </w:tc>
        <w:tc>
          <w:tcPr>
            <w:tcW w:w="109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1.00</w:t>
            </w:r>
          </w:p>
        </w:tc>
      </w:tr>
      <w:tr w:rsidR="00647399" w:rsidRPr="00C75D7D" w:rsidTr="00A76ECE">
        <w:trPr>
          <w:cantSplit/>
          <w:jc w:val="center"/>
        </w:trPr>
        <w:tc>
          <w:tcPr>
            <w:tcW w:w="1214" w:type="dxa"/>
            <w:vMerge/>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p>
        </w:tc>
        <w:tc>
          <w:tcPr>
            <w:tcW w:w="2159" w:type="dxa"/>
            <w:tcBorders>
              <w:top w:val="single" w:sz="4" w:space="0" w:color="auto"/>
              <w:bottom w:val="single" w:sz="4" w:space="0" w:color="auto"/>
            </w:tcBorders>
            <w:shd w:val="clear" w:color="auto" w:fill="FFFFFF"/>
            <w:tcMar>
              <w:top w:w="30" w:type="dxa"/>
              <w:left w:w="30" w:type="dxa"/>
              <w:bottom w:w="30" w:type="dxa"/>
              <w:right w:w="30" w:type="dxa"/>
            </w:tcMar>
          </w:tcPr>
          <w:p w:rsidR="00647399" w:rsidRPr="00C75D7D" w:rsidRDefault="00647399" w:rsidP="0045712B">
            <w:pPr>
              <w:autoSpaceDE w:val="0"/>
              <w:autoSpaceDN w:val="0"/>
              <w:adjustRightInd w:val="0"/>
              <w:spacing w:after="0" w:line="240" w:lineRule="auto"/>
              <w:rPr>
                <w:rFonts w:ascii="Century Gothic" w:hAnsi="Century Gothic" w:cs="Arial"/>
                <w:color w:val="000000"/>
                <w:sz w:val="20"/>
                <w:szCs w:val="20"/>
              </w:rPr>
            </w:pPr>
            <w:r w:rsidRPr="00C75D7D">
              <w:rPr>
                <w:rFonts w:ascii="Century Gothic" w:hAnsi="Century Gothic" w:cs="Arial"/>
                <w:color w:val="000000"/>
                <w:sz w:val="20"/>
                <w:szCs w:val="20"/>
              </w:rPr>
              <w:t>75</w:t>
            </w:r>
          </w:p>
        </w:tc>
        <w:tc>
          <w:tcPr>
            <w:tcW w:w="100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1.00</w:t>
            </w:r>
          </w:p>
        </w:tc>
        <w:tc>
          <w:tcPr>
            <w:tcW w:w="109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647399" w:rsidRPr="00C75D7D" w:rsidRDefault="00647399" w:rsidP="0045712B">
            <w:pPr>
              <w:autoSpaceDE w:val="0"/>
              <w:autoSpaceDN w:val="0"/>
              <w:adjustRightInd w:val="0"/>
              <w:spacing w:after="0" w:line="240" w:lineRule="auto"/>
              <w:jc w:val="right"/>
              <w:rPr>
                <w:rFonts w:ascii="Century Gothic" w:hAnsi="Century Gothic" w:cs="Arial"/>
                <w:color w:val="000000"/>
                <w:sz w:val="20"/>
                <w:szCs w:val="20"/>
              </w:rPr>
            </w:pPr>
            <w:r w:rsidRPr="00C75D7D">
              <w:rPr>
                <w:rFonts w:ascii="Century Gothic" w:hAnsi="Century Gothic" w:cs="Arial"/>
                <w:color w:val="000000"/>
                <w:sz w:val="20"/>
                <w:szCs w:val="20"/>
              </w:rPr>
              <w:t>1.00</w:t>
            </w:r>
          </w:p>
        </w:tc>
      </w:tr>
    </w:tbl>
    <w:p w:rsidR="00647399" w:rsidRPr="00C75D7D" w:rsidRDefault="00647399" w:rsidP="00647399">
      <w:pPr>
        <w:pStyle w:val="ListParagraph"/>
        <w:spacing w:after="0" w:line="360" w:lineRule="auto"/>
        <w:jc w:val="both"/>
        <w:rPr>
          <w:rFonts w:ascii="Century Gothic" w:hAnsi="Century Gothic" w:cs="Times New Roman"/>
          <w:color w:val="000000"/>
          <w:sz w:val="20"/>
          <w:szCs w:val="20"/>
        </w:rPr>
      </w:pPr>
    </w:p>
    <w:p w:rsidR="00EF718F" w:rsidRDefault="00EF718F" w:rsidP="008D722E">
      <w:pPr>
        <w:pStyle w:val="ListParagraph"/>
        <w:spacing w:after="0" w:line="360" w:lineRule="auto"/>
        <w:ind w:left="0"/>
        <w:jc w:val="both"/>
        <w:rPr>
          <w:rFonts w:ascii="Century Gothic" w:hAnsi="Century Gothic" w:cs="Times New Roman"/>
          <w:noProof/>
          <w:sz w:val="20"/>
          <w:szCs w:val="20"/>
        </w:rPr>
        <w:sectPr w:rsidR="00EF718F" w:rsidSect="00EF718F">
          <w:type w:val="continuous"/>
          <w:pgSz w:w="11907" w:h="16839" w:code="9"/>
          <w:pgMar w:top="1418" w:right="1418" w:bottom="1418" w:left="1418" w:header="720" w:footer="720" w:gutter="0"/>
          <w:cols w:space="720"/>
          <w:docGrid w:linePitch="360"/>
        </w:sectPr>
      </w:pPr>
    </w:p>
    <w:p w:rsidR="008D722E" w:rsidRDefault="00FC3DC0" w:rsidP="008D722E">
      <w:pPr>
        <w:pStyle w:val="ListParagraph"/>
        <w:spacing w:after="0" w:line="360" w:lineRule="auto"/>
        <w:ind w:left="0"/>
        <w:jc w:val="both"/>
        <w:rPr>
          <w:rFonts w:ascii="Century Gothic" w:hAnsi="Century Gothic" w:cs="Times New Roman"/>
          <w:noProof/>
          <w:sz w:val="20"/>
          <w:szCs w:val="20"/>
        </w:rPr>
      </w:pPr>
      <w:r w:rsidRPr="00352CB3">
        <w:rPr>
          <w:rFonts w:ascii="Century Gothic" w:hAnsi="Century Gothic" w:cs="Times New Roman"/>
          <w:noProof/>
          <w:sz w:val="20"/>
          <w:szCs w:val="20"/>
        </w:rPr>
        <w:lastRenderedPageBreak/>
        <w:t xml:space="preserve">Pentingnya proses sosialisasi dalam pelaksanaan program akan terlihat pada hasil program yang dicapai. Guru akan lebih mudah untuk menjalankan dan mendukung program PLC yang </w:t>
      </w:r>
      <w:r w:rsidR="00B83392">
        <w:rPr>
          <w:rFonts w:ascii="Century Gothic" w:hAnsi="Century Gothic" w:cs="Times New Roman"/>
          <w:noProof/>
          <w:sz w:val="20"/>
          <w:szCs w:val="20"/>
        </w:rPr>
        <w:t>telah disepakati apabila guru me</w:t>
      </w:r>
      <w:r w:rsidRPr="00352CB3">
        <w:rPr>
          <w:rFonts w:ascii="Century Gothic" w:hAnsi="Century Gothic" w:cs="Times New Roman"/>
          <w:noProof/>
          <w:sz w:val="20"/>
          <w:szCs w:val="20"/>
        </w:rPr>
        <w:t>mahami tindakan yang harus dilakukan</w:t>
      </w:r>
      <w:r w:rsidR="00A76ECE">
        <w:rPr>
          <w:rFonts w:ascii="Century Gothic" w:hAnsi="Century Gothic" w:cs="Times New Roman"/>
          <w:noProof/>
          <w:sz w:val="20"/>
          <w:szCs w:val="20"/>
        </w:rPr>
        <w:t xml:space="preserve"> </w:t>
      </w:r>
      <w:r w:rsidR="00A76ECE">
        <w:rPr>
          <w:rFonts w:ascii="Century Gothic" w:hAnsi="Century Gothic" w:cs="Times New Roman"/>
          <w:noProof/>
          <w:sz w:val="20"/>
          <w:szCs w:val="20"/>
        </w:rPr>
        <w:fldChar w:fldCharType="begin" w:fldLock="1"/>
      </w:r>
      <w:r w:rsidR="00A76ECE">
        <w:rPr>
          <w:rFonts w:ascii="Century Gothic" w:hAnsi="Century Gothic" w:cs="Times New Roman"/>
          <w:noProof/>
          <w:sz w:val="20"/>
          <w:szCs w:val="20"/>
        </w:rPr>
        <w:instrText>ADDIN CSL_CITATION {"citationItems":[{"id":"ITEM-1","itemData":{"DOI":"10.1080/10632913.2015.970096","ISSN":"19404395","abstract":"As a result of Race to the Top, states across the country vied for school improvement grants in order to advance educational reforms including effective professional development and teacher collaboration within their school districts. Requirements of the grant included the development of teacher evaluation systems and a professional development model to support teacher growth and efficacy. Grant recipients unanimously chose to incorporate some type of professional learning community (PLC) and selected models that emphasized increasing and sustaining teacher collaboration in all disciplines. PLCs offer an opportunity for music educators to receive pedagogy specifically tailored to their discipline. Music teachers and arts supervisors should consider incorporating online PLCs into their programs not only to address professional development, but also to address teacher isolation and attrition and student achievement and, ultimately, to enact fundamental changes in their districts.","author":[{"dropping-particle":"","family":"Battersby","given":"Sharyn L.","non-dropping-particle":"","parse-names":false,"suffix":""},{"dropping-particle":"","family":"Verdi","given":"Brian","non-dropping-particle":"","parse-names":false,"suffix":""}],"container-title":"Arts Education Policy Review","id":"ITEM-1","issue":"1","issued":{"date-parts":[["2015"]]},"page":"22-29","title":"The Culture of Professional Learning Communities and Connections to Improve Teacher Efficacy and Support Student Learning","type":"article-journal","volume":"116"},"uris":["http://www.mendeley.com/documents/?uuid=0a174a8f-8a9d-4b4b-b82d-12d9e155667f"]}],"mendeley":{"formattedCitation":"(Battersby &amp; Verdi, 2015)","plainTextFormattedCitation":"(Battersby &amp; Verdi, 2015)","previouslyFormattedCitation":"(Battersby &amp; Verdi, 2015)"},"properties":{"noteIndex":0},"schema":"https://github.com/citation-style-language/schema/raw/master/csl-citation.json"}</w:instrText>
      </w:r>
      <w:r w:rsidR="00A76ECE">
        <w:rPr>
          <w:rFonts w:ascii="Century Gothic" w:hAnsi="Century Gothic" w:cs="Times New Roman"/>
          <w:noProof/>
          <w:sz w:val="20"/>
          <w:szCs w:val="20"/>
        </w:rPr>
        <w:fldChar w:fldCharType="separate"/>
      </w:r>
      <w:r w:rsidR="00A76ECE" w:rsidRPr="00A76ECE">
        <w:rPr>
          <w:rFonts w:ascii="Century Gothic" w:hAnsi="Century Gothic" w:cs="Times New Roman"/>
          <w:noProof/>
          <w:sz w:val="20"/>
          <w:szCs w:val="20"/>
        </w:rPr>
        <w:t>(Battersby &amp; Verdi, 2015)</w:t>
      </w:r>
      <w:r w:rsidR="00A76ECE">
        <w:rPr>
          <w:rFonts w:ascii="Century Gothic" w:hAnsi="Century Gothic" w:cs="Times New Roman"/>
          <w:noProof/>
          <w:sz w:val="20"/>
          <w:szCs w:val="20"/>
        </w:rPr>
        <w:fldChar w:fldCharType="end"/>
      </w:r>
      <w:r w:rsidRPr="00352CB3">
        <w:rPr>
          <w:rFonts w:ascii="Century Gothic" w:hAnsi="Century Gothic" w:cs="Times New Roman"/>
          <w:noProof/>
          <w:sz w:val="20"/>
          <w:szCs w:val="20"/>
        </w:rPr>
        <w:t>. Dalam hal ini berarti berkaitan pula dengan kemampuan kepala sekolah dalam memahami setiap alur dari program-program yang akan diarahkan pada guru-guru</w:t>
      </w:r>
      <w:r w:rsidR="00A76ECE">
        <w:rPr>
          <w:rFonts w:ascii="Century Gothic" w:hAnsi="Century Gothic" w:cs="Times New Roman"/>
          <w:noProof/>
          <w:sz w:val="20"/>
          <w:szCs w:val="20"/>
        </w:rPr>
        <w:t xml:space="preserve"> </w:t>
      </w:r>
      <w:r w:rsidR="00A76ECE">
        <w:rPr>
          <w:rFonts w:ascii="Century Gothic" w:hAnsi="Century Gothic" w:cs="Times New Roman"/>
          <w:noProof/>
          <w:sz w:val="20"/>
          <w:szCs w:val="20"/>
        </w:rPr>
        <w:fldChar w:fldCharType="begin" w:fldLock="1"/>
      </w:r>
      <w:r w:rsidR="00A76ECE">
        <w:rPr>
          <w:rFonts w:ascii="Century Gothic" w:hAnsi="Century Gothic" w:cs="Times New Roman"/>
          <w:noProof/>
          <w:sz w:val="20"/>
          <w:szCs w:val="20"/>
        </w:rPr>
        <w:instrText>ADDIN CSL_CITATION {"citationItems":[{"id":"ITEM-1","itemData":{"DOI":"10.1108/IJEM-04-2014-0046","ISBN":"0820130125","ISSN":"0951354X","abstract":"Purpose: The purpose of this paper is to explore supportive and shared leadership structures at schools as a function of school culture policies and procedures. Design/methodology/approach: A qualitative study was conducted at three secondary schools in the Midwestern USA. Administrators and teachers were interviewed, professional learning communities observed and artifacts collected to explore school culture policies, procedures and leadership in the implementation of professional learning community practice. Findings: This study concludes that school leaders must provide supportive and shared leadership structures for teachers in order to ensure a positive school culture and effective professional learning communities that impact school improvement. Leaders in schools must work directly with teachers to create policies and procedures that provide teachers the leadership structure to directly impact school improvement through professional learning community collaborative efforts. Originality/value: This study builds on the school culture and professional learning communities literature by exploring existent policies and practices in schools as unique cases. Much of the literature calls for specific case studies to identify issues in the implementation of effective practice. This study is important to the community as specific cases that may inform educational leaders on mechanisms that may be leveraged to ensure successful implementation of policies and procedures outline in school culture and professional learning community literature.","author":[{"dropping-particle":"","family":"Carpenter","given":"Daniel","non-dropping-particle":"","parse-names":false,"suffix":""}],"container-title":"International Journal of Educational Management","id":"ITEM-1","issue":"5","issued":{"date-parts":[["2015"]]},"page":"682-694","title":"School culture and leadership of professional learning communities","type":"article-journal","volume":"29"},"uris":["http://www.mendeley.com/documents/?uuid=3b61da7c-9651-4f57-af04-b0db29191a56"]}],"mendeley":{"formattedCitation":"(Carpenter, 2015)","plainTextFormattedCitation":"(Carpenter, 2015)","previouslyFormattedCitation":"(Carpenter, 2015)"},"properties":{"noteIndex":0},"schema":"https://github.com/citation-style-language/schema/raw/master/csl-citation.json"}</w:instrText>
      </w:r>
      <w:r w:rsidR="00A76ECE">
        <w:rPr>
          <w:rFonts w:ascii="Century Gothic" w:hAnsi="Century Gothic" w:cs="Times New Roman"/>
          <w:noProof/>
          <w:sz w:val="20"/>
          <w:szCs w:val="20"/>
        </w:rPr>
        <w:fldChar w:fldCharType="separate"/>
      </w:r>
      <w:r w:rsidR="00A76ECE" w:rsidRPr="00A76ECE">
        <w:rPr>
          <w:rFonts w:ascii="Century Gothic" w:hAnsi="Century Gothic" w:cs="Times New Roman"/>
          <w:noProof/>
          <w:sz w:val="20"/>
          <w:szCs w:val="20"/>
        </w:rPr>
        <w:t>(Carpenter, 2015)</w:t>
      </w:r>
      <w:r w:rsidR="00A76ECE">
        <w:rPr>
          <w:rFonts w:ascii="Century Gothic" w:hAnsi="Century Gothic" w:cs="Times New Roman"/>
          <w:noProof/>
          <w:sz w:val="20"/>
          <w:szCs w:val="20"/>
        </w:rPr>
        <w:fldChar w:fldCharType="end"/>
      </w:r>
      <w:r w:rsidRPr="00352CB3">
        <w:rPr>
          <w:rFonts w:ascii="Century Gothic" w:hAnsi="Century Gothic" w:cs="Times New Roman"/>
          <w:noProof/>
          <w:sz w:val="20"/>
          <w:szCs w:val="20"/>
        </w:rPr>
        <w:t>. Dari angka hasil penelitian menunjukan bahwa sosialisasi program dan peraturan PLC dapat dijalankan dengan baik yang diberikan oleh kepala sekolah dan berlangsung secara masif di tiap sekolah.</w:t>
      </w:r>
    </w:p>
    <w:p w:rsidR="00EF718F" w:rsidRDefault="004B4805" w:rsidP="008D722E">
      <w:pPr>
        <w:pStyle w:val="ListParagraph"/>
        <w:spacing w:after="0" w:line="360" w:lineRule="auto"/>
        <w:ind w:left="0" w:firstLine="567"/>
        <w:jc w:val="both"/>
        <w:rPr>
          <w:rFonts w:ascii="Century Gothic" w:hAnsi="Century Gothic" w:cs="Times New Roman"/>
          <w:noProof/>
          <w:sz w:val="20"/>
          <w:szCs w:val="20"/>
        </w:rPr>
        <w:sectPr w:rsidR="00EF718F" w:rsidSect="00EF718F">
          <w:type w:val="continuous"/>
          <w:pgSz w:w="11907" w:h="16839" w:code="9"/>
          <w:pgMar w:top="1418" w:right="1418" w:bottom="1418" w:left="1418" w:header="720" w:footer="720" w:gutter="0"/>
          <w:cols w:num="2" w:space="720"/>
          <w:docGrid w:linePitch="360"/>
        </w:sectPr>
      </w:pPr>
      <w:r w:rsidRPr="008D722E">
        <w:rPr>
          <w:rFonts w:ascii="Century Gothic" w:hAnsi="Century Gothic" w:cs="Times New Roman"/>
          <w:color w:val="000000"/>
          <w:sz w:val="20"/>
          <w:szCs w:val="20"/>
        </w:rPr>
        <w:lastRenderedPageBreak/>
        <w:t xml:space="preserve">Komunikasi </w:t>
      </w:r>
      <w:r w:rsidRPr="008D722E">
        <w:rPr>
          <w:rFonts w:ascii="Century Gothic" w:hAnsi="Century Gothic" w:cs="Times New Roman"/>
          <w:sz w:val="20"/>
          <w:szCs w:val="20"/>
          <w:lang w:val="af-ZA"/>
        </w:rPr>
        <w:t>PLC</w:t>
      </w:r>
      <w:r w:rsidR="00193A5F" w:rsidRPr="008D722E">
        <w:rPr>
          <w:rFonts w:ascii="Century Gothic" w:hAnsi="Century Gothic" w:cs="Times New Roman"/>
          <w:sz w:val="20"/>
          <w:szCs w:val="20"/>
          <w:lang w:val="af-ZA"/>
        </w:rPr>
        <w:t xml:space="preserve"> </w:t>
      </w:r>
      <w:r w:rsidR="008D722E">
        <w:rPr>
          <w:rFonts w:ascii="Century Gothic" w:hAnsi="Century Gothic" w:cs="Times New Roman"/>
          <w:noProof/>
          <w:sz w:val="20"/>
          <w:szCs w:val="20"/>
        </w:rPr>
        <w:t>memperlihatkan hasil bahwa</w:t>
      </w:r>
      <w:r w:rsidR="00193A5F" w:rsidRPr="008D722E">
        <w:rPr>
          <w:rFonts w:ascii="Century Gothic" w:hAnsi="Century Gothic" w:cs="Times New Roman"/>
          <w:noProof/>
          <w:sz w:val="20"/>
          <w:szCs w:val="20"/>
        </w:rPr>
        <w:t xml:space="preserve"> sebanyak 28 guru dari 52 guru yang menjadi responden menerapkan proses komunikasi mengenai program PLC. Hal ini </w:t>
      </w:r>
      <w:r w:rsidR="008D722E">
        <w:rPr>
          <w:rFonts w:ascii="Century Gothic" w:hAnsi="Century Gothic" w:cs="Times New Roman"/>
          <w:noProof/>
          <w:sz w:val="20"/>
          <w:szCs w:val="20"/>
        </w:rPr>
        <w:t>menunjukan</w:t>
      </w:r>
      <w:r w:rsidR="00193A5F" w:rsidRPr="008D722E">
        <w:rPr>
          <w:rFonts w:ascii="Century Gothic" w:hAnsi="Century Gothic" w:cs="Times New Roman"/>
          <w:noProof/>
          <w:sz w:val="20"/>
          <w:szCs w:val="20"/>
        </w:rPr>
        <w:t xml:space="preserve"> bahwa sebanyak </w:t>
      </w:r>
      <w:r w:rsidR="000D3DBA" w:rsidRPr="008D722E">
        <w:rPr>
          <w:rFonts w:ascii="Century Gothic" w:hAnsi="Century Gothic" w:cs="Times New Roman"/>
          <w:noProof/>
          <w:sz w:val="20"/>
          <w:szCs w:val="20"/>
        </w:rPr>
        <w:t>54</w:t>
      </w:r>
      <w:r w:rsidR="00193A5F" w:rsidRPr="008D722E">
        <w:rPr>
          <w:rFonts w:ascii="Century Gothic" w:hAnsi="Century Gothic" w:cs="Times New Roman"/>
          <w:noProof/>
          <w:sz w:val="20"/>
          <w:szCs w:val="20"/>
        </w:rPr>
        <w:t>% guru yang ada pada sekolah dasar di Kabupaten Sumedang mengimplementasikan proses komunikasi mengenai program PLC yang ada pada sekolah</w:t>
      </w:r>
      <w:r w:rsidR="008B2C4B" w:rsidRPr="008D722E">
        <w:rPr>
          <w:rFonts w:ascii="Century Gothic" w:hAnsi="Century Gothic" w:cs="Times New Roman"/>
          <w:noProof/>
          <w:sz w:val="20"/>
          <w:szCs w:val="20"/>
        </w:rPr>
        <w:t xml:space="preserve">nya. Selain itu, </w:t>
      </w:r>
      <w:r w:rsidR="00193A5F" w:rsidRPr="008D722E">
        <w:rPr>
          <w:rFonts w:ascii="Century Gothic" w:hAnsi="Century Gothic" w:cs="Times New Roman"/>
          <w:noProof/>
          <w:sz w:val="20"/>
          <w:szCs w:val="20"/>
        </w:rPr>
        <w:t>terkait d</w:t>
      </w:r>
      <w:r w:rsidR="008B2C4B" w:rsidRPr="008D722E">
        <w:rPr>
          <w:rFonts w:ascii="Century Gothic" w:hAnsi="Century Gothic" w:cs="Times New Roman"/>
          <w:noProof/>
          <w:sz w:val="20"/>
          <w:szCs w:val="20"/>
        </w:rPr>
        <w:t xml:space="preserve">engan komunikasi peraturan PLC dari data yang diperoleh </w:t>
      </w:r>
      <w:r w:rsidR="00193A5F" w:rsidRPr="008D722E">
        <w:rPr>
          <w:rFonts w:ascii="Century Gothic" w:hAnsi="Century Gothic" w:cs="Times New Roman"/>
          <w:noProof/>
          <w:sz w:val="20"/>
          <w:szCs w:val="20"/>
        </w:rPr>
        <w:t xml:space="preserve">hanya </w:t>
      </w:r>
      <w:r w:rsidR="008B2C4B" w:rsidRPr="008D722E">
        <w:rPr>
          <w:rFonts w:ascii="Century Gothic" w:hAnsi="Century Gothic" w:cs="Times New Roman"/>
          <w:noProof/>
          <w:sz w:val="20"/>
          <w:szCs w:val="20"/>
        </w:rPr>
        <w:t xml:space="preserve">ada </w:t>
      </w:r>
      <w:r w:rsidR="00193A5F" w:rsidRPr="008D722E">
        <w:rPr>
          <w:rFonts w:ascii="Century Gothic" w:hAnsi="Century Gothic" w:cs="Times New Roman"/>
          <w:noProof/>
          <w:sz w:val="20"/>
          <w:szCs w:val="20"/>
        </w:rPr>
        <w:t>22 orang guru dari 52 guru yang telah melaksanakan komunikas</w:t>
      </w:r>
      <w:r w:rsidR="008B2C4B" w:rsidRPr="008D722E">
        <w:rPr>
          <w:rFonts w:ascii="Century Gothic" w:hAnsi="Century Gothic" w:cs="Times New Roman"/>
          <w:noProof/>
          <w:sz w:val="20"/>
          <w:szCs w:val="20"/>
        </w:rPr>
        <w:t>i peraturan PLC. Maka sehubungan dengan hal itu</w:t>
      </w:r>
      <w:r w:rsidR="00193A5F" w:rsidRPr="008D722E">
        <w:rPr>
          <w:rFonts w:ascii="Century Gothic" w:hAnsi="Century Gothic" w:cs="Times New Roman"/>
          <w:noProof/>
          <w:sz w:val="20"/>
          <w:szCs w:val="20"/>
        </w:rPr>
        <w:t xml:space="preserve"> sebanyak 42% guru belum melakukan proses komunikasi terkait dengan peraturan pelaksanaan PLC.</w:t>
      </w:r>
    </w:p>
    <w:p w:rsidR="008D722E" w:rsidRPr="00A76ECE" w:rsidRDefault="00CE7BED" w:rsidP="00A76ECE">
      <w:pPr>
        <w:spacing w:after="0" w:line="360" w:lineRule="auto"/>
        <w:jc w:val="both"/>
        <w:rPr>
          <w:rFonts w:ascii="Century Gothic" w:hAnsi="Century Gothic" w:cs="Times New Roman"/>
          <w:sz w:val="20"/>
          <w:szCs w:val="20"/>
        </w:rPr>
      </w:pPr>
      <w:r w:rsidRPr="00A76ECE">
        <w:rPr>
          <w:rFonts w:ascii="Century Gothic" w:hAnsi="Century Gothic" w:cs="Times New Roman"/>
          <w:color w:val="000000"/>
          <w:sz w:val="20"/>
          <w:szCs w:val="20"/>
        </w:rPr>
        <w:lastRenderedPageBreak/>
        <w:t xml:space="preserve">Tabel 4. </w:t>
      </w:r>
      <w:r w:rsidR="008D722E" w:rsidRPr="00A76ECE">
        <w:rPr>
          <w:rFonts w:ascii="Century Gothic" w:hAnsi="Century Gothic" w:cs="Times New Roman"/>
          <w:color w:val="000000"/>
          <w:sz w:val="20"/>
          <w:szCs w:val="20"/>
        </w:rPr>
        <w:t>Komunikasi PLC</w:t>
      </w:r>
    </w:p>
    <w:tbl>
      <w:tblPr>
        <w:tblW w:w="5476" w:type="dxa"/>
        <w:jc w:val="center"/>
        <w:tblBorders>
          <w:insideH w:val="single" w:sz="2" w:space="0" w:color="auto"/>
        </w:tblBorders>
        <w:tblLayout w:type="fixed"/>
        <w:tblCellMar>
          <w:left w:w="30" w:type="dxa"/>
          <w:right w:w="30" w:type="dxa"/>
        </w:tblCellMar>
        <w:tblLook w:val="0000" w:firstRow="0" w:lastRow="0" w:firstColumn="0" w:lastColumn="0" w:noHBand="0" w:noVBand="0"/>
      </w:tblPr>
      <w:tblGrid>
        <w:gridCol w:w="1214"/>
        <w:gridCol w:w="2159"/>
        <w:gridCol w:w="1007"/>
        <w:gridCol w:w="1096"/>
      </w:tblGrid>
      <w:tr w:rsidR="008D722E" w:rsidRPr="008D722E" w:rsidTr="00A76ECE">
        <w:trPr>
          <w:cantSplit/>
          <w:tblHeader/>
          <w:jc w:val="center"/>
        </w:trPr>
        <w:tc>
          <w:tcPr>
            <w:tcW w:w="1214" w:type="dxa"/>
            <w:tcBorders>
              <w:top w:val="single" w:sz="4" w:space="0" w:color="auto"/>
              <w:bottom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Times New Roman"/>
                <w:sz w:val="20"/>
                <w:szCs w:val="20"/>
              </w:rPr>
            </w:pPr>
          </w:p>
        </w:tc>
        <w:tc>
          <w:tcPr>
            <w:tcW w:w="2159" w:type="dxa"/>
            <w:tcBorders>
              <w:top w:val="single" w:sz="4" w:space="0" w:color="auto"/>
              <w:bottom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Times New Roman"/>
                <w:sz w:val="20"/>
                <w:szCs w:val="20"/>
              </w:rPr>
            </w:pPr>
          </w:p>
        </w:tc>
        <w:tc>
          <w:tcPr>
            <w:tcW w:w="1007" w:type="dxa"/>
            <w:tcBorders>
              <w:top w:val="single" w:sz="4" w:space="0" w:color="auto"/>
              <w:bottom w:val="single" w:sz="2" w:space="0" w:color="auto"/>
            </w:tcBorders>
            <w:shd w:val="clear" w:color="auto" w:fill="FFFFFF"/>
            <w:tcMar>
              <w:top w:w="30" w:type="dxa"/>
              <w:left w:w="30" w:type="dxa"/>
              <w:bottom w:w="30" w:type="dxa"/>
              <w:right w:w="30" w:type="dxa"/>
            </w:tcMar>
            <w:vAlign w:val="bottom"/>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Program</w:t>
            </w:r>
          </w:p>
        </w:tc>
        <w:tc>
          <w:tcPr>
            <w:tcW w:w="1096" w:type="dxa"/>
            <w:tcBorders>
              <w:top w:val="single" w:sz="4" w:space="0" w:color="auto"/>
              <w:bottom w:val="single" w:sz="2" w:space="0" w:color="auto"/>
            </w:tcBorders>
            <w:shd w:val="clear" w:color="auto" w:fill="FFFFFF"/>
            <w:tcMar>
              <w:top w:w="30" w:type="dxa"/>
              <w:left w:w="30" w:type="dxa"/>
              <w:bottom w:w="30" w:type="dxa"/>
              <w:right w:w="30" w:type="dxa"/>
            </w:tcMar>
            <w:vAlign w:val="bottom"/>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Peraturan</w:t>
            </w:r>
          </w:p>
        </w:tc>
      </w:tr>
      <w:tr w:rsidR="008D722E" w:rsidRPr="008D722E" w:rsidTr="00A76ECE">
        <w:trPr>
          <w:cantSplit/>
          <w:tblHeader/>
          <w:jc w:val="center"/>
        </w:trPr>
        <w:tc>
          <w:tcPr>
            <w:tcW w:w="1214" w:type="dxa"/>
            <w:vMerge w:val="restart"/>
            <w:tcBorders>
              <w:top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N</w:t>
            </w:r>
          </w:p>
        </w:tc>
        <w:tc>
          <w:tcPr>
            <w:tcW w:w="2159" w:type="dxa"/>
            <w:tcBorders>
              <w:top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Valid</w:t>
            </w:r>
          </w:p>
        </w:tc>
        <w:tc>
          <w:tcPr>
            <w:tcW w:w="1007" w:type="dxa"/>
            <w:tcBorders>
              <w:top w:val="single" w:sz="2" w:space="0" w:color="auto"/>
            </w:tcBorders>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52</w:t>
            </w:r>
          </w:p>
        </w:tc>
        <w:tc>
          <w:tcPr>
            <w:tcW w:w="1096" w:type="dxa"/>
            <w:tcBorders>
              <w:top w:val="single" w:sz="2" w:space="0" w:color="auto"/>
            </w:tcBorders>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52</w:t>
            </w:r>
          </w:p>
        </w:tc>
      </w:tr>
      <w:tr w:rsidR="008D722E" w:rsidRPr="008D722E" w:rsidTr="00EF718F">
        <w:trPr>
          <w:cantSplit/>
          <w:tblHeader/>
          <w:jc w:val="center"/>
        </w:trPr>
        <w:tc>
          <w:tcPr>
            <w:tcW w:w="1214" w:type="dxa"/>
            <w:vMerge/>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Missing</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Mean</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.54</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.42</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Std. Error of Mean</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.070</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.069</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Median</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1.00</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.00</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Mode</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Std. Deviation</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.503</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.499</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Variance</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.253</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.249</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lastRenderedPageBreak/>
              <w:t>Skewness</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-.159</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.321</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Std. Error of Skewness</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.330</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.330</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Kurtosis</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-2.055</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-1.975</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Std. Error of Kurtosis</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.650</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.650</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Range</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Minimum</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w:t>
            </w:r>
          </w:p>
        </w:tc>
      </w:tr>
      <w:tr w:rsidR="008D722E" w:rsidRPr="008D722E" w:rsidTr="00EF718F">
        <w:trPr>
          <w:cantSplit/>
          <w:tblHeader/>
          <w:jc w:val="center"/>
        </w:trPr>
        <w:tc>
          <w:tcPr>
            <w:tcW w:w="3373" w:type="dxa"/>
            <w:gridSpan w:val="2"/>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Maximum</w:t>
            </w:r>
          </w:p>
        </w:tc>
        <w:tc>
          <w:tcPr>
            <w:tcW w:w="1007"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1</w:t>
            </w:r>
          </w:p>
        </w:tc>
      </w:tr>
      <w:tr w:rsidR="008D722E" w:rsidRPr="008D722E" w:rsidTr="00A76ECE">
        <w:trPr>
          <w:cantSplit/>
          <w:tblHeader/>
          <w:jc w:val="center"/>
        </w:trPr>
        <w:tc>
          <w:tcPr>
            <w:tcW w:w="3373" w:type="dxa"/>
            <w:gridSpan w:val="2"/>
            <w:tcBorders>
              <w:bottom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Sum</w:t>
            </w:r>
          </w:p>
        </w:tc>
        <w:tc>
          <w:tcPr>
            <w:tcW w:w="1007" w:type="dxa"/>
            <w:tcBorders>
              <w:bottom w:val="single" w:sz="2" w:space="0" w:color="auto"/>
            </w:tcBorders>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28</w:t>
            </w:r>
          </w:p>
        </w:tc>
        <w:tc>
          <w:tcPr>
            <w:tcW w:w="1096" w:type="dxa"/>
            <w:tcBorders>
              <w:bottom w:val="single" w:sz="2" w:space="0" w:color="auto"/>
            </w:tcBorders>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22</w:t>
            </w:r>
          </w:p>
        </w:tc>
      </w:tr>
      <w:tr w:rsidR="008D722E" w:rsidRPr="008D722E" w:rsidTr="00A76ECE">
        <w:trPr>
          <w:cantSplit/>
          <w:tblHeader/>
          <w:jc w:val="center"/>
        </w:trPr>
        <w:tc>
          <w:tcPr>
            <w:tcW w:w="1214" w:type="dxa"/>
            <w:vMerge w:val="restart"/>
            <w:tcBorders>
              <w:top w:val="single" w:sz="2" w:space="0" w:color="auto"/>
              <w:bottom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Percentiles</w:t>
            </w:r>
          </w:p>
        </w:tc>
        <w:tc>
          <w:tcPr>
            <w:tcW w:w="2159" w:type="dxa"/>
            <w:tcBorders>
              <w:top w:val="single" w:sz="2" w:space="0" w:color="auto"/>
              <w:bottom w:val="single" w:sz="2" w:space="0" w:color="auto"/>
            </w:tcBorders>
            <w:shd w:val="clear" w:color="auto" w:fill="FFFFFF"/>
            <w:tcMar>
              <w:top w:w="30" w:type="dxa"/>
              <w:left w:w="30" w:type="dxa"/>
              <w:bottom w:w="30" w:type="dxa"/>
              <w:right w:w="30" w:type="dxa"/>
            </w:tcMa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25</w:t>
            </w:r>
          </w:p>
        </w:tc>
        <w:tc>
          <w:tcPr>
            <w:tcW w:w="1007" w:type="dxa"/>
            <w:tcBorders>
              <w:top w:val="single" w:sz="2" w:space="0" w:color="auto"/>
              <w:bottom w:val="single" w:sz="2" w:space="0" w:color="auto"/>
            </w:tcBorders>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.00</w:t>
            </w:r>
          </w:p>
        </w:tc>
        <w:tc>
          <w:tcPr>
            <w:tcW w:w="1096" w:type="dxa"/>
            <w:tcBorders>
              <w:top w:val="single" w:sz="2" w:space="0" w:color="auto"/>
              <w:bottom w:val="single" w:sz="2" w:space="0" w:color="auto"/>
            </w:tcBorders>
            <w:shd w:val="clear" w:color="auto" w:fill="FFFFFF"/>
            <w:tcMar>
              <w:top w:w="30" w:type="dxa"/>
              <w:left w:w="30" w:type="dxa"/>
              <w:bottom w:w="30" w:type="dxa"/>
              <w:right w:w="30" w:type="dxa"/>
            </w:tcMar>
            <w:vAlign w:val="center"/>
          </w:tcPr>
          <w:p w:rsidR="008D722E" w:rsidRPr="008D722E" w:rsidRDefault="008D722E" w:rsidP="008D722E">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.00</w:t>
            </w:r>
          </w:p>
        </w:tc>
      </w:tr>
      <w:tr w:rsidR="008D722E" w:rsidRPr="008D722E" w:rsidTr="00A76ECE">
        <w:trPr>
          <w:cantSplit/>
          <w:tblHeader/>
          <w:jc w:val="center"/>
        </w:trPr>
        <w:tc>
          <w:tcPr>
            <w:tcW w:w="1214" w:type="dxa"/>
            <w:vMerge/>
            <w:tcBorders>
              <w:top w:val="single" w:sz="2" w:space="0" w:color="auto"/>
              <w:bottom w:val="single" w:sz="2" w:space="0" w:color="auto"/>
            </w:tcBorders>
            <w:shd w:val="clear" w:color="auto" w:fill="FFFFFF"/>
            <w:tcMar>
              <w:top w:w="30" w:type="dxa"/>
              <w:left w:w="30" w:type="dxa"/>
              <w:bottom w:w="30" w:type="dxa"/>
              <w:right w:w="30" w:type="dxa"/>
            </w:tcMar>
          </w:tcPr>
          <w:p w:rsidR="008D722E" w:rsidRPr="008D722E" w:rsidRDefault="008D722E" w:rsidP="0045712B">
            <w:pPr>
              <w:autoSpaceDE w:val="0"/>
              <w:autoSpaceDN w:val="0"/>
              <w:adjustRightInd w:val="0"/>
              <w:spacing w:after="0" w:line="240" w:lineRule="auto"/>
              <w:rPr>
                <w:rFonts w:ascii="Century Gothic" w:hAnsi="Century Gothic" w:cs="Arial"/>
                <w:color w:val="000000"/>
                <w:sz w:val="20"/>
                <w:szCs w:val="20"/>
              </w:rPr>
            </w:pPr>
          </w:p>
        </w:tc>
        <w:tc>
          <w:tcPr>
            <w:tcW w:w="2159" w:type="dxa"/>
            <w:tcBorders>
              <w:top w:val="single" w:sz="2" w:space="0" w:color="auto"/>
              <w:bottom w:val="single" w:sz="2" w:space="0" w:color="auto"/>
            </w:tcBorders>
            <w:shd w:val="clear" w:color="auto" w:fill="FFFFFF"/>
            <w:tcMar>
              <w:top w:w="30" w:type="dxa"/>
              <w:left w:w="30" w:type="dxa"/>
              <w:bottom w:w="30" w:type="dxa"/>
              <w:right w:w="30" w:type="dxa"/>
            </w:tcMar>
          </w:tcPr>
          <w:p w:rsidR="008D722E" w:rsidRPr="008D722E" w:rsidRDefault="008D722E" w:rsidP="0045712B">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50</w:t>
            </w:r>
          </w:p>
        </w:tc>
        <w:tc>
          <w:tcPr>
            <w:tcW w:w="1007" w:type="dxa"/>
            <w:tcBorders>
              <w:top w:val="single" w:sz="2" w:space="0" w:color="auto"/>
              <w:bottom w:val="single" w:sz="2" w:space="0" w:color="auto"/>
            </w:tcBorders>
            <w:shd w:val="clear" w:color="auto" w:fill="FFFFFF"/>
            <w:tcMar>
              <w:top w:w="30" w:type="dxa"/>
              <w:left w:w="30" w:type="dxa"/>
              <w:bottom w:w="30" w:type="dxa"/>
              <w:right w:w="30" w:type="dxa"/>
            </w:tcMar>
            <w:vAlign w:val="center"/>
          </w:tcPr>
          <w:p w:rsidR="008D722E" w:rsidRPr="008D722E" w:rsidRDefault="008D722E" w:rsidP="0045712B">
            <w:pPr>
              <w:autoSpaceDE w:val="0"/>
              <w:autoSpaceDN w:val="0"/>
              <w:adjustRightInd w:val="0"/>
              <w:spacing w:after="0" w:line="240" w:lineRule="auto"/>
              <w:jc w:val="right"/>
              <w:rPr>
                <w:rFonts w:ascii="Century Gothic" w:hAnsi="Century Gothic" w:cs="Arial"/>
                <w:color w:val="000000"/>
                <w:sz w:val="20"/>
                <w:szCs w:val="20"/>
              </w:rPr>
            </w:pPr>
            <w:r w:rsidRPr="008D722E">
              <w:rPr>
                <w:rFonts w:ascii="Century Gothic" w:hAnsi="Century Gothic" w:cs="Arial"/>
                <w:color w:val="000000"/>
                <w:sz w:val="20"/>
                <w:szCs w:val="20"/>
              </w:rPr>
              <w:t>1.00</w:t>
            </w:r>
          </w:p>
        </w:tc>
        <w:tc>
          <w:tcPr>
            <w:tcW w:w="1096" w:type="dxa"/>
            <w:tcBorders>
              <w:top w:val="single" w:sz="2" w:space="0" w:color="auto"/>
              <w:bottom w:val="single" w:sz="2" w:space="0" w:color="auto"/>
            </w:tcBorders>
            <w:shd w:val="clear" w:color="auto" w:fill="FFFFFF"/>
            <w:tcMar>
              <w:top w:w="30" w:type="dxa"/>
              <w:left w:w="30" w:type="dxa"/>
              <w:bottom w:w="30" w:type="dxa"/>
              <w:right w:w="30" w:type="dxa"/>
            </w:tcMar>
            <w:vAlign w:val="center"/>
          </w:tcPr>
          <w:p w:rsidR="008D722E" w:rsidRPr="008D722E" w:rsidRDefault="008D722E" w:rsidP="0045712B">
            <w:pPr>
              <w:autoSpaceDE w:val="0"/>
              <w:autoSpaceDN w:val="0"/>
              <w:adjustRightInd w:val="0"/>
              <w:spacing w:after="0" w:line="240" w:lineRule="auto"/>
              <w:jc w:val="right"/>
              <w:rPr>
                <w:rFonts w:ascii="Century Gothic" w:hAnsi="Century Gothic" w:cs="Arial"/>
                <w:color w:val="000000"/>
                <w:sz w:val="20"/>
                <w:szCs w:val="20"/>
              </w:rPr>
            </w:pPr>
            <w:r w:rsidRPr="008D722E">
              <w:rPr>
                <w:rFonts w:ascii="Century Gothic" w:hAnsi="Century Gothic" w:cs="Arial"/>
                <w:color w:val="000000"/>
                <w:sz w:val="20"/>
                <w:szCs w:val="20"/>
              </w:rPr>
              <w:t>.00</w:t>
            </w:r>
          </w:p>
        </w:tc>
      </w:tr>
      <w:tr w:rsidR="008D722E" w:rsidRPr="008D722E" w:rsidTr="00A76ECE">
        <w:trPr>
          <w:cantSplit/>
          <w:jc w:val="center"/>
        </w:trPr>
        <w:tc>
          <w:tcPr>
            <w:tcW w:w="1214" w:type="dxa"/>
            <w:vMerge/>
            <w:tcBorders>
              <w:top w:val="single" w:sz="2" w:space="0" w:color="auto"/>
              <w:bottom w:val="single" w:sz="4" w:space="0" w:color="auto"/>
            </w:tcBorders>
            <w:shd w:val="clear" w:color="auto" w:fill="FFFFFF"/>
            <w:tcMar>
              <w:top w:w="30" w:type="dxa"/>
              <w:left w:w="30" w:type="dxa"/>
              <w:bottom w:w="30" w:type="dxa"/>
              <w:right w:w="30" w:type="dxa"/>
            </w:tcMar>
          </w:tcPr>
          <w:p w:rsidR="008D722E" w:rsidRPr="008D722E" w:rsidRDefault="008D722E" w:rsidP="0045712B">
            <w:pPr>
              <w:autoSpaceDE w:val="0"/>
              <w:autoSpaceDN w:val="0"/>
              <w:adjustRightInd w:val="0"/>
              <w:spacing w:after="0" w:line="240" w:lineRule="auto"/>
              <w:rPr>
                <w:rFonts w:ascii="Century Gothic" w:hAnsi="Century Gothic" w:cs="Arial"/>
                <w:color w:val="000000"/>
                <w:sz w:val="20"/>
                <w:szCs w:val="20"/>
              </w:rPr>
            </w:pPr>
          </w:p>
        </w:tc>
        <w:tc>
          <w:tcPr>
            <w:tcW w:w="2159" w:type="dxa"/>
            <w:tcBorders>
              <w:top w:val="single" w:sz="2" w:space="0" w:color="auto"/>
              <w:bottom w:val="single" w:sz="4" w:space="0" w:color="auto"/>
            </w:tcBorders>
            <w:shd w:val="clear" w:color="auto" w:fill="FFFFFF"/>
            <w:tcMar>
              <w:top w:w="30" w:type="dxa"/>
              <w:left w:w="30" w:type="dxa"/>
              <w:bottom w:w="30" w:type="dxa"/>
              <w:right w:w="30" w:type="dxa"/>
            </w:tcMar>
          </w:tcPr>
          <w:p w:rsidR="008D722E" w:rsidRPr="008D722E" w:rsidRDefault="008D722E" w:rsidP="0045712B">
            <w:pPr>
              <w:autoSpaceDE w:val="0"/>
              <w:autoSpaceDN w:val="0"/>
              <w:adjustRightInd w:val="0"/>
              <w:spacing w:after="0" w:line="240" w:lineRule="auto"/>
              <w:rPr>
                <w:rFonts w:ascii="Century Gothic" w:hAnsi="Century Gothic" w:cs="Arial"/>
                <w:color w:val="000000"/>
                <w:sz w:val="20"/>
                <w:szCs w:val="20"/>
              </w:rPr>
            </w:pPr>
            <w:r w:rsidRPr="008D722E">
              <w:rPr>
                <w:rFonts w:ascii="Century Gothic" w:hAnsi="Century Gothic" w:cs="Arial"/>
                <w:color w:val="000000"/>
                <w:sz w:val="20"/>
                <w:szCs w:val="20"/>
              </w:rPr>
              <w:t>75</w:t>
            </w:r>
          </w:p>
        </w:tc>
        <w:tc>
          <w:tcPr>
            <w:tcW w:w="1007" w:type="dxa"/>
            <w:tcBorders>
              <w:top w:val="single" w:sz="2" w:space="0" w:color="auto"/>
              <w:bottom w:val="single" w:sz="4" w:space="0" w:color="auto"/>
            </w:tcBorders>
            <w:shd w:val="clear" w:color="auto" w:fill="FFFFFF"/>
            <w:tcMar>
              <w:top w:w="30" w:type="dxa"/>
              <w:left w:w="30" w:type="dxa"/>
              <w:bottom w:w="30" w:type="dxa"/>
              <w:right w:w="30" w:type="dxa"/>
            </w:tcMar>
            <w:vAlign w:val="center"/>
          </w:tcPr>
          <w:p w:rsidR="008D722E" w:rsidRPr="008D722E" w:rsidRDefault="008D722E" w:rsidP="0045712B">
            <w:pPr>
              <w:autoSpaceDE w:val="0"/>
              <w:autoSpaceDN w:val="0"/>
              <w:adjustRightInd w:val="0"/>
              <w:spacing w:after="0" w:line="240" w:lineRule="auto"/>
              <w:jc w:val="right"/>
              <w:rPr>
                <w:rFonts w:ascii="Century Gothic" w:hAnsi="Century Gothic" w:cs="Arial"/>
                <w:color w:val="000000"/>
                <w:sz w:val="20"/>
                <w:szCs w:val="20"/>
              </w:rPr>
            </w:pPr>
            <w:r w:rsidRPr="008D722E">
              <w:rPr>
                <w:rFonts w:ascii="Century Gothic" w:hAnsi="Century Gothic" w:cs="Arial"/>
                <w:color w:val="000000"/>
                <w:sz w:val="20"/>
                <w:szCs w:val="20"/>
              </w:rPr>
              <w:t>1.00</w:t>
            </w:r>
          </w:p>
        </w:tc>
        <w:tc>
          <w:tcPr>
            <w:tcW w:w="1096" w:type="dxa"/>
            <w:tcBorders>
              <w:top w:val="single" w:sz="2" w:space="0" w:color="auto"/>
              <w:bottom w:val="single" w:sz="4" w:space="0" w:color="auto"/>
            </w:tcBorders>
            <w:shd w:val="clear" w:color="auto" w:fill="FFFFFF"/>
            <w:tcMar>
              <w:top w:w="30" w:type="dxa"/>
              <w:left w:w="30" w:type="dxa"/>
              <w:bottom w:w="30" w:type="dxa"/>
              <w:right w:w="30" w:type="dxa"/>
            </w:tcMar>
            <w:vAlign w:val="center"/>
          </w:tcPr>
          <w:p w:rsidR="008D722E" w:rsidRPr="008D722E" w:rsidRDefault="008D722E" w:rsidP="0045712B">
            <w:pPr>
              <w:autoSpaceDE w:val="0"/>
              <w:autoSpaceDN w:val="0"/>
              <w:adjustRightInd w:val="0"/>
              <w:spacing w:after="0" w:line="240" w:lineRule="auto"/>
              <w:jc w:val="right"/>
              <w:rPr>
                <w:rFonts w:ascii="Century Gothic" w:hAnsi="Century Gothic" w:cs="Arial"/>
                <w:color w:val="000000"/>
                <w:sz w:val="20"/>
                <w:szCs w:val="20"/>
              </w:rPr>
            </w:pPr>
            <w:r w:rsidRPr="008D722E">
              <w:rPr>
                <w:rFonts w:ascii="Century Gothic" w:hAnsi="Century Gothic" w:cs="Arial"/>
                <w:color w:val="000000"/>
                <w:sz w:val="20"/>
                <w:szCs w:val="20"/>
              </w:rPr>
              <w:t>1.00</w:t>
            </w:r>
          </w:p>
        </w:tc>
      </w:tr>
    </w:tbl>
    <w:p w:rsidR="008D722E" w:rsidRPr="008D722E" w:rsidRDefault="008D722E" w:rsidP="008D722E">
      <w:pPr>
        <w:spacing w:after="0" w:line="360" w:lineRule="auto"/>
        <w:jc w:val="both"/>
        <w:rPr>
          <w:rFonts w:ascii="Century Gothic" w:hAnsi="Century Gothic" w:cs="Times New Roman"/>
          <w:noProof/>
          <w:sz w:val="20"/>
          <w:szCs w:val="20"/>
        </w:rPr>
      </w:pPr>
    </w:p>
    <w:p w:rsidR="00EF718F" w:rsidRDefault="00EF718F" w:rsidP="008D722E">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space="720"/>
          <w:docGrid w:linePitch="360"/>
        </w:sectPr>
      </w:pPr>
    </w:p>
    <w:p w:rsidR="008D722E" w:rsidRDefault="008D722E" w:rsidP="008D722E">
      <w:pPr>
        <w:pStyle w:val="ListParagraph"/>
        <w:spacing w:after="0" w:line="360" w:lineRule="auto"/>
        <w:ind w:left="0" w:firstLine="567"/>
        <w:jc w:val="both"/>
        <w:rPr>
          <w:rFonts w:ascii="Century Gothic" w:hAnsi="Century Gothic" w:cs="Times New Roman"/>
          <w:sz w:val="20"/>
          <w:szCs w:val="20"/>
        </w:rPr>
      </w:pPr>
      <w:r w:rsidRPr="008D722E">
        <w:rPr>
          <w:rFonts w:ascii="Century Gothic" w:hAnsi="Century Gothic" w:cs="Times New Roman"/>
          <w:sz w:val="20"/>
          <w:szCs w:val="20"/>
        </w:rPr>
        <w:lastRenderedPageBreak/>
        <w:t xml:space="preserve">Komunikasi </w:t>
      </w:r>
      <w:r w:rsidR="008B2C4B" w:rsidRPr="008D722E">
        <w:rPr>
          <w:rFonts w:ascii="Century Gothic" w:hAnsi="Century Gothic" w:cs="Times New Roman"/>
          <w:sz w:val="20"/>
          <w:szCs w:val="20"/>
        </w:rPr>
        <w:t xml:space="preserve">merupakan proses penyampaian pesan dari seorang komunikator kepada penerima pesan, proses komunikasi </w:t>
      </w:r>
      <w:r w:rsidR="000D3DBA" w:rsidRPr="008D722E">
        <w:rPr>
          <w:rFonts w:ascii="Century Gothic" w:hAnsi="Century Gothic" w:cs="Times New Roman"/>
          <w:sz w:val="20"/>
          <w:szCs w:val="20"/>
        </w:rPr>
        <w:t xml:space="preserve">ini harus </w:t>
      </w:r>
      <w:r w:rsidR="008B2C4B" w:rsidRPr="008D722E">
        <w:rPr>
          <w:rFonts w:ascii="Century Gothic" w:hAnsi="Century Gothic" w:cs="Times New Roman"/>
          <w:sz w:val="20"/>
          <w:szCs w:val="20"/>
        </w:rPr>
        <w:t>berjalan dua arah</w:t>
      </w:r>
      <w:r w:rsidR="00A76ECE">
        <w:rPr>
          <w:rFonts w:ascii="Century Gothic" w:hAnsi="Century Gothic" w:cs="Times New Roman"/>
          <w:sz w:val="20"/>
          <w:szCs w:val="20"/>
        </w:rPr>
        <w:t xml:space="preserve"> </w:t>
      </w:r>
      <w:r w:rsidR="00A76ECE">
        <w:rPr>
          <w:rFonts w:ascii="Century Gothic" w:hAnsi="Century Gothic" w:cs="Times New Roman"/>
          <w:sz w:val="20"/>
          <w:szCs w:val="20"/>
        </w:rPr>
        <w:fldChar w:fldCharType="begin" w:fldLock="1"/>
      </w:r>
      <w:r w:rsidR="00A76ECE">
        <w:rPr>
          <w:rFonts w:ascii="Century Gothic" w:hAnsi="Century Gothic" w:cs="Times New Roman"/>
          <w:sz w:val="20"/>
          <w:szCs w:val="20"/>
        </w:rPr>
        <w:instrText>ADDIN CSL_CITATION {"citationItems":[{"id":"ITEM-1","itemData":{"DOI":"10.1080/13664530.2012.752671","ISSN":"13664530","abstract":"This paper reports on a study of a community of university educators that investigated the introduction of mobile technologies into their learning and teaching. The study was conducted by a subgroup of that community. Given the ubiquity of mobile devices, members of the community felt they needed to develop expertise in mobile learning so that they could incorporate it into their teaching. They studied their own learning, supported by a critical friend who evaluated the community’s functioning and activities, providing valuable feedback. Activities of this group were informed by and focused on: development of awareness of the potential of mobile devices for learning; construction of action plans within the community; and implementation of these plans. They also included investigating best-practice approaches by interviewing experts in the field, exploring the literature on mobile learning and then initiating and testing some mobile learning pedagogies in the context of their own teacher education subjects. The community met regularly to discuss emerging issues and applications. The paper shares some of the findings gained from studying the community, and discusses the challenges and constraints that were experienced. The authors conclude with recommendations for professional learning communities aiming to learn about technology-mediated teaching practices.","author":[{"dropping-particle":"","family":"Schuck","given":"Sandy","non-dropping-particle":"","parse-names":false,"suffix":""},{"dropping-particle":"","family":"Aubusson","given":"Peter","non-dropping-particle":"","parse-names":false,"suffix":""},{"dropping-particle":"","family":"Kearney","given":"Matthew","non-dropping-particle":"","parse-names":false,"suffix":""},{"dropping-particle":"","family":"Burden","given":"Kevin","non-dropping-particle":"","parse-names":false,"suffix":""}],"container-title":"Teacher Development","id":"ITEM-1","issue":"1","issued":{"date-parts":[["2013"]]},"page":"1-18","title":"Mobilising teacher education: A study of a professional learning community","type":"article-journal","volume":"17"},"uris":["http://www.mendeley.com/documents/?uuid=804dbeff-c929-454c-8fe3-0838172dfbe5"]}],"mendeley":{"formattedCitation":"(Schuck et al., 2013)","plainTextFormattedCitation":"(Schuck et al., 2013)","previouslyFormattedCitation":"(Schuck et al., 2013)"},"properties":{"noteIndex":0},"schema":"https://github.com/citation-style-language/schema/raw/master/csl-citation.json"}</w:instrText>
      </w:r>
      <w:r w:rsidR="00A76ECE">
        <w:rPr>
          <w:rFonts w:ascii="Century Gothic" w:hAnsi="Century Gothic" w:cs="Times New Roman"/>
          <w:sz w:val="20"/>
          <w:szCs w:val="20"/>
        </w:rPr>
        <w:fldChar w:fldCharType="separate"/>
      </w:r>
      <w:r w:rsidR="00A76ECE" w:rsidRPr="00A76ECE">
        <w:rPr>
          <w:rFonts w:ascii="Century Gothic" w:hAnsi="Century Gothic" w:cs="Times New Roman"/>
          <w:noProof/>
          <w:sz w:val="20"/>
          <w:szCs w:val="20"/>
        </w:rPr>
        <w:t>(Schuck et al., 2013)</w:t>
      </w:r>
      <w:r w:rsidR="00A76ECE">
        <w:rPr>
          <w:rFonts w:ascii="Century Gothic" w:hAnsi="Century Gothic" w:cs="Times New Roman"/>
          <w:sz w:val="20"/>
          <w:szCs w:val="20"/>
        </w:rPr>
        <w:fldChar w:fldCharType="end"/>
      </w:r>
      <w:r w:rsidR="008B2C4B" w:rsidRPr="008D722E">
        <w:rPr>
          <w:rFonts w:ascii="Century Gothic" w:hAnsi="Century Gothic" w:cs="Times New Roman"/>
          <w:sz w:val="20"/>
          <w:szCs w:val="20"/>
        </w:rPr>
        <w:t>.</w:t>
      </w:r>
      <w:r w:rsidR="004B4805" w:rsidRPr="008D722E">
        <w:rPr>
          <w:rFonts w:ascii="Century Gothic" w:hAnsi="Century Gothic" w:cs="Times New Roman"/>
          <w:sz w:val="20"/>
          <w:szCs w:val="20"/>
        </w:rPr>
        <w:t xml:space="preserve"> </w:t>
      </w:r>
      <w:r w:rsidR="008B2C4B" w:rsidRPr="008D722E">
        <w:rPr>
          <w:rFonts w:ascii="Century Gothic" w:hAnsi="Century Gothic" w:cs="Times New Roman"/>
          <w:sz w:val="20"/>
          <w:szCs w:val="20"/>
        </w:rPr>
        <w:t>Dalam proses komunikasi ini yang menjadi syarat yaitu adanya umpan balik antara pemberi dan penerima pesan, dengan bergitu proses komunikasi akan berjalan dengan efektif dan informasi yang disampaikan akan diterima dengan baik</w:t>
      </w:r>
      <w:r w:rsidR="00A76ECE">
        <w:rPr>
          <w:rFonts w:ascii="Century Gothic" w:hAnsi="Century Gothic" w:cs="Times New Roman"/>
          <w:sz w:val="20"/>
          <w:szCs w:val="20"/>
        </w:rPr>
        <w:t xml:space="preserve"> </w:t>
      </w:r>
      <w:r w:rsidR="00A76ECE">
        <w:rPr>
          <w:rFonts w:ascii="Century Gothic" w:hAnsi="Century Gothic" w:cs="Times New Roman"/>
          <w:sz w:val="20"/>
          <w:szCs w:val="20"/>
        </w:rPr>
        <w:fldChar w:fldCharType="begin" w:fldLock="1"/>
      </w:r>
      <w:r w:rsidR="00A76ECE">
        <w:rPr>
          <w:rFonts w:ascii="Century Gothic" w:hAnsi="Century Gothic" w:cs="Times New Roman"/>
          <w:sz w:val="20"/>
          <w:szCs w:val="20"/>
        </w:rPr>
        <w:instrText>ADDIN CSL_CITATION {"citationItems":[{"id":"ITEM-1","itemData":{"DOI":"10.5539/ibr.v5n10p227","ISBN":"19139004","ISSN":"1913-9004","PMID":"82573941","abstract":"This paper examines the underappreciated differences between the effectiveness and measurement of current technical advances in business management methods and how aspects of transformational leadership, as exhibited by the prophet Moses, can more broadly and deeply contribute to an organization's success over the long term than these more easily defined procedures. These leadership issues tend to arise most acutely when a company's management comes under severe scrutiny during times of business scandals and related ethical crises. Using Warren Bennis's definition of charismatic leadership as a framework, we show how Moses exhibited the qualities of humility, tenacity, integrity, strength, creativity, and innovation, particularly in the field of succession planning, in completing his mission, transforming the 'organization' he led, and inspiring future generations. The conclusions here are supported not only by biblical passages but also by relevant business, management, and general literature. [ABSTRACT FROM AUTHOR] Copyright of International Business Research is the property of Canadian Center of Science &amp; Education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Abstracts.)","author":[{"dropping-particle":"","family":"Berendt","given":"Charles J","non-dropping-particle":"","parse-names":false,"suffix":""},{"dropping-particle":"","family":"Christofi","given":"Andreas","non-dropping-particle":"","parse-names":false,"suffix":""},{"dropping-particle":"","family":"Kasibhatla","given":"Krishna M","non-dropping-particle":"","parse-names":false,"suffix":""},{"dropping-particle":"","family":"Malindretos","given":"John","non-dropping-particle":"","parse-names":false,"suffix":""},{"dropping-particle":"","family":"Maruffi","given":"Brian","non-dropping-particle":"","parse-names":false,"suffix":""}],"container-title":"International Business Research","id":"ITEM-1","issue":"10","issued":{"date-parts":[["2012"]]},"page":"227-232","title":"Transformational leadership: Lessons in management for today","type":"article-journal","volume":"5"},"uris":["http://www.mendeley.com/documents/?uuid=fb10d788-9dea-4c2f-98fe-2570936ec105"]}],"mendeley":{"formattedCitation":"(Berendt, Christofi, Kasibhatla, Malindretos, &amp; Maruffi, 2012)","plainTextFormattedCitation":"(Berendt, Christofi, Kasibhatla, Malindretos, &amp; Maruffi, 2012)","previouslyFormattedCitation":"(Berendt, Christofi, Kasibhatla, Malindretos, &amp; Maruffi, 2012)"},"properties":{"noteIndex":0},"schema":"https://github.com/citation-style-language/schema/raw/master/csl-citation.json"}</w:instrText>
      </w:r>
      <w:r w:rsidR="00A76ECE">
        <w:rPr>
          <w:rFonts w:ascii="Century Gothic" w:hAnsi="Century Gothic" w:cs="Times New Roman"/>
          <w:sz w:val="20"/>
          <w:szCs w:val="20"/>
        </w:rPr>
        <w:fldChar w:fldCharType="separate"/>
      </w:r>
      <w:r w:rsidR="00A76ECE" w:rsidRPr="00A76ECE">
        <w:rPr>
          <w:rFonts w:ascii="Century Gothic" w:hAnsi="Century Gothic" w:cs="Times New Roman"/>
          <w:noProof/>
          <w:sz w:val="20"/>
          <w:szCs w:val="20"/>
        </w:rPr>
        <w:t>(Berendt, Christofi, Kasibhatla, Malindretos, &amp; Maruffi, 2012)</w:t>
      </w:r>
      <w:r w:rsidR="00A76ECE">
        <w:rPr>
          <w:rFonts w:ascii="Century Gothic" w:hAnsi="Century Gothic" w:cs="Times New Roman"/>
          <w:sz w:val="20"/>
          <w:szCs w:val="20"/>
        </w:rPr>
        <w:fldChar w:fldCharType="end"/>
      </w:r>
      <w:r w:rsidR="008B2C4B" w:rsidRPr="008D722E">
        <w:rPr>
          <w:rFonts w:ascii="Century Gothic" w:hAnsi="Century Gothic" w:cs="Times New Roman"/>
          <w:sz w:val="20"/>
          <w:szCs w:val="20"/>
        </w:rPr>
        <w:t xml:space="preserve">. </w:t>
      </w:r>
      <w:r w:rsidR="004B4805" w:rsidRPr="008D722E">
        <w:rPr>
          <w:rFonts w:ascii="Century Gothic" w:hAnsi="Century Gothic" w:cs="Times New Roman"/>
          <w:sz w:val="20"/>
          <w:szCs w:val="20"/>
        </w:rPr>
        <w:t>Hasil penelit</w:t>
      </w:r>
      <w:r w:rsidR="008B2C4B" w:rsidRPr="008D722E">
        <w:rPr>
          <w:rFonts w:ascii="Century Gothic" w:hAnsi="Century Gothic" w:cs="Times New Roman"/>
          <w:sz w:val="20"/>
          <w:szCs w:val="20"/>
        </w:rPr>
        <w:t xml:space="preserve">ian telah </w:t>
      </w:r>
      <w:r w:rsidR="004B4805" w:rsidRPr="008D722E">
        <w:rPr>
          <w:rFonts w:ascii="Century Gothic" w:hAnsi="Century Gothic" w:cs="Times New Roman"/>
          <w:sz w:val="20"/>
          <w:szCs w:val="20"/>
        </w:rPr>
        <w:t>menunjukkan kriteria baik pada komunikasi program PLC dan kriteria cukup baik pada komunikasi peraturan PLC</w:t>
      </w:r>
      <w:r w:rsidR="008B2C4B" w:rsidRPr="008D722E">
        <w:rPr>
          <w:rFonts w:ascii="Century Gothic" w:hAnsi="Century Gothic" w:cs="Times New Roman"/>
          <w:sz w:val="20"/>
          <w:szCs w:val="20"/>
        </w:rPr>
        <w:t xml:space="preserve">. Hal ini memperlihatkan </w:t>
      </w:r>
      <w:r w:rsidR="004B4805" w:rsidRPr="008D722E">
        <w:rPr>
          <w:rFonts w:ascii="Century Gothic" w:hAnsi="Century Gothic" w:cs="Times New Roman"/>
          <w:sz w:val="20"/>
          <w:szCs w:val="20"/>
        </w:rPr>
        <w:t xml:space="preserve">bahwa, para guru dan kepala sekolah </w:t>
      </w:r>
      <w:r w:rsidR="008B2C4B" w:rsidRPr="008D722E">
        <w:rPr>
          <w:rFonts w:ascii="Century Gothic" w:hAnsi="Century Gothic" w:cs="Times New Roman"/>
          <w:sz w:val="20"/>
          <w:szCs w:val="20"/>
        </w:rPr>
        <w:t>sebetulnya</w:t>
      </w:r>
      <w:r w:rsidR="004B4805" w:rsidRPr="008D722E">
        <w:rPr>
          <w:rFonts w:ascii="Century Gothic" w:hAnsi="Century Gothic" w:cs="Times New Roman"/>
          <w:sz w:val="20"/>
          <w:szCs w:val="20"/>
        </w:rPr>
        <w:t xml:space="preserve"> telah saling memberikan umpan balik </w:t>
      </w:r>
      <w:r w:rsidR="008B2C4B" w:rsidRPr="008D722E">
        <w:rPr>
          <w:rFonts w:ascii="Century Gothic" w:hAnsi="Century Gothic" w:cs="Times New Roman"/>
          <w:sz w:val="20"/>
          <w:szCs w:val="20"/>
        </w:rPr>
        <w:t xml:space="preserve">terkait dengan </w:t>
      </w:r>
      <w:r w:rsidR="004B4805" w:rsidRPr="008D722E">
        <w:rPr>
          <w:rFonts w:ascii="Century Gothic" w:hAnsi="Century Gothic" w:cs="Times New Roman"/>
          <w:sz w:val="20"/>
          <w:szCs w:val="20"/>
        </w:rPr>
        <w:t xml:space="preserve">bagaimana program dan peraturan PLC ini </w:t>
      </w:r>
      <w:r w:rsidR="008B2C4B" w:rsidRPr="008D722E">
        <w:rPr>
          <w:rFonts w:ascii="Century Gothic" w:hAnsi="Century Gothic" w:cs="Times New Roman"/>
          <w:sz w:val="20"/>
          <w:szCs w:val="20"/>
        </w:rPr>
        <w:t xml:space="preserve">agar dapat </w:t>
      </w:r>
      <w:r w:rsidR="004B4805" w:rsidRPr="008D722E">
        <w:rPr>
          <w:rFonts w:ascii="Century Gothic" w:hAnsi="Century Gothic" w:cs="Times New Roman"/>
          <w:sz w:val="20"/>
          <w:szCs w:val="20"/>
        </w:rPr>
        <w:t>dijalankan. Maka dalam prosesnya bisa jadi kepala se</w:t>
      </w:r>
      <w:r w:rsidR="008B2C4B" w:rsidRPr="008D722E">
        <w:rPr>
          <w:rFonts w:ascii="Century Gothic" w:hAnsi="Century Gothic" w:cs="Times New Roman"/>
          <w:sz w:val="20"/>
          <w:szCs w:val="20"/>
        </w:rPr>
        <w:t xml:space="preserve">kolah telah memberikan </w:t>
      </w:r>
      <w:r w:rsidR="008B2C4B" w:rsidRPr="008D722E">
        <w:rPr>
          <w:rFonts w:ascii="Century Gothic" w:hAnsi="Century Gothic" w:cs="Times New Roman"/>
          <w:sz w:val="20"/>
          <w:szCs w:val="20"/>
        </w:rPr>
        <w:lastRenderedPageBreak/>
        <w:t xml:space="preserve">berbagai </w:t>
      </w:r>
      <w:r w:rsidR="004B4805" w:rsidRPr="008D722E">
        <w:rPr>
          <w:rFonts w:ascii="Century Gothic" w:hAnsi="Century Gothic" w:cs="Times New Roman"/>
          <w:sz w:val="20"/>
          <w:szCs w:val="20"/>
        </w:rPr>
        <w:t xml:space="preserve">yang harus dilaksanakan dalam PLC. </w:t>
      </w:r>
      <w:r w:rsidR="008B2C4B" w:rsidRPr="008D722E">
        <w:rPr>
          <w:rFonts w:ascii="Century Gothic" w:hAnsi="Century Gothic" w:cs="Times New Roman"/>
          <w:sz w:val="20"/>
          <w:szCs w:val="20"/>
        </w:rPr>
        <w:t xml:space="preserve">Dengan begitu proses terakhir adalah bergantung pada bagaimana guru saling berkoordinasi untuk mewujudkan program PLC ini agar dapat terlaksana dengan baik. </w:t>
      </w:r>
    </w:p>
    <w:p w:rsidR="00EF718F" w:rsidRDefault="004B4805" w:rsidP="008D722E">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num="2" w:space="720"/>
          <w:docGrid w:linePitch="360"/>
        </w:sectPr>
      </w:pPr>
      <w:r w:rsidRPr="008D722E">
        <w:rPr>
          <w:rFonts w:ascii="Century Gothic" w:hAnsi="Century Gothic" w:cs="Times New Roman"/>
          <w:sz w:val="20"/>
          <w:szCs w:val="20"/>
          <w:lang w:val="af-ZA"/>
        </w:rPr>
        <w:t>Pemahaman PLC</w:t>
      </w:r>
      <w:r w:rsidR="00193A5F" w:rsidRPr="008D722E">
        <w:rPr>
          <w:rFonts w:ascii="Century Gothic" w:hAnsi="Century Gothic" w:cs="Times New Roman"/>
          <w:sz w:val="20"/>
          <w:szCs w:val="20"/>
          <w:lang w:val="af-ZA"/>
        </w:rPr>
        <w:t xml:space="preserve"> </w:t>
      </w:r>
      <w:r w:rsidR="008B2C4B" w:rsidRPr="008D722E">
        <w:rPr>
          <w:rFonts w:ascii="Century Gothic" w:hAnsi="Century Gothic" w:cs="Times New Roman"/>
          <w:sz w:val="20"/>
          <w:szCs w:val="20"/>
        </w:rPr>
        <w:t xml:space="preserve">memperlihatkan </w:t>
      </w:r>
      <w:r w:rsidRPr="008D722E">
        <w:rPr>
          <w:rFonts w:ascii="Century Gothic" w:hAnsi="Century Gothic" w:cs="Times New Roman"/>
          <w:sz w:val="20"/>
          <w:szCs w:val="20"/>
        </w:rPr>
        <w:t xml:space="preserve">sebanyak 37 guru dari 52 guru telah memahami program PLC dan sebanyak 34 orang guru dari 52 orang guru yang telah memahami peraturan PLC. </w:t>
      </w:r>
      <w:r w:rsidR="008B2C4B" w:rsidRPr="008D722E">
        <w:rPr>
          <w:rFonts w:ascii="Century Gothic" w:hAnsi="Century Gothic" w:cs="Times New Roman"/>
          <w:sz w:val="20"/>
          <w:szCs w:val="20"/>
        </w:rPr>
        <w:t xml:space="preserve">Sehingga dapat disimpulkan </w:t>
      </w:r>
      <w:r w:rsidRPr="008D722E">
        <w:rPr>
          <w:rFonts w:ascii="Century Gothic" w:hAnsi="Century Gothic" w:cs="Times New Roman"/>
          <w:sz w:val="20"/>
          <w:szCs w:val="20"/>
        </w:rPr>
        <w:t xml:space="preserve">sebanyak 71% guru telah memahami program PLC dan 65% guru telah memahami peraturan PLC. </w:t>
      </w:r>
      <w:r w:rsidR="008B2C4B" w:rsidRPr="008D722E">
        <w:rPr>
          <w:rFonts w:ascii="Century Gothic" w:hAnsi="Century Gothic" w:cs="Times New Roman"/>
          <w:sz w:val="20"/>
          <w:szCs w:val="20"/>
        </w:rPr>
        <w:t xml:space="preserve">Hasil </w:t>
      </w:r>
      <w:r w:rsidRPr="008D722E">
        <w:rPr>
          <w:rFonts w:ascii="Century Gothic" w:hAnsi="Century Gothic" w:cs="Times New Roman"/>
          <w:sz w:val="20"/>
          <w:szCs w:val="20"/>
        </w:rPr>
        <w:t xml:space="preserve">Ini pun menunjukkan </w:t>
      </w:r>
      <w:r w:rsidR="008B2C4B" w:rsidRPr="008D722E">
        <w:rPr>
          <w:rFonts w:ascii="Century Gothic" w:hAnsi="Century Gothic" w:cs="Times New Roman"/>
          <w:sz w:val="20"/>
          <w:szCs w:val="20"/>
        </w:rPr>
        <w:t>bahwa pemahaman guru berkenaan dengan</w:t>
      </w:r>
      <w:r w:rsidRPr="008D722E">
        <w:rPr>
          <w:rFonts w:ascii="Century Gothic" w:hAnsi="Century Gothic" w:cs="Times New Roman"/>
          <w:sz w:val="20"/>
          <w:szCs w:val="20"/>
        </w:rPr>
        <w:t xml:space="preserve"> program PLC lebih baik dibandingkan dengan pemahaman guru </w:t>
      </w:r>
      <w:r w:rsidR="008B2C4B" w:rsidRPr="008D722E">
        <w:rPr>
          <w:rFonts w:ascii="Century Gothic" w:hAnsi="Century Gothic" w:cs="Times New Roman"/>
          <w:sz w:val="20"/>
          <w:szCs w:val="20"/>
        </w:rPr>
        <w:t>tentang</w:t>
      </w:r>
      <w:r w:rsidRPr="008D722E">
        <w:rPr>
          <w:rFonts w:ascii="Century Gothic" w:hAnsi="Century Gothic" w:cs="Times New Roman"/>
          <w:sz w:val="20"/>
          <w:szCs w:val="20"/>
        </w:rPr>
        <w:t xml:space="preserve"> peraturan </w:t>
      </w:r>
      <w:r w:rsidR="00193A5F" w:rsidRPr="008D722E">
        <w:rPr>
          <w:rFonts w:ascii="Century Gothic" w:hAnsi="Century Gothic" w:cs="Times New Roman"/>
          <w:sz w:val="20"/>
          <w:szCs w:val="20"/>
        </w:rPr>
        <w:t xml:space="preserve">PLC. </w:t>
      </w:r>
      <w:r w:rsidRPr="008D722E">
        <w:rPr>
          <w:rFonts w:ascii="Century Gothic" w:hAnsi="Century Gothic" w:cs="Times New Roman"/>
          <w:sz w:val="20"/>
          <w:szCs w:val="20"/>
        </w:rPr>
        <w:t>Hasil penelitian</w:t>
      </w:r>
      <w:r w:rsidR="00A461B5" w:rsidRPr="008D722E">
        <w:rPr>
          <w:rFonts w:ascii="Century Gothic" w:hAnsi="Century Gothic" w:cs="Times New Roman"/>
          <w:sz w:val="20"/>
          <w:szCs w:val="20"/>
        </w:rPr>
        <w:t xml:space="preserve"> </w:t>
      </w:r>
      <w:r w:rsidRPr="008D722E">
        <w:rPr>
          <w:rFonts w:ascii="Century Gothic" w:hAnsi="Century Gothic" w:cs="Times New Roman"/>
          <w:sz w:val="20"/>
          <w:szCs w:val="20"/>
        </w:rPr>
        <w:t>menunjukkan kriteria yang baik mengenai pemahaman guru terh</w:t>
      </w:r>
      <w:r w:rsidR="0050357C">
        <w:rPr>
          <w:rFonts w:ascii="Century Gothic" w:hAnsi="Century Gothic" w:cs="Times New Roman"/>
          <w:sz w:val="20"/>
          <w:szCs w:val="20"/>
        </w:rPr>
        <w:t>adap program dan peraturan PLC.</w:t>
      </w:r>
    </w:p>
    <w:p w:rsidR="00EE11A6" w:rsidRPr="00197D0A" w:rsidRDefault="00CE7BED" w:rsidP="00EE11A6">
      <w:pPr>
        <w:autoSpaceDE w:val="0"/>
        <w:autoSpaceDN w:val="0"/>
        <w:adjustRightInd w:val="0"/>
        <w:spacing w:after="0" w:line="360" w:lineRule="auto"/>
        <w:rPr>
          <w:rFonts w:ascii="Century Gothic" w:hAnsi="Century Gothic" w:cs="Times New Roman"/>
          <w:sz w:val="20"/>
          <w:szCs w:val="20"/>
        </w:rPr>
      </w:pPr>
      <w:r>
        <w:rPr>
          <w:rFonts w:ascii="Century Gothic" w:hAnsi="Century Gothic" w:cs="Times New Roman"/>
          <w:color w:val="000000"/>
          <w:sz w:val="20"/>
          <w:szCs w:val="20"/>
        </w:rPr>
        <w:lastRenderedPageBreak/>
        <w:t>Tabel 5.</w:t>
      </w:r>
      <w:r w:rsidR="00EE11A6" w:rsidRPr="00197D0A">
        <w:rPr>
          <w:rFonts w:ascii="Century Gothic" w:hAnsi="Century Gothic" w:cs="Times New Roman"/>
          <w:color w:val="000000"/>
          <w:sz w:val="20"/>
          <w:szCs w:val="20"/>
        </w:rPr>
        <w:t xml:space="preserve"> Pemahaman PLC</w:t>
      </w:r>
    </w:p>
    <w:tbl>
      <w:tblPr>
        <w:tblW w:w="5476" w:type="dxa"/>
        <w:jc w:val="center"/>
        <w:tblBorders>
          <w:insideH w:val="single" w:sz="2" w:space="0" w:color="000000"/>
        </w:tblBorders>
        <w:tblLayout w:type="fixed"/>
        <w:tblCellMar>
          <w:left w:w="30" w:type="dxa"/>
          <w:right w:w="30" w:type="dxa"/>
        </w:tblCellMar>
        <w:tblLook w:val="0000" w:firstRow="0" w:lastRow="0" w:firstColumn="0" w:lastColumn="0" w:noHBand="0" w:noVBand="0"/>
      </w:tblPr>
      <w:tblGrid>
        <w:gridCol w:w="1214"/>
        <w:gridCol w:w="2159"/>
        <w:gridCol w:w="1007"/>
        <w:gridCol w:w="1096"/>
      </w:tblGrid>
      <w:tr w:rsidR="00EE11A6" w:rsidRPr="00197D0A" w:rsidTr="00A76ECE">
        <w:trPr>
          <w:cantSplit/>
          <w:tblHeader/>
          <w:jc w:val="center"/>
        </w:trPr>
        <w:tc>
          <w:tcPr>
            <w:tcW w:w="1214" w:type="dxa"/>
            <w:tcBorders>
              <w:top w:val="single" w:sz="4" w:space="0" w:color="auto"/>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Times New Roman"/>
                <w:sz w:val="20"/>
                <w:szCs w:val="20"/>
              </w:rPr>
            </w:pPr>
          </w:p>
        </w:tc>
        <w:tc>
          <w:tcPr>
            <w:tcW w:w="2159" w:type="dxa"/>
            <w:tcBorders>
              <w:top w:val="single" w:sz="4" w:space="0" w:color="auto"/>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Times New Roman"/>
                <w:sz w:val="20"/>
                <w:szCs w:val="20"/>
              </w:rPr>
            </w:pPr>
          </w:p>
        </w:tc>
        <w:tc>
          <w:tcPr>
            <w:tcW w:w="1007" w:type="dxa"/>
            <w:tcBorders>
              <w:top w:val="single" w:sz="4" w:space="0" w:color="auto"/>
              <w:bottom w:val="single" w:sz="2" w:space="0" w:color="000000"/>
            </w:tcBorders>
            <w:shd w:val="clear" w:color="auto" w:fill="FFFFFF"/>
            <w:tcMar>
              <w:top w:w="30" w:type="dxa"/>
              <w:left w:w="30" w:type="dxa"/>
              <w:bottom w:w="30" w:type="dxa"/>
              <w:right w:w="30" w:type="dxa"/>
            </w:tcMar>
            <w:vAlign w:val="bottom"/>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Program</w:t>
            </w:r>
          </w:p>
        </w:tc>
        <w:tc>
          <w:tcPr>
            <w:tcW w:w="1096" w:type="dxa"/>
            <w:tcBorders>
              <w:top w:val="single" w:sz="4" w:space="0" w:color="auto"/>
              <w:bottom w:val="single" w:sz="2" w:space="0" w:color="000000"/>
            </w:tcBorders>
            <w:shd w:val="clear" w:color="auto" w:fill="FFFFFF"/>
            <w:tcMar>
              <w:top w:w="30" w:type="dxa"/>
              <w:left w:w="30" w:type="dxa"/>
              <w:bottom w:w="30" w:type="dxa"/>
              <w:right w:w="30" w:type="dxa"/>
            </w:tcMar>
            <w:vAlign w:val="bottom"/>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Peraturan</w:t>
            </w:r>
          </w:p>
        </w:tc>
      </w:tr>
      <w:tr w:rsidR="00EE11A6" w:rsidRPr="00197D0A" w:rsidTr="00A76ECE">
        <w:trPr>
          <w:cantSplit/>
          <w:jc w:val="center"/>
        </w:trPr>
        <w:tc>
          <w:tcPr>
            <w:tcW w:w="1214" w:type="dxa"/>
            <w:vMerge w:val="restart"/>
            <w:tcBorders>
              <w:top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N</w:t>
            </w:r>
          </w:p>
        </w:tc>
        <w:tc>
          <w:tcPr>
            <w:tcW w:w="2159" w:type="dxa"/>
            <w:tcBorders>
              <w:top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Valid</w:t>
            </w:r>
          </w:p>
        </w:tc>
        <w:tc>
          <w:tcPr>
            <w:tcW w:w="1007" w:type="dxa"/>
            <w:tcBorders>
              <w:top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52</w:t>
            </w:r>
          </w:p>
        </w:tc>
        <w:tc>
          <w:tcPr>
            <w:tcW w:w="1096" w:type="dxa"/>
            <w:tcBorders>
              <w:top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52</w:t>
            </w:r>
          </w:p>
        </w:tc>
      </w:tr>
      <w:tr w:rsidR="00EE11A6" w:rsidRPr="00197D0A" w:rsidTr="00EF718F">
        <w:trPr>
          <w:cantSplit/>
          <w:jc w:val="center"/>
        </w:trPr>
        <w:tc>
          <w:tcPr>
            <w:tcW w:w="1214" w:type="dxa"/>
            <w:vMerge/>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Missing</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Mean</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.71</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.65</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Error of Mean</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.063</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.067</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lastRenderedPageBreak/>
              <w:t>Median</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1.00</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1.00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Mode</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Deviation</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.457</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.480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Variance</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.209</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.231</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Skewness</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-.962</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-.666</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Error of Skewness</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.330</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.330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Kurtosis</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-1.120</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-1.620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Error of Kurtosis</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.650</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.650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Range</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Minimum</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w:t>
            </w:r>
          </w:p>
        </w:tc>
      </w:tr>
      <w:tr w:rsidR="00EE11A6" w:rsidRPr="00197D0A" w:rsidTr="00EF718F">
        <w:trPr>
          <w:cantSplit/>
          <w:jc w:val="center"/>
        </w:trPr>
        <w:tc>
          <w:tcPr>
            <w:tcW w:w="3373" w:type="dxa"/>
            <w:gridSpan w:val="2"/>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Maximum</w:t>
            </w:r>
          </w:p>
        </w:tc>
        <w:tc>
          <w:tcPr>
            <w:tcW w:w="1007"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w:t>
            </w:r>
          </w:p>
        </w:tc>
      </w:tr>
      <w:tr w:rsidR="00EE11A6" w:rsidRPr="00197D0A" w:rsidTr="00A76ECE">
        <w:trPr>
          <w:cantSplit/>
          <w:jc w:val="center"/>
        </w:trPr>
        <w:tc>
          <w:tcPr>
            <w:tcW w:w="3373" w:type="dxa"/>
            <w:gridSpan w:val="2"/>
            <w:tcBorders>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Sum</w:t>
            </w:r>
          </w:p>
        </w:tc>
        <w:tc>
          <w:tcPr>
            <w:tcW w:w="1007" w:type="dxa"/>
            <w:tcBorders>
              <w:bottom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37</w:t>
            </w:r>
          </w:p>
        </w:tc>
        <w:tc>
          <w:tcPr>
            <w:tcW w:w="1096" w:type="dxa"/>
            <w:tcBorders>
              <w:bottom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34</w:t>
            </w:r>
          </w:p>
        </w:tc>
      </w:tr>
      <w:tr w:rsidR="00EE11A6" w:rsidRPr="00197D0A" w:rsidTr="00A76ECE">
        <w:trPr>
          <w:cantSplit/>
          <w:jc w:val="center"/>
        </w:trPr>
        <w:tc>
          <w:tcPr>
            <w:tcW w:w="1214" w:type="dxa"/>
            <w:vMerge w:val="restart"/>
            <w:tcBorders>
              <w:top w:val="single" w:sz="2" w:space="0" w:color="000000"/>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Percentiles</w:t>
            </w:r>
          </w:p>
        </w:tc>
        <w:tc>
          <w:tcPr>
            <w:tcW w:w="2159" w:type="dxa"/>
            <w:tcBorders>
              <w:top w:val="single" w:sz="2" w:space="0" w:color="000000"/>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25</w:t>
            </w:r>
          </w:p>
        </w:tc>
        <w:tc>
          <w:tcPr>
            <w:tcW w:w="1007"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.00</w:t>
            </w:r>
          </w:p>
        </w:tc>
        <w:tc>
          <w:tcPr>
            <w:tcW w:w="1096"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.00</w:t>
            </w:r>
          </w:p>
        </w:tc>
      </w:tr>
      <w:tr w:rsidR="00EE11A6" w:rsidRPr="00197D0A" w:rsidTr="00A76ECE">
        <w:trPr>
          <w:cantSplit/>
          <w:jc w:val="center"/>
        </w:trPr>
        <w:tc>
          <w:tcPr>
            <w:tcW w:w="1214" w:type="dxa"/>
            <w:vMerge/>
            <w:tcBorders>
              <w:top w:val="single" w:sz="2" w:space="0" w:color="000000"/>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p>
        </w:tc>
        <w:tc>
          <w:tcPr>
            <w:tcW w:w="2159" w:type="dxa"/>
            <w:tcBorders>
              <w:top w:val="single" w:sz="2" w:space="0" w:color="000000"/>
              <w:bottom w:val="single" w:sz="2" w:space="0" w:color="000000"/>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50</w:t>
            </w:r>
          </w:p>
        </w:tc>
        <w:tc>
          <w:tcPr>
            <w:tcW w:w="1007"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1.00</w:t>
            </w:r>
          </w:p>
        </w:tc>
        <w:tc>
          <w:tcPr>
            <w:tcW w:w="1096"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1.00</w:t>
            </w:r>
          </w:p>
        </w:tc>
      </w:tr>
      <w:tr w:rsidR="00EE11A6" w:rsidRPr="00197D0A" w:rsidTr="00A76ECE">
        <w:trPr>
          <w:cantSplit/>
          <w:jc w:val="center"/>
        </w:trPr>
        <w:tc>
          <w:tcPr>
            <w:tcW w:w="1214" w:type="dxa"/>
            <w:vMerge/>
            <w:tcBorders>
              <w:top w:val="single" w:sz="2" w:space="0" w:color="000000"/>
              <w:bottom w:val="single" w:sz="4" w:space="0" w:color="auto"/>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p>
        </w:tc>
        <w:tc>
          <w:tcPr>
            <w:tcW w:w="2159" w:type="dxa"/>
            <w:tcBorders>
              <w:top w:val="single" w:sz="2" w:space="0" w:color="000000"/>
              <w:bottom w:val="single" w:sz="4" w:space="0" w:color="auto"/>
            </w:tcBorders>
            <w:shd w:val="clear" w:color="auto" w:fill="FFFFFF"/>
            <w:tcMar>
              <w:top w:w="30" w:type="dxa"/>
              <w:left w:w="30" w:type="dxa"/>
              <w:bottom w:w="30" w:type="dxa"/>
              <w:right w:w="30" w:type="dxa"/>
            </w:tcMa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75</w:t>
            </w:r>
          </w:p>
        </w:tc>
        <w:tc>
          <w:tcPr>
            <w:tcW w:w="1007"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1.00</w:t>
            </w:r>
          </w:p>
        </w:tc>
        <w:tc>
          <w:tcPr>
            <w:tcW w:w="1096" w:type="dxa"/>
            <w:tcBorders>
              <w:top w:val="single" w:sz="2" w:space="0" w:color="000000"/>
              <w:bottom w:val="single" w:sz="4" w:space="0" w:color="auto"/>
            </w:tcBorders>
            <w:shd w:val="clear" w:color="auto" w:fill="FFFFFF"/>
            <w:tcMar>
              <w:top w:w="30" w:type="dxa"/>
              <w:left w:w="30" w:type="dxa"/>
              <w:bottom w:w="30" w:type="dxa"/>
              <w:right w:w="30" w:type="dxa"/>
            </w:tcMar>
            <w:vAlign w:val="center"/>
          </w:tcPr>
          <w:p w:rsidR="00EE11A6" w:rsidRPr="00197D0A" w:rsidRDefault="00EE11A6" w:rsidP="00EE11A6">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1.00</w:t>
            </w:r>
          </w:p>
        </w:tc>
      </w:tr>
    </w:tbl>
    <w:p w:rsidR="00EE11A6" w:rsidRPr="00197D0A" w:rsidRDefault="00EE11A6" w:rsidP="00EE11A6">
      <w:pPr>
        <w:spacing w:after="0" w:line="360" w:lineRule="auto"/>
        <w:jc w:val="both"/>
        <w:rPr>
          <w:rFonts w:ascii="Century Gothic" w:hAnsi="Century Gothic" w:cs="Times New Roman"/>
          <w:sz w:val="20"/>
          <w:szCs w:val="20"/>
        </w:rPr>
      </w:pPr>
    </w:p>
    <w:p w:rsidR="00EF718F" w:rsidRDefault="00EF718F" w:rsidP="00EE11A6">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space="720"/>
          <w:docGrid w:linePitch="360"/>
        </w:sectPr>
      </w:pPr>
    </w:p>
    <w:p w:rsidR="00EE11A6" w:rsidRDefault="00A461B5" w:rsidP="00EE11A6">
      <w:pPr>
        <w:pStyle w:val="ListParagraph"/>
        <w:spacing w:after="0" w:line="360" w:lineRule="auto"/>
        <w:ind w:left="0" w:firstLine="567"/>
        <w:jc w:val="both"/>
        <w:rPr>
          <w:rFonts w:ascii="Century Gothic" w:hAnsi="Century Gothic" w:cs="Times New Roman"/>
          <w:sz w:val="20"/>
          <w:szCs w:val="20"/>
        </w:rPr>
      </w:pPr>
      <w:r w:rsidRPr="00197D0A">
        <w:rPr>
          <w:rFonts w:ascii="Century Gothic" w:hAnsi="Century Gothic" w:cs="Times New Roman"/>
          <w:sz w:val="20"/>
          <w:szCs w:val="20"/>
        </w:rPr>
        <w:lastRenderedPageBreak/>
        <w:t>Apabila guru memperoleh pemahaman yang</w:t>
      </w:r>
      <w:r w:rsidRPr="008D722E">
        <w:rPr>
          <w:rFonts w:ascii="Century Gothic" w:hAnsi="Century Gothic" w:cs="Times New Roman"/>
          <w:sz w:val="20"/>
          <w:szCs w:val="20"/>
        </w:rPr>
        <w:t xml:space="preserve"> baik terkait dengan peraturan PLC, maka akan berkaitan dengan pelaksanaan program PLC yang berkelanjutan</w:t>
      </w:r>
      <w:r w:rsidR="00A76ECE">
        <w:rPr>
          <w:rFonts w:ascii="Century Gothic" w:hAnsi="Century Gothic" w:cs="Times New Roman"/>
          <w:sz w:val="20"/>
          <w:szCs w:val="20"/>
        </w:rPr>
        <w:t xml:space="preserve"> </w:t>
      </w:r>
      <w:r w:rsidR="00A76ECE">
        <w:rPr>
          <w:rFonts w:ascii="Century Gothic" w:hAnsi="Century Gothic" w:cs="Times New Roman"/>
          <w:sz w:val="20"/>
          <w:szCs w:val="20"/>
        </w:rPr>
        <w:fldChar w:fldCharType="begin" w:fldLock="1"/>
      </w:r>
      <w:r w:rsidR="00A76ECE">
        <w:rPr>
          <w:rFonts w:ascii="Century Gothic" w:hAnsi="Century Gothic" w:cs="Times New Roman"/>
          <w:sz w:val="20"/>
          <w:szCs w:val="20"/>
        </w:rPr>
        <w:instrText>ADDIN CSL_CITATION {"citationItems":[{"id":"ITEM-1","itemData":{"DOI":"10.1177/0013161X05278189","ISSN":"0013161X","abstract":"Background: Implicitly, innovative schools have historically contained some (but not usually all) of the properties of learning organizations and professional learning communities but have a weak record of sustaining success over time. Can innovative schools that self-consciously establish themselves as learning organizations and professional learning communities sustain their early promise of success in the face of the predictable cycle of the “attrition of change”; of pressure and envy in the surrounding district, profession, and community; and of the historically specific and recent pressure of standardized reform? Purpose : This article explores the impact of these influences on three innovative schools and their sustainability over time. It concentrates in particular on the promise and viability of one of these schools, which has been consciously modeled as a learning organization and professional learning community. Conclusions: Although further research is required, the article concludes that the learning organization and professional learning community model may provide a more robust resistance to conventional processes of the attrition of change and of surrounding change forces, but much like other innovative schools, it also shows signs of defaulting to conventional patterns of schooling in the face of standardized reform.","author":[{"dropping-particle":"","family":"Giles","given":"Corrie","non-dropping-particle":"","parse-names":false,"suffix":""},{"dropping-particle":"","family":"Hargreaves","given":"Andy","non-dropping-particle":"","parse-names":false,"suffix":""}],"container-title":"Educational Administration Quarterly","id":"ITEM-1","issue":"1","issued":{"date-parts":[["2006"]]},"page":"124-156","title":"The sustainability of innovative schools as learning organizations and professional learning communities during standardized reform","type":"article-journal","volume":"42"},"uris":["http://www.mendeley.com/documents/?uuid=2cd4ec59-598a-478f-bae6-b148bf3a60a1"]}],"mendeley":{"formattedCitation":"(Giles &amp; Hargreaves, 2006)","plainTextFormattedCitation":"(Giles &amp; Hargreaves, 2006)","previouslyFormattedCitation":"(Giles &amp; Hargreaves, 2006)"},"properties":{"noteIndex":0},"schema":"https://github.com/citation-style-language/schema/raw/master/csl-citation.json"}</w:instrText>
      </w:r>
      <w:r w:rsidR="00A76ECE">
        <w:rPr>
          <w:rFonts w:ascii="Century Gothic" w:hAnsi="Century Gothic" w:cs="Times New Roman"/>
          <w:sz w:val="20"/>
          <w:szCs w:val="20"/>
        </w:rPr>
        <w:fldChar w:fldCharType="separate"/>
      </w:r>
      <w:r w:rsidR="00A76ECE" w:rsidRPr="00A76ECE">
        <w:rPr>
          <w:rFonts w:ascii="Century Gothic" w:hAnsi="Century Gothic" w:cs="Times New Roman"/>
          <w:noProof/>
          <w:sz w:val="20"/>
          <w:szCs w:val="20"/>
        </w:rPr>
        <w:t>(Giles &amp; Hargreaves, 2006)</w:t>
      </w:r>
      <w:r w:rsidR="00A76ECE">
        <w:rPr>
          <w:rFonts w:ascii="Century Gothic" w:hAnsi="Century Gothic" w:cs="Times New Roman"/>
          <w:sz w:val="20"/>
          <w:szCs w:val="20"/>
        </w:rPr>
        <w:fldChar w:fldCharType="end"/>
      </w:r>
      <w:r w:rsidRPr="008D722E">
        <w:rPr>
          <w:rFonts w:ascii="Century Gothic" w:hAnsi="Century Gothic" w:cs="Times New Roman"/>
          <w:sz w:val="20"/>
          <w:szCs w:val="20"/>
        </w:rPr>
        <w:t xml:space="preserve">. Artinya akan ada kemudahan yang dirasakan oleh guru. Pemahaman tersebut akan timbul melalui proses komunikasi yang dibangun oleh kepala sekolah dan juga guru terkait dengan bagaimana caranya meningkatkan profesionalisme dalm menjalankan program-program PLC dan membangun perspektif yang sama diantara kedua belah pihak, sehingga tidak timbul kesalahpahaman diantara keduanya. Selain daripada itu, faktor lain yang menentukan sebuah pemahaman yang dibangun oleh guru adalah adanya motivasi dalam diri guru dan kepala sekolah untuk menciptakan budaya kerja yang efektif yaitu salahsatunya </w:t>
      </w:r>
      <w:r w:rsidR="00A76ECE">
        <w:rPr>
          <w:rFonts w:ascii="Century Gothic" w:hAnsi="Century Gothic" w:cs="Times New Roman"/>
          <w:sz w:val="20"/>
          <w:szCs w:val="20"/>
        </w:rPr>
        <w:lastRenderedPageBreak/>
        <w:t xml:space="preserve">professional </w:t>
      </w:r>
      <w:r w:rsidR="00A76ECE">
        <w:rPr>
          <w:rFonts w:ascii="Century Gothic" w:hAnsi="Century Gothic" w:cs="Times New Roman"/>
          <w:sz w:val="20"/>
          <w:szCs w:val="20"/>
        </w:rPr>
        <w:fldChar w:fldCharType="begin" w:fldLock="1"/>
      </w:r>
      <w:r w:rsidR="00A76ECE">
        <w:rPr>
          <w:rFonts w:ascii="Century Gothic" w:hAnsi="Century Gothic" w:cs="Times New Roman"/>
          <w:sz w:val="20"/>
          <w:szCs w:val="20"/>
        </w:rPr>
        <w:instrText>ADDIN CSL_CITATION {"citationItems":[{"id":"ITEM-1","itemData":{"DOI":"10.1080/13540602.2014.928122","ISSN":"13540602","abstract":"This longitudinal study aimed to examine the role of a professional learning community (PLC) in changing teachers’ beliefs and practices. Teachers of a Chinese department in a Hong Kong secondary school were interviewed and observed. The findings indicate that the features of a PLC-facilitating teacher change are development of a coherent structure, a collaborative culture, and effective learning activities. These help teachers to overcome initial difficulties and induce their motivation for transformation. Teacher change in five dimen- sions (curriculum, teaching, learning, roles of teachers, and learning to teach) and three patterns (change in practice but not in belief, change in belief but not in practice, change in practice and belief) were detected. It is argued that cultivating an effective PLC is significant to teacher development.","author":[{"dropping-particle":"","family":"Tam","given":"Angela Choi Fung","non-dropping-particle":"","parse-names":false,"suffix":""}],"container-title":"Teachers and Teaching: Theory and Practice","id":"ITEM-1","issue":"1","issued":{"date-parts":[["2015"]]},"page":"22-43","title":"The role of a professional learning community in teacher change: A perspective from beliefs and practices","type":"article-journal","volume":"21"},"uris":["http://www.mendeley.com/documents/?uuid=66c29c18-4f9b-4bac-bb7d-7ae4ecf1f721"]}],"mendeley":{"formattedCitation":"(Tam, 2015)","plainTextFormattedCitation":"(Tam, 2015)","previouslyFormattedCitation":"(Tam, 2015)"},"properties":{"noteIndex":0},"schema":"https://github.com/citation-style-language/schema/raw/master/csl-citation.json"}</w:instrText>
      </w:r>
      <w:r w:rsidR="00A76ECE">
        <w:rPr>
          <w:rFonts w:ascii="Century Gothic" w:hAnsi="Century Gothic" w:cs="Times New Roman"/>
          <w:sz w:val="20"/>
          <w:szCs w:val="20"/>
        </w:rPr>
        <w:fldChar w:fldCharType="separate"/>
      </w:r>
      <w:r w:rsidR="00A76ECE" w:rsidRPr="00A76ECE">
        <w:rPr>
          <w:rFonts w:ascii="Century Gothic" w:hAnsi="Century Gothic" w:cs="Times New Roman"/>
          <w:noProof/>
          <w:sz w:val="20"/>
          <w:szCs w:val="20"/>
        </w:rPr>
        <w:t>(Tam, 2015)</w:t>
      </w:r>
      <w:r w:rsidR="00A76ECE">
        <w:rPr>
          <w:rFonts w:ascii="Century Gothic" w:hAnsi="Century Gothic" w:cs="Times New Roman"/>
          <w:sz w:val="20"/>
          <w:szCs w:val="20"/>
        </w:rPr>
        <w:fldChar w:fldCharType="end"/>
      </w:r>
      <w:r w:rsidRPr="008D722E">
        <w:rPr>
          <w:rFonts w:ascii="Century Gothic" w:hAnsi="Century Gothic" w:cs="Times New Roman"/>
          <w:sz w:val="20"/>
          <w:szCs w:val="20"/>
        </w:rPr>
        <w:t>. Oleh karena</w:t>
      </w:r>
      <w:r w:rsidR="004B4805" w:rsidRPr="008D722E">
        <w:rPr>
          <w:rFonts w:ascii="Century Gothic" w:hAnsi="Century Gothic" w:cs="Times New Roman"/>
          <w:sz w:val="20"/>
          <w:szCs w:val="20"/>
        </w:rPr>
        <w:t xml:space="preserve"> itu,</w:t>
      </w:r>
      <w:r w:rsidRPr="008D722E">
        <w:rPr>
          <w:rFonts w:ascii="Century Gothic" w:hAnsi="Century Gothic" w:cs="Times New Roman"/>
          <w:sz w:val="20"/>
          <w:szCs w:val="20"/>
        </w:rPr>
        <w:t xml:space="preserve"> seyogyanya</w:t>
      </w:r>
      <w:r w:rsidR="004B4805" w:rsidRPr="008D722E">
        <w:rPr>
          <w:rFonts w:ascii="Century Gothic" w:hAnsi="Century Gothic" w:cs="Times New Roman"/>
          <w:sz w:val="20"/>
          <w:szCs w:val="20"/>
        </w:rPr>
        <w:t xml:space="preserve"> pemahaman tidak serta merta lahir be</w:t>
      </w:r>
      <w:r w:rsidRPr="008D722E">
        <w:rPr>
          <w:rFonts w:ascii="Century Gothic" w:hAnsi="Century Gothic" w:cs="Times New Roman"/>
          <w:sz w:val="20"/>
          <w:szCs w:val="20"/>
        </w:rPr>
        <w:t xml:space="preserve">rgitu saja tanpa adanya dorongan yang kuat dari guru maupun </w:t>
      </w:r>
      <w:r w:rsidR="004B4805" w:rsidRPr="008D722E">
        <w:rPr>
          <w:rFonts w:ascii="Century Gothic" w:hAnsi="Century Gothic" w:cs="Times New Roman"/>
          <w:sz w:val="20"/>
          <w:szCs w:val="20"/>
        </w:rPr>
        <w:t>kepa</w:t>
      </w:r>
      <w:r w:rsidRPr="008D722E">
        <w:rPr>
          <w:rFonts w:ascii="Century Gothic" w:hAnsi="Century Gothic" w:cs="Times New Roman"/>
          <w:sz w:val="20"/>
          <w:szCs w:val="20"/>
        </w:rPr>
        <w:t xml:space="preserve">la sekolah yang bertujuan untuk  bersama-sama </w:t>
      </w:r>
      <w:r w:rsidR="004B4805" w:rsidRPr="008D722E">
        <w:rPr>
          <w:rFonts w:ascii="Century Gothic" w:hAnsi="Century Gothic" w:cs="Times New Roman"/>
          <w:sz w:val="20"/>
          <w:szCs w:val="20"/>
        </w:rPr>
        <w:t>me</w:t>
      </w:r>
      <w:r w:rsidR="00764674" w:rsidRPr="008D722E">
        <w:rPr>
          <w:rFonts w:ascii="Century Gothic" w:hAnsi="Century Gothic" w:cs="Times New Roman"/>
          <w:sz w:val="20"/>
          <w:szCs w:val="20"/>
        </w:rPr>
        <w:t>ningkatkan profesionalismenya</w:t>
      </w:r>
      <w:r w:rsidR="00112177">
        <w:rPr>
          <w:rFonts w:ascii="Century Gothic" w:hAnsi="Century Gothic" w:cs="Times New Roman"/>
          <w:sz w:val="20"/>
          <w:szCs w:val="20"/>
        </w:rPr>
        <w:t xml:space="preserve"> </w:t>
      </w:r>
      <w:r w:rsidR="00A76ECE">
        <w:rPr>
          <w:rFonts w:ascii="Century Gothic" w:hAnsi="Century Gothic" w:cs="Times New Roman"/>
          <w:sz w:val="20"/>
          <w:szCs w:val="20"/>
        </w:rPr>
        <w:fldChar w:fldCharType="begin" w:fldLock="1"/>
      </w:r>
      <w:r w:rsidR="00F53FEB">
        <w:rPr>
          <w:rFonts w:ascii="Century Gothic" w:hAnsi="Century Gothic" w:cs="Times New Roman"/>
          <w:sz w:val="20"/>
          <w:szCs w:val="20"/>
        </w:rPr>
        <w:instrText>ADDIN CSL_CITATION {"citationItems":[{"id":"ITEM-1","itemData":{"DOI":"10.1111/j.1467-8616.2008.00521.x Malik,","ISBN":"9781124012421","abstract":"Professional learning communities (PLC) are one strategy aimed at facilitating teacher professional development, with a focus on increasing student achievement. This mixed methods study investigated the impact of professional learning on student achievement. A total of 6 teachers and 121 students recruited from the third and fifth grades of a large elementary school located in the southeastern United States participated in the study. Teachers in this study engaged in professional learning sessions focused on improving reading fluency and math instruction based on the conceptual framework of PLC application synthesized by Paratore. Two assessments were used to monitor student achievement. Dynamic Indicator of Basic Early Literacy Skills (DIBELS) was used to assess reading and the Online Assessment System (OAS) was used to assess math. These assessments were given to the same subjects twice. T-test analysis was performed to determine if student achievement increased in the classes of teachers participating in the study. Qualitative data gathered through interviews and classroom observations were analyzed and coded using three repeating themes: ineffectiveness of professional learning, implementation of required professional learning, and the effectiveness of professional learning on classroom instruction. The outcomes of the study revealed significant increases in student achievement after professional learning sessions and the importance of properly implementing strategies learned. This study contributes to positive social exchange by helping to inform the professional development programs for teachers based on empirically tested interventions that support demonstrable changes in student learning.","author":[{"dropping-particle":"","family":"DiNardo","given":"Lynne M","non-dropping-particle":"","parse-names":false,"suffix":""}],"container-title":"Dissertation Abstracts International Section A: Humanities and Social Sciences","id":"ITEM-1","issue":"6-A","issued":{"date-parts":[["2010"]]},"page":"1862","title":"The impact of professional learning communities on student achievement.","type":"article-journal","volume":"71"},"uris":["http://www.mendeley.com/documents/?uuid=82293f52-e7d6-467e-8f11-80cab4a01535"]}],"mendeley":{"formattedCitation":"(DiNardo, 2010)","plainTextFormattedCitation":"(DiNardo, 2010)","previouslyFormattedCitation":"(DiNardo, 2010)"},"properties":{"noteIndex":0},"schema":"https://github.com/citation-style-language/schema/raw/master/csl-citation.json"}</w:instrText>
      </w:r>
      <w:r w:rsidR="00A76ECE">
        <w:rPr>
          <w:rFonts w:ascii="Century Gothic" w:hAnsi="Century Gothic" w:cs="Times New Roman"/>
          <w:sz w:val="20"/>
          <w:szCs w:val="20"/>
        </w:rPr>
        <w:fldChar w:fldCharType="separate"/>
      </w:r>
      <w:r w:rsidR="00A76ECE" w:rsidRPr="00A76ECE">
        <w:rPr>
          <w:rFonts w:ascii="Century Gothic" w:hAnsi="Century Gothic" w:cs="Times New Roman"/>
          <w:noProof/>
          <w:sz w:val="20"/>
          <w:szCs w:val="20"/>
        </w:rPr>
        <w:t>(DiNardo, 2010)</w:t>
      </w:r>
      <w:r w:rsidR="00A76ECE">
        <w:rPr>
          <w:rFonts w:ascii="Century Gothic" w:hAnsi="Century Gothic" w:cs="Times New Roman"/>
          <w:sz w:val="20"/>
          <w:szCs w:val="20"/>
        </w:rPr>
        <w:fldChar w:fldCharType="end"/>
      </w:r>
      <w:r w:rsidR="00764674" w:rsidRPr="008D722E">
        <w:rPr>
          <w:rFonts w:ascii="Century Gothic" w:hAnsi="Century Gothic" w:cs="Times New Roman"/>
          <w:sz w:val="20"/>
          <w:szCs w:val="20"/>
        </w:rPr>
        <w:t xml:space="preserve">. </w:t>
      </w:r>
    </w:p>
    <w:p w:rsidR="00EF718F" w:rsidRDefault="004B4805" w:rsidP="00EE11A6">
      <w:pPr>
        <w:pStyle w:val="ListParagraph"/>
        <w:spacing w:after="0" w:line="360" w:lineRule="auto"/>
        <w:ind w:left="0" w:firstLine="567"/>
        <w:jc w:val="both"/>
        <w:rPr>
          <w:rFonts w:ascii="Century Gothic" w:hAnsi="Century Gothic" w:cs="Times New Roman"/>
          <w:noProof/>
          <w:sz w:val="20"/>
          <w:szCs w:val="20"/>
        </w:rPr>
      </w:pPr>
      <w:r w:rsidRPr="00EE11A6">
        <w:rPr>
          <w:rFonts w:ascii="Century Gothic" w:hAnsi="Century Gothic" w:cs="Times New Roman"/>
          <w:sz w:val="20"/>
          <w:szCs w:val="20"/>
          <w:lang w:val="af-ZA"/>
        </w:rPr>
        <w:t>Kepatuhan dan kepatutan PLC</w:t>
      </w:r>
      <w:r w:rsidR="00193A5F" w:rsidRPr="00EE11A6">
        <w:rPr>
          <w:rFonts w:ascii="Century Gothic" w:hAnsi="Century Gothic" w:cs="Times New Roman"/>
          <w:color w:val="000000"/>
          <w:sz w:val="20"/>
          <w:szCs w:val="20"/>
        </w:rPr>
        <w:t xml:space="preserve"> </w:t>
      </w:r>
      <w:r w:rsidRPr="00EE11A6">
        <w:rPr>
          <w:rFonts w:ascii="Century Gothic" w:hAnsi="Century Gothic" w:cs="Times New Roman"/>
          <w:noProof/>
          <w:sz w:val="20"/>
          <w:szCs w:val="20"/>
        </w:rPr>
        <w:t xml:space="preserve">guru pada program dan peraturan PLC berdasarkan </w:t>
      </w:r>
      <w:r w:rsidR="00193A5F" w:rsidRPr="00EE11A6">
        <w:rPr>
          <w:rFonts w:ascii="Century Gothic" w:hAnsi="Century Gothic" w:cs="Times New Roman"/>
          <w:noProof/>
          <w:sz w:val="20"/>
          <w:szCs w:val="20"/>
        </w:rPr>
        <w:t xml:space="preserve">hasil penelitian </w:t>
      </w:r>
      <w:r w:rsidRPr="00EE11A6">
        <w:rPr>
          <w:rFonts w:ascii="Century Gothic" w:hAnsi="Century Gothic" w:cs="Times New Roman"/>
          <w:noProof/>
          <w:sz w:val="20"/>
          <w:szCs w:val="20"/>
        </w:rPr>
        <w:t>menunjukan hasil yang berbeda. Guru mempunyai tingkat kepatuhan dan kepatutan terhadap program PLC sebesar 56% sedangkan untuk tingkat kepatuhan dan kepatutan terhadap program PLC sebesar 44%. Artinya kepatuhan dan kepatutan yang dimiliki oleh guru terhadap program PLC baik sedangkan kepatuhan dan kepatutan terhadap peraturan y</w:t>
      </w:r>
      <w:r w:rsidR="00EF718F">
        <w:rPr>
          <w:rFonts w:ascii="Century Gothic" w:hAnsi="Century Gothic" w:cs="Times New Roman"/>
          <w:noProof/>
          <w:sz w:val="20"/>
          <w:szCs w:val="20"/>
        </w:rPr>
        <w:t>ang miliki oleh guru cukup baik.</w:t>
      </w:r>
    </w:p>
    <w:p w:rsidR="00EF718F" w:rsidRDefault="00EF718F" w:rsidP="00EE11A6">
      <w:pPr>
        <w:pStyle w:val="ListParagraph"/>
        <w:spacing w:after="0" w:line="360" w:lineRule="auto"/>
        <w:ind w:left="0" w:firstLine="567"/>
        <w:jc w:val="both"/>
        <w:rPr>
          <w:rFonts w:ascii="Century Gothic" w:hAnsi="Century Gothic" w:cs="Times New Roman"/>
          <w:noProof/>
          <w:sz w:val="20"/>
          <w:szCs w:val="20"/>
        </w:rPr>
      </w:pPr>
    </w:p>
    <w:p w:rsidR="00112177" w:rsidRDefault="00112177" w:rsidP="00EE11A6">
      <w:pPr>
        <w:pStyle w:val="ListParagraph"/>
        <w:spacing w:after="0" w:line="360" w:lineRule="auto"/>
        <w:ind w:left="0" w:firstLine="567"/>
        <w:jc w:val="both"/>
        <w:rPr>
          <w:rFonts w:ascii="Century Gothic" w:hAnsi="Century Gothic" w:cs="Times New Roman"/>
          <w:noProof/>
          <w:sz w:val="20"/>
          <w:szCs w:val="20"/>
        </w:rPr>
        <w:sectPr w:rsidR="00112177" w:rsidSect="00EF718F">
          <w:type w:val="continuous"/>
          <w:pgSz w:w="11907" w:h="16839" w:code="9"/>
          <w:pgMar w:top="1418" w:right="1418" w:bottom="1418" w:left="1418" w:header="720" w:footer="720" w:gutter="0"/>
          <w:cols w:num="2" w:space="720"/>
          <w:docGrid w:linePitch="360"/>
        </w:sectPr>
      </w:pPr>
    </w:p>
    <w:p w:rsidR="00112177" w:rsidRDefault="00112177" w:rsidP="00EF718F">
      <w:pPr>
        <w:spacing w:after="0" w:line="360" w:lineRule="auto"/>
        <w:jc w:val="both"/>
        <w:rPr>
          <w:rFonts w:ascii="Century Gothic" w:hAnsi="Century Gothic" w:cs="Times New Roman"/>
          <w:color w:val="000000"/>
          <w:sz w:val="20"/>
          <w:szCs w:val="20"/>
        </w:rPr>
      </w:pPr>
    </w:p>
    <w:p w:rsidR="00112177" w:rsidRDefault="00112177" w:rsidP="00EF718F">
      <w:pPr>
        <w:spacing w:after="0" w:line="360" w:lineRule="auto"/>
        <w:jc w:val="both"/>
        <w:rPr>
          <w:rFonts w:ascii="Century Gothic" w:hAnsi="Century Gothic" w:cs="Times New Roman"/>
          <w:color w:val="000000"/>
          <w:sz w:val="20"/>
          <w:szCs w:val="20"/>
        </w:rPr>
      </w:pPr>
    </w:p>
    <w:p w:rsidR="00EE11A6" w:rsidRPr="00EF718F" w:rsidRDefault="00CE7BED" w:rsidP="00EF718F">
      <w:pPr>
        <w:spacing w:after="0" w:line="360" w:lineRule="auto"/>
        <w:jc w:val="both"/>
        <w:rPr>
          <w:rFonts w:ascii="Century Gothic" w:hAnsi="Century Gothic" w:cs="Times New Roman"/>
          <w:color w:val="000000"/>
          <w:sz w:val="20"/>
          <w:szCs w:val="20"/>
        </w:rPr>
      </w:pPr>
      <w:r w:rsidRPr="00EF718F">
        <w:rPr>
          <w:rFonts w:ascii="Century Gothic" w:hAnsi="Century Gothic" w:cs="Times New Roman"/>
          <w:color w:val="000000"/>
          <w:sz w:val="20"/>
          <w:szCs w:val="20"/>
        </w:rPr>
        <w:lastRenderedPageBreak/>
        <w:t xml:space="preserve">Tabel 6. </w:t>
      </w:r>
      <w:r w:rsidR="00EE11A6" w:rsidRPr="00EF718F">
        <w:rPr>
          <w:rFonts w:ascii="Century Gothic" w:hAnsi="Century Gothic" w:cs="Times New Roman"/>
          <w:color w:val="000000"/>
          <w:sz w:val="20"/>
          <w:szCs w:val="20"/>
        </w:rPr>
        <w:t>Kepatuhan dan Kepatutan PLC</w:t>
      </w:r>
    </w:p>
    <w:tbl>
      <w:tblPr>
        <w:tblW w:w="5476" w:type="dxa"/>
        <w:jc w:val="center"/>
        <w:tblBorders>
          <w:insideH w:val="single" w:sz="2" w:space="0" w:color="auto"/>
        </w:tblBorders>
        <w:tblLayout w:type="fixed"/>
        <w:tblCellMar>
          <w:left w:w="30" w:type="dxa"/>
          <w:right w:w="30" w:type="dxa"/>
        </w:tblCellMar>
        <w:tblLook w:val="0000" w:firstRow="0" w:lastRow="0" w:firstColumn="0" w:lastColumn="0" w:noHBand="0" w:noVBand="0"/>
      </w:tblPr>
      <w:tblGrid>
        <w:gridCol w:w="1214"/>
        <w:gridCol w:w="2159"/>
        <w:gridCol w:w="1007"/>
        <w:gridCol w:w="1096"/>
      </w:tblGrid>
      <w:tr w:rsidR="00EE11A6" w:rsidRPr="00197D0A" w:rsidTr="00EF718F">
        <w:trPr>
          <w:cantSplit/>
          <w:tblHeader/>
          <w:jc w:val="center"/>
        </w:trPr>
        <w:tc>
          <w:tcPr>
            <w:tcW w:w="1214"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Times New Roman"/>
                <w:sz w:val="20"/>
                <w:szCs w:val="20"/>
              </w:rPr>
            </w:pPr>
          </w:p>
        </w:tc>
        <w:tc>
          <w:tcPr>
            <w:tcW w:w="2159"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Times New Roman"/>
                <w:sz w:val="20"/>
                <w:szCs w:val="20"/>
              </w:rPr>
            </w:pPr>
          </w:p>
        </w:tc>
        <w:tc>
          <w:tcPr>
            <w:tcW w:w="1007" w:type="dxa"/>
            <w:shd w:val="clear" w:color="auto" w:fill="FFFFFF"/>
            <w:tcMar>
              <w:top w:w="30" w:type="dxa"/>
              <w:left w:w="30" w:type="dxa"/>
              <w:bottom w:w="30" w:type="dxa"/>
              <w:right w:w="30" w:type="dxa"/>
            </w:tcMar>
            <w:vAlign w:val="bottom"/>
          </w:tcPr>
          <w:p w:rsidR="00EE11A6" w:rsidRPr="00197D0A" w:rsidRDefault="00EE11A6" w:rsidP="0045712B">
            <w:pPr>
              <w:autoSpaceDE w:val="0"/>
              <w:autoSpaceDN w:val="0"/>
              <w:adjustRightInd w:val="0"/>
              <w:spacing w:after="0" w:line="240" w:lineRule="auto"/>
              <w:jc w:val="center"/>
              <w:rPr>
                <w:rFonts w:ascii="Century Gothic" w:hAnsi="Century Gothic" w:cs="Arial"/>
                <w:color w:val="000000"/>
                <w:sz w:val="20"/>
                <w:szCs w:val="20"/>
              </w:rPr>
            </w:pPr>
            <w:r w:rsidRPr="00197D0A">
              <w:rPr>
                <w:rFonts w:ascii="Century Gothic" w:hAnsi="Century Gothic" w:cs="Arial"/>
                <w:color w:val="000000"/>
                <w:sz w:val="20"/>
                <w:szCs w:val="20"/>
              </w:rPr>
              <w:t>Program</w:t>
            </w:r>
          </w:p>
        </w:tc>
        <w:tc>
          <w:tcPr>
            <w:tcW w:w="1096" w:type="dxa"/>
            <w:shd w:val="clear" w:color="auto" w:fill="FFFFFF"/>
            <w:tcMar>
              <w:top w:w="30" w:type="dxa"/>
              <w:left w:w="30" w:type="dxa"/>
              <w:bottom w:w="30" w:type="dxa"/>
              <w:right w:w="30" w:type="dxa"/>
            </w:tcMar>
            <w:vAlign w:val="bottom"/>
          </w:tcPr>
          <w:p w:rsidR="00EE11A6" w:rsidRPr="00197D0A" w:rsidRDefault="00EE11A6" w:rsidP="0045712B">
            <w:pPr>
              <w:autoSpaceDE w:val="0"/>
              <w:autoSpaceDN w:val="0"/>
              <w:adjustRightInd w:val="0"/>
              <w:spacing w:after="0" w:line="240" w:lineRule="auto"/>
              <w:jc w:val="center"/>
              <w:rPr>
                <w:rFonts w:ascii="Century Gothic" w:hAnsi="Century Gothic" w:cs="Arial"/>
                <w:color w:val="000000"/>
                <w:sz w:val="20"/>
                <w:szCs w:val="20"/>
              </w:rPr>
            </w:pPr>
            <w:r w:rsidRPr="00197D0A">
              <w:rPr>
                <w:rFonts w:ascii="Century Gothic" w:hAnsi="Century Gothic" w:cs="Arial"/>
                <w:color w:val="000000"/>
                <w:sz w:val="20"/>
                <w:szCs w:val="20"/>
              </w:rPr>
              <w:t>Peraturan</w:t>
            </w:r>
          </w:p>
        </w:tc>
      </w:tr>
      <w:tr w:rsidR="00EE11A6" w:rsidRPr="00197D0A" w:rsidTr="00EF718F">
        <w:trPr>
          <w:cantSplit/>
          <w:tblHeader/>
          <w:jc w:val="center"/>
        </w:trPr>
        <w:tc>
          <w:tcPr>
            <w:tcW w:w="1214" w:type="dxa"/>
            <w:vMerge w:val="restart"/>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N</w:t>
            </w:r>
          </w:p>
        </w:tc>
        <w:tc>
          <w:tcPr>
            <w:tcW w:w="2159"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Valid</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52</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52</w:t>
            </w:r>
          </w:p>
        </w:tc>
      </w:tr>
      <w:tr w:rsidR="00EE11A6" w:rsidRPr="00197D0A" w:rsidTr="00EF718F">
        <w:trPr>
          <w:cantSplit/>
          <w:tblHeader/>
          <w:jc w:val="center"/>
        </w:trPr>
        <w:tc>
          <w:tcPr>
            <w:tcW w:w="1214" w:type="dxa"/>
            <w:vMerge/>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Missing</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Mean</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.56</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.44</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Error of Mean</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.070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.070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Median</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1.00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Mode</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Deviation</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.502</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.502</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Variance</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.252</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.252</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Skewness</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-.239</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.239</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Error of Skewness</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.330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.330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Kurtosis</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-2.022</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-2.022</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Std. Error of Kurtosis</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.650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.650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Range</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Minimum</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Maximum</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w:t>
            </w:r>
          </w:p>
        </w:tc>
      </w:tr>
      <w:tr w:rsidR="00EE11A6" w:rsidRPr="00197D0A" w:rsidTr="00EF718F">
        <w:trPr>
          <w:cantSplit/>
          <w:tblHeader/>
          <w:jc w:val="center"/>
        </w:trPr>
        <w:tc>
          <w:tcPr>
            <w:tcW w:w="3373" w:type="dxa"/>
            <w:gridSpan w:val="2"/>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Sum</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29</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23</w:t>
            </w:r>
          </w:p>
        </w:tc>
      </w:tr>
      <w:tr w:rsidR="00EE11A6" w:rsidRPr="00197D0A" w:rsidTr="00EF718F">
        <w:trPr>
          <w:cantSplit/>
          <w:tblHeader/>
          <w:jc w:val="center"/>
        </w:trPr>
        <w:tc>
          <w:tcPr>
            <w:tcW w:w="1214" w:type="dxa"/>
            <w:vMerge w:val="restart"/>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Percentiles</w:t>
            </w:r>
          </w:p>
        </w:tc>
        <w:tc>
          <w:tcPr>
            <w:tcW w:w="2159"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25</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.00</w:t>
            </w:r>
          </w:p>
        </w:tc>
      </w:tr>
      <w:tr w:rsidR="00EE11A6" w:rsidRPr="00197D0A" w:rsidTr="00EF718F">
        <w:trPr>
          <w:cantSplit/>
          <w:tblHeader/>
          <w:jc w:val="center"/>
        </w:trPr>
        <w:tc>
          <w:tcPr>
            <w:tcW w:w="1214" w:type="dxa"/>
            <w:vMerge/>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50</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1.00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.00</w:t>
            </w:r>
          </w:p>
        </w:tc>
      </w:tr>
      <w:tr w:rsidR="00EE11A6" w:rsidRPr="00197D0A" w:rsidTr="00EF718F">
        <w:trPr>
          <w:cantSplit/>
          <w:jc w:val="center"/>
        </w:trPr>
        <w:tc>
          <w:tcPr>
            <w:tcW w:w="1214" w:type="dxa"/>
            <w:vMerge/>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197D0A" w:rsidRDefault="00EE11A6" w:rsidP="0045712B">
            <w:pPr>
              <w:autoSpaceDE w:val="0"/>
              <w:autoSpaceDN w:val="0"/>
              <w:adjustRightInd w:val="0"/>
              <w:spacing w:after="0" w:line="240" w:lineRule="auto"/>
              <w:rPr>
                <w:rFonts w:ascii="Century Gothic" w:hAnsi="Century Gothic" w:cs="Arial"/>
                <w:color w:val="000000"/>
                <w:sz w:val="20"/>
                <w:szCs w:val="20"/>
              </w:rPr>
            </w:pPr>
            <w:r w:rsidRPr="00197D0A">
              <w:rPr>
                <w:rFonts w:ascii="Century Gothic" w:hAnsi="Century Gothic" w:cs="Arial"/>
                <w:color w:val="000000"/>
                <w:sz w:val="20"/>
                <w:szCs w:val="20"/>
              </w:rPr>
              <w:t>75</w:t>
            </w:r>
          </w:p>
        </w:tc>
        <w:tc>
          <w:tcPr>
            <w:tcW w:w="1007"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1.00</w:t>
            </w:r>
          </w:p>
        </w:tc>
        <w:tc>
          <w:tcPr>
            <w:tcW w:w="1096" w:type="dxa"/>
            <w:shd w:val="clear" w:color="auto" w:fill="FFFFFF"/>
            <w:tcMar>
              <w:top w:w="30" w:type="dxa"/>
              <w:left w:w="30" w:type="dxa"/>
              <w:bottom w:w="30" w:type="dxa"/>
              <w:right w:w="30" w:type="dxa"/>
            </w:tcMar>
            <w:vAlign w:val="center"/>
          </w:tcPr>
          <w:p w:rsidR="00EE11A6" w:rsidRPr="00197D0A"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197D0A">
              <w:rPr>
                <w:rFonts w:ascii="Century Gothic" w:hAnsi="Century Gothic" w:cs="Arial"/>
                <w:color w:val="000000"/>
                <w:sz w:val="20"/>
                <w:szCs w:val="20"/>
              </w:rPr>
              <w:t>1.00</w:t>
            </w:r>
          </w:p>
        </w:tc>
      </w:tr>
    </w:tbl>
    <w:p w:rsidR="00EE11A6" w:rsidRPr="00197D0A" w:rsidRDefault="00EE11A6" w:rsidP="00EE11A6">
      <w:pPr>
        <w:spacing w:after="0" w:line="360" w:lineRule="auto"/>
        <w:jc w:val="both"/>
        <w:rPr>
          <w:rFonts w:ascii="Century Gothic" w:hAnsi="Century Gothic" w:cs="Times New Roman"/>
          <w:noProof/>
          <w:sz w:val="20"/>
          <w:szCs w:val="20"/>
        </w:rPr>
      </w:pPr>
    </w:p>
    <w:p w:rsidR="00EF718F" w:rsidRDefault="00EF718F" w:rsidP="00EE11A6">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space="720"/>
          <w:docGrid w:linePitch="360"/>
        </w:sectPr>
      </w:pPr>
    </w:p>
    <w:p w:rsidR="00EE11A6" w:rsidRDefault="004B4805" w:rsidP="00EE11A6">
      <w:pPr>
        <w:pStyle w:val="ListParagraph"/>
        <w:spacing w:after="0" w:line="360" w:lineRule="auto"/>
        <w:ind w:left="0" w:firstLine="567"/>
        <w:jc w:val="both"/>
        <w:rPr>
          <w:rFonts w:ascii="Century Gothic" w:hAnsi="Century Gothic" w:cs="Times New Roman"/>
          <w:sz w:val="20"/>
          <w:szCs w:val="20"/>
        </w:rPr>
      </w:pPr>
      <w:r w:rsidRPr="00197D0A">
        <w:rPr>
          <w:rFonts w:ascii="Century Gothic" w:hAnsi="Century Gothic" w:cs="Times New Roman"/>
          <w:sz w:val="20"/>
          <w:szCs w:val="20"/>
        </w:rPr>
        <w:lastRenderedPageBreak/>
        <w:t>Patuh dan patut merupakan dua hal yang tidak</w:t>
      </w:r>
      <w:r w:rsidRPr="00EE11A6">
        <w:rPr>
          <w:rFonts w:ascii="Century Gothic" w:hAnsi="Century Gothic" w:cs="Times New Roman"/>
          <w:sz w:val="20"/>
          <w:szCs w:val="20"/>
        </w:rPr>
        <w:t xml:space="preserve"> dapat dipisahkan. Ini menjadi salah satu kriteria komitmen guru dalam menajalankan tugas. Program PLC merupakan tugas penunjang yang harus dilaks</w:t>
      </w:r>
      <w:r w:rsidR="000D3DBA" w:rsidRPr="00EE11A6">
        <w:rPr>
          <w:rFonts w:ascii="Century Gothic" w:hAnsi="Century Gothic" w:cs="Times New Roman"/>
          <w:sz w:val="20"/>
          <w:szCs w:val="20"/>
        </w:rPr>
        <w:t>anakan oleh guru secara berkelanjutan</w:t>
      </w:r>
      <w:r w:rsidRPr="00EE11A6">
        <w:rPr>
          <w:rFonts w:ascii="Century Gothic" w:hAnsi="Century Gothic" w:cs="Times New Roman"/>
          <w:sz w:val="20"/>
          <w:szCs w:val="20"/>
        </w:rPr>
        <w:t xml:space="preserve"> dan konsisten yang membutuhkan kepatuhan dan kepatutan. Patuh artinya </w:t>
      </w:r>
      <w:r w:rsidR="000D3DBA" w:rsidRPr="00EE11A6">
        <w:rPr>
          <w:rFonts w:ascii="Century Gothic" w:hAnsi="Century Gothic" w:cs="Times New Roman"/>
          <w:sz w:val="20"/>
          <w:szCs w:val="20"/>
        </w:rPr>
        <w:t>guru mau melaksanakan program se</w:t>
      </w:r>
      <w:r w:rsidRPr="00EE11A6">
        <w:rPr>
          <w:rFonts w:ascii="Century Gothic" w:hAnsi="Century Gothic" w:cs="Times New Roman"/>
          <w:sz w:val="20"/>
          <w:szCs w:val="20"/>
        </w:rPr>
        <w:t xml:space="preserve">suai dengan peraturan yang berlaku. Sedangkan patut </w:t>
      </w:r>
      <w:r w:rsidR="000D3DBA" w:rsidRPr="00EE11A6">
        <w:rPr>
          <w:rFonts w:ascii="Century Gothic" w:hAnsi="Century Gothic" w:cs="Times New Roman"/>
          <w:sz w:val="20"/>
          <w:szCs w:val="20"/>
        </w:rPr>
        <w:t xml:space="preserve">diartikan </w:t>
      </w:r>
      <w:r w:rsidRPr="00EE11A6">
        <w:rPr>
          <w:rFonts w:ascii="Century Gothic" w:hAnsi="Century Gothic" w:cs="Times New Roman"/>
          <w:sz w:val="20"/>
          <w:szCs w:val="20"/>
        </w:rPr>
        <w:t xml:space="preserve">guru layak untuk mengikuti program PLC yang diselenggarakan oleh sekolah. Akan tetapi kepatuhan dan kepatutan tidak senantiasa berjalan beriringan. Terlihat dari penelitian diatas, dari 52 orang guru yang menjadi responden, hanya 29 orang guru yang memiliki kepatuhan dan kepatutan dalam menjalankan program PLC </w:t>
      </w:r>
      <w:r w:rsidRPr="00EE11A6">
        <w:rPr>
          <w:rFonts w:ascii="Century Gothic" w:hAnsi="Century Gothic" w:cs="Times New Roman"/>
          <w:sz w:val="20"/>
          <w:szCs w:val="20"/>
        </w:rPr>
        <w:lastRenderedPageBreak/>
        <w:t>sedangkan dalam menjalakan peraturan PLC hanya terdapat 23 orang guru yang memiliki kepatuhan dan kepatutan. Artinya dalam menjalankan kepatuhan dan kepatutan PLC baik secara program maupun peraturan oleh guru masih</w:t>
      </w:r>
      <w:r w:rsidR="000D3DBA" w:rsidRPr="00EE11A6">
        <w:rPr>
          <w:rFonts w:ascii="Century Gothic" w:hAnsi="Century Gothic" w:cs="Times New Roman"/>
          <w:sz w:val="20"/>
          <w:szCs w:val="20"/>
        </w:rPr>
        <w:t xml:space="preserve"> menjadi tugas dan tantangan</w:t>
      </w:r>
      <w:r w:rsidR="00764674" w:rsidRPr="00EE11A6">
        <w:rPr>
          <w:rFonts w:ascii="Century Gothic" w:hAnsi="Century Gothic" w:cs="Times New Roman"/>
          <w:sz w:val="20"/>
          <w:szCs w:val="20"/>
        </w:rPr>
        <w:t xml:space="preserve"> besar bagi sekolah.</w:t>
      </w:r>
    </w:p>
    <w:p w:rsidR="00EF718F" w:rsidRDefault="004B4805" w:rsidP="00EE11A6">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num="2" w:space="720"/>
          <w:docGrid w:linePitch="360"/>
        </w:sectPr>
      </w:pPr>
      <w:r w:rsidRPr="00EE11A6">
        <w:rPr>
          <w:rFonts w:ascii="Century Gothic" w:hAnsi="Century Gothic" w:cs="Times New Roman"/>
          <w:sz w:val="20"/>
          <w:szCs w:val="20"/>
          <w:lang w:val="af-ZA"/>
        </w:rPr>
        <w:t>Kekuatan dan kelemahan PLC</w:t>
      </w:r>
      <w:r w:rsidR="00A461B5" w:rsidRPr="00EE11A6">
        <w:rPr>
          <w:rFonts w:ascii="Century Gothic" w:hAnsi="Century Gothic" w:cs="Times New Roman"/>
          <w:sz w:val="20"/>
          <w:szCs w:val="20"/>
          <w:lang w:val="af-ZA"/>
        </w:rPr>
        <w:t>,</w:t>
      </w:r>
      <w:r w:rsidR="00193A5F" w:rsidRPr="00EE11A6">
        <w:rPr>
          <w:rFonts w:ascii="Century Gothic" w:hAnsi="Century Gothic" w:cs="Times New Roman"/>
          <w:sz w:val="20"/>
          <w:szCs w:val="20"/>
          <w:lang w:val="af-ZA"/>
        </w:rPr>
        <w:t xml:space="preserve"> </w:t>
      </w:r>
      <w:r w:rsidR="00A461B5" w:rsidRPr="00EE11A6">
        <w:rPr>
          <w:rFonts w:ascii="Century Gothic" w:hAnsi="Century Gothic" w:cs="Times New Roman"/>
          <w:sz w:val="20"/>
          <w:szCs w:val="20"/>
          <w:lang w:val="af-ZA"/>
        </w:rPr>
        <w:t xml:space="preserve">adapun </w:t>
      </w:r>
      <w:r w:rsidR="00193A5F" w:rsidRPr="00EE11A6">
        <w:rPr>
          <w:rFonts w:ascii="Century Gothic" w:hAnsi="Century Gothic" w:cs="Times New Roman"/>
          <w:sz w:val="20"/>
          <w:szCs w:val="20"/>
          <w:lang w:val="af-ZA"/>
        </w:rPr>
        <w:t xml:space="preserve">berdasarkan hasil penelitian </w:t>
      </w:r>
      <w:r w:rsidRPr="00EE11A6">
        <w:rPr>
          <w:rFonts w:ascii="Century Gothic" w:hAnsi="Century Gothic" w:cs="Times New Roman"/>
          <w:sz w:val="20"/>
          <w:szCs w:val="20"/>
        </w:rPr>
        <w:t xml:space="preserve">diketahui bahwa waktu yang dimiliki oleh guru untuk mengikuti </w:t>
      </w:r>
      <w:r w:rsidR="00A461B5" w:rsidRPr="00EE11A6">
        <w:rPr>
          <w:rFonts w:ascii="Century Gothic" w:hAnsi="Century Gothic" w:cs="Times New Roman"/>
          <w:sz w:val="20"/>
          <w:szCs w:val="20"/>
        </w:rPr>
        <w:t xml:space="preserve">program PLC adalah sebesar 38%, </w:t>
      </w:r>
      <w:r w:rsidRPr="00EE11A6">
        <w:rPr>
          <w:rFonts w:ascii="Century Gothic" w:hAnsi="Century Gothic" w:cs="Times New Roman"/>
          <w:sz w:val="20"/>
          <w:szCs w:val="20"/>
        </w:rPr>
        <w:t>sedangkan kema</w:t>
      </w:r>
      <w:r w:rsidR="00A461B5" w:rsidRPr="00EE11A6">
        <w:rPr>
          <w:rFonts w:ascii="Century Gothic" w:hAnsi="Century Gothic" w:cs="Times New Roman"/>
          <w:sz w:val="20"/>
          <w:szCs w:val="20"/>
        </w:rPr>
        <w:t>mpuan yang dimiliki sebesar 42%.</w:t>
      </w:r>
      <w:r w:rsidRPr="00EE11A6">
        <w:rPr>
          <w:rFonts w:ascii="Century Gothic" w:hAnsi="Century Gothic" w:cs="Times New Roman"/>
          <w:sz w:val="20"/>
          <w:szCs w:val="20"/>
        </w:rPr>
        <w:t xml:space="preserve"> </w:t>
      </w:r>
      <w:r w:rsidR="00A461B5" w:rsidRPr="00EE11A6">
        <w:rPr>
          <w:rFonts w:ascii="Century Gothic" w:hAnsi="Century Gothic" w:cs="Times New Roman"/>
          <w:sz w:val="20"/>
          <w:szCs w:val="20"/>
        </w:rPr>
        <w:t>Selain itu juga</w:t>
      </w:r>
      <w:r w:rsidRPr="00EE11A6">
        <w:rPr>
          <w:rFonts w:ascii="Century Gothic" w:hAnsi="Century Gothic" w:cs="Times New Roman"/>
          <w:sz w:val="20"/>
          <w:szCs w:val="20"/>
        </w:rPr>
        <w:t xml:space="preserve"> kesempatan sebesar 46% </w:t>
      </w:r>
      <w:r w:rsidR="00A461B5" w:rsidRPr="00EE11A6">
        <w:rPr>
          <w:rFonts w:ascii="Century Gothic" w:hAnsi="Century Gothic" w:cs="Times New Roman"/>
          <w:sz w:val="20"/>
          <w:szCs w:val="20"/>
        </w:rPr>
        <w:t xml:space="preserve">dimiliki oleh guru </w:t>
      </w:r>
      <w:r w:rsidRPr="00EE11A6">
        <w:rPr>
          <w:rFonts w:ascii="Century Gothic" w:hAnsi="Century Gothic" w:cs="Times New Roman"/>
          <w:sz w:val="20"/>
          <w:szCs w:val="20"/>
        </w:rPr>
        <w:t>dan untuk si</w:t>
      </w:r>
      <w:r w:rsidR="00A461B5" w:rsidRPr="00EE11A6">
        <w:rPr>
          <w:rFonts w:ascii="Century Gothic" w:hAnsi="Century Gothic" w:cs="Times New Roman"/>
          <w:sz w:val="20"/>
          <w:szCs w:val="20"/>
        </w:rPr>
        <w:t>stem manajemen PLC yang telah terlaksana</w:t>
      </w:r>
      <w:r w:rsidRPr="00EE11A6">
        <w:rPr>
          <w:rFonts w:ascii="Century Gothic" w:hAnsi="Century Gothic" w:cs="Times New Roman"/>
          <w:sz w:val="20"/>
          <w:szCs w:val="20"/>
        </w:rPr>
        <w:t xml:space="preserve"> oleh guru s</w:t>
      </w:r>
      <w:r w:rsidR="00193A5F" w:rsidRPr="00EE11A6">
        <w:rPr>
          <w:rFonts w:ascii="Century Gothic" w:hAnsi="Century Gothic" w:cs="Times New Roman"/>
          <w:sz w:val="20"/>
          <w:szCs w:val="20"/>
        </w:rPr>
        <w:t xml:space="preserve">ebesar 31%. </w:t>
      </w:r>
      <w:r w:rsidRPr="00EE11A6">
        <w:rPr>
          <w:rFonts w:ascii="Century Gothic" w:hAnsi="Century Gothic" w:cs="Times New Roman"/>
          <w:sz w:val="20"/>
          <w:szCs w:val="20"/>
        </w:rPr>
        <w:t>Dari 52 guru yang me</w:t>
      </w:r>
      <w:r w:rsidR="00A461B5" w:rsidRPr="00EE11A6">
        <w:rPr>
          <w:rFonts w:ascii="Century Gothic" w:hAnsi="Century Gothic" w:cs="Times New Roman"/>
          <w:sz w:val="20"/>
          <w:szCs w:val="20"/>
        </w:rPr>
        <w:t>n</w:t>
      </w:r>
      <w:r w:rsidRPr="00EE11A6">
        <w:rPr>
          <w:rFonts w:ascii="Century Gothic" w:hAnsi="Century Gothic" w:cs="Times New Roman"/>
          <w:sz w:val="20"/>
          <w:szCs w:val="20"/>
        </w:rPr>
        <w:t xml:space="preserve">jadi responden penelitian ini, hanya 16 orang guru yang </w:t>
      </w:r>
      <w:r w:rsidRPr="00EE11A6">
        <w:rPr>
          <w:rFonts w:ascii="Century Gothic" w:hAnsi="Century Gothic" w:cs="Times New Roman"/>
          <w:sz w:val="20"/>
          <w:szCs w:val="20"/>
        </w:rPr>
        <w:lastRenderedPageBreak/>
        <w:t>memahami manajemen PLC. Sedangkan indikator waktu menjadi kelemahan kedua guru dalam menjalankan PLC, t</w:t>
      </w:r>
      <w:r w:rsidR="008D6ADC" w:rsidRPr="00EE11A6">
        <w:rPr>
          <w:rFonts w:ascii="Century Gothic" w:hAnsi="Century Gothic" w:cs="Times New Roman"/>
          <w:sz w:val="20"/>
          <w:szCs w:val="20"/>
        </w:rPr>
        <w:t>elah t</w:t>
      </w:r>
      <w:r w:rsidRPr="00EE11A6">
        <w:rPr>
          <w:rFonts w:ascii="Century Gothic" w:hAnsi="Century Gothic" w:cs="Times New Roman"/>
          <w:sz w:val="20"/>
          <w:szCs w:val="20"/>
        </w:rPr>
        <w:t xml:space="preserve">erbukti dari 52 orang guru hanya 20 orang guru yang menyatakan memiliki waktu dalam menjalankan PLC. Memang </w:t>
      </w:r>
      <w:r w:rsidR="008D6ADC" w:rsidRPr="00EE11A6">
        <w:rPr>
          <w:rFonts w:ascii="Century Gothic" w:hAnsi="Century Gothic" w:cs="Times New Roman"/>
          <w:sz w:val="20"/>
          <w:szCs w:val="20"/>
        </w:rPr>
        <w:t>pada dasarnya,</w:t>
      </w:r>
      <w:r w:rsidRPr="00EE11A6">
        <w:rPr>
          <w:rFonts w:ascii="Century Gothic" w:hAnsi="Century Gothic" w:cs="Times New Roman"/>
          <w:sz w:val="20"/>
          <w:szCs w:val="20"/>
        </w:rPr>
        <w:t xml:space="preserve"> guru mempunyai tugas yang tidak sedikit d</w:t>
      </w:r>
      <w:r w:rsidR="008D6ADC" w:rsidRPr="00EE11A6">
        <w:rPr>
          <w:rFonts w:ascii="Century Gothic" w:hAnsi="Century Gothic" w:cs="Times New Roman"/>
          <w:sz w:val="20"/>
          <w:szCs w:val="20"/>
        </w:rPr>
        <w:t>ibandingkan dengan</w:t>
      </w:r>
      <w:r w:rsidRPr="00EE11A6">
        <w:rPr>
          <w:rFonts w:ascii="Century Gothic" w:hAnsi="Century Gothic" w:cs="Times New Roman"/>
          <w:sz w:val="20"/>
          <w:szCs w:val="20"/>
        </w:rPr>
        <w:t xml:space="preserve"> beban kerja yang berat. </w:t>
      </w:r>
      <w:r w:rsidR="008D6ADC" w:rsidRPr="00EE11A6">
        <w:rPr>
          <w:rFonts w:ascii="Century Gothic" w:hAnsi="Century Gothic" w:cs="Times New Roman"/>
          <w:sz w:val="20"/>
          <w:szCs w:val="20"/>
        </w:rPr>
        <w:t>Namun</w:t>
      </w:r>
      <w:r w:rsidRPr="00EE11A6">
        <w:rPr>
          <w:rFonts w:ascii="Century Gothic" w:hAnsi="Century Gothic" w:cs="Times New Roman"/>
          <w:sz w:val="20"/>
          <w:szCs w:val="20"/>
        </w:rPr>
        <w:t xml:space="preserve">, </w:t>
      </w:r>
      <w:r w:rsidR="008D6ADC" w:rsidRPr="00EE11A6">
        <w:rPr>
          <w:rFonts w:ascii="Century Gothic" w:hAnsi="Century Gothic" w:cs="Times New Roman"/>
          <w:sz w:val="20"/>
          <w:szCs w:val="20"/>
        </w:rPr>
        <w:t>hal ini bisa diatasi oleh guru dalam memanfaatkan waktunya agar berjalan dengan semaksimal mungkin beriringan dengan tugas-tugas yang tentunya tidak sedikit.</w:t>
      </w:r>
      <w:r w:rsidRPr="00EE11A6">
        <w:rPr>
          <w:rFonts w:ascii="Century Gothic" w:hAnsi="Century Gothic" w:cs="Times New Roman"/>
          <w:sz w:val="20"/>
          <w:szCs w:val="20"/>
        </w:rPr>
        <w:t xml:space="preserve"> Selain kelemahan, dalam hasil penelitian </w:t>
      </w:r>
      <w:r w:rsidRPr="00EE11A6">
        <w:rPr>
          <w:rFonts w:ascii="Century Gothic" w:hAnsi="Century Gothic" w:cs="Times New Roman"/>
          <w:sz w:val="20"/>
          <w:szCs w:val="20"/>
        </w:rPr>
        <w:lastRenderedPageBreak/>
        <w:t>menunjukkan dalam pelaksanaan P</w:t>
      </w:r>
      <w:r w:rsidR="008D6ADC" w:rsidRPr="00EE11A6">
        <w:rPr>
          <w:rFonts w:ascii="Century Gothic" w:hAnsi="Century Gothic" w:cs="Times New Roman"/>
          <w:sz w:val="20"/>
          <w:szCs w:val="20"/>
        </w:rPr>
        <w:t>LC,</w:t>
      </w:r>
      <w:r w:rsidRPr="00EE11A6">
        <w:rPr>
          <w:rFonts w:ascii="Century Gothic" w:hAnsi="Century Gothic" w:cs="Times New Roman"/>
          <w:sz w:val="20"/>
          <w:szCs w:val="20"/>
        </w:rPr>
        <w:t xml:space="preserve"> kemampuan atau kompetensi yang dimiliki oleh </w:t>
      </w:r>
      <w:r w:rsidR="008D6ADC" w:rsidRPr="00EE11A6">
        <w:rPr>
          <w:rFonts w:ascii="Century Gothic" w:hAnsi="Century Gothic" w:cs="Times New Roman"/>
          <w:sz w:val="20"/>
          <w:szCs w:val="20"/>
        </w:rPr>
        <w:t>guru menjadi hal yang perlu dipertimbangkan juga</w:t>
      </w:r>
      <w:r w:rsidRPr="00EE11A6">
        <w:rPr>
          <w:rFonts w:ascii="Century Gothic" w:hAnsi="Century Gothic" w:cs="Times New Roman"/>
          <w:sz w:val="20"/>
          <w:szCs w:val="20"/>
        </w:rPr>
        <w:t>. Sebanyak 22 orang guru dari 52 orang responden menyatakan memiliki kemampuan yan</w:t>
      </w:r>
      <w:r w:rsidR="008D6ADC" w:rsidRPr="00EE11A6">
        <w:rPr>
          <w:rFonts w:ascii="Century Gothic" w:hAnsi="Century Gothic" w:cs="Times New Roman"/>
          <w:sz w:val="20"/>
          <w:szCs w:val="20"/>
        </w:rPr>
        <w:t>g memadai dalam menjalankan PLC, sedangkan sebetulnya mereka memerlukan kesempatan</w:t>
      </w:r>
      <w:r w:rsidRPr="00EE11A6">
        <w:rPr>
          <w:rFonts w:ascii="Century Gothic" w:hAnsi="Century Gothic" w:cs="Times New Roman"/>
          <w:sz w:val="20"/>
          <w:szCs w:val="20"/>
        </w:rPr>
        <w:t>. Sebanyak 24 orang guru menjawab memiliki kesempatan bahkan diberi kesempatan untuk</w:t>
      </w:r>
      <w:r w:rsidR="008D6ADC" w:rsidRPr="00EE11A6">
        <w:rPr>
          <w:rFonts w:ascii="Century Gothic" w:hAnsi="Century Gothic" w:cs="Times New Roman"/>
          <w:sz w:val="20"/>
          <w:szCs w:val="20"/>
        </w:rPr>
        <w:t xml:space="preserve"> turut serta dalam kegiatan PLC, namun tidak memiliki kemampuan yang memadai.</w:t>
      </w:r>
    </w:p>
    <w:p w:rsidR="00EE11A6" w:rsidRPr="00112177" w:rsidRDefault="00CE7BED" w:rsidP="00112177">
      <w:pPr>
        <w:spacing w:after="0" w:line="360" w:lineRule="auto"/>
        <w:jc w:val="both"/>
        <w:rPr>
          <w:rFonts w:ascii="Century Gothic" w:hAnsi="Century Gothic" w:cs="Times New Roman"/>
          <w:sz w:val="20"/>
          <w:szCs w:val="20"/>
        </w:rPr>
      </w:pPr>
      <w:r w:rsidRPr="00112177">
        <w:rPr>
          <w:rFonts w:ascii="Century Gothic" w:hAnsi="Century Gothic" w:cs="Times New Roman"/>
          <w:color w:val="000000"/>
          <w:sz w:val="20"/>
          <w:szCs w:val="20"/>
        </w:rPr>
        <w:lastRenderedPageBreak/>
        <w:t>Tabel 7.</w:t>
      </w:r>
      <w:r w:rsidR="00EE11A6" w:rsidRPr="00112177">
        <w:rPr>
          <w:rFonts w:ascii="Century Gothic" w:hAnsi="Century Gothic" w:cs="Times New Roman"/>
          <w:color w:val="000000"/>
          <w:sz w:val="20"/>
          <w:szCs w:val="20"/>
        </w:rPr>
        <w:t xml:space="preserve"> Kekuatan dan kelemahan PLC</w:t>
      </w:r>
    </w:p>
    <w:tbl>
      <w:tblPr>
        <w:tblW w:w="8577" w:type="dxa"/>
        <w:tblBorders>
          <w:insideH w:val="single" w:sz="2" w:space="0" w:color="000000"/>
        </w:tblBorders>
        <w:tblLayout w:type="fixed"/>
        <w:tblCellMar>
          <w:left w:w="30" w:type="dxa"/>
          <w:right w:w="30" w:type="dxa"/>
        </w:tblCellMar>
        <w:tblLook w:val="0000" w:firstRow="0" w:lastRow="0" w:firstColumn="0" w:lastColumn="0" w:noHBand="0" w:noVBand="0"/>
      </w:tblPr>
      <w:tblGrid>
        <w:gridCol w:w="1214"/>
        <w:gridCol w:w="2159"/>
        <w:gridCol w:w="1000"/>
        <w:gridCol w:w="1366"/>
        <w:gridCol w:w="1397"/>
        <w:gridCol w:w="1441"/>
      </w:tblGrid>
      <w:tr w:rsidR="00EE11A6" w:rsidRPr="00EE11A6" w:rsidTr="00EE11A6">
        <w:trPr>
          <w:cantSplit/>
          <w:tblHeader/>
        </w:trPr>
        <w:tc>
          <w:tcPr>
            <w:tcW w:w="1214" w:type="dxa"/>
            <w:tcBorders>
              <w:top w:val="single" w:sz="2" w:space="0" w:color="000000"/>
              <w:bottom w:val="single" w:sz="2" w:space="0" w:color="000000"/>
            </w:tcBorders>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Times New Roman"/>
                <w:sz w:val="20"/>
                <w:szCs w:val="20"/>
              </w:rPr>
            </w:pPr>
          </w:p>
        </w:tc>
        <w:tc>
          <w:tcPr>
            <w:tcW w:w="2159" w:type="dxa"/>
            <w:tcBorders>
              <w:top w:val="single" w:sz="2" w:space="0" w:color="000000"/>
              <w:bottom w:val="single" w:sz="2" w:space="0" w:color="000000"/>
            </w:tcBorders>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Times New Roman"/>
                <w:sz w:val="20"/>
                <w:szCs w:val="20"/>
              </w:rPr>
            </w:pPr>
          </w:p>
        </w:tc>
        <w:tc>
          <w:tcPr>
            <w:tcW w:w="1000"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EE11A6" w:rsidRPr="00EE11A6" w:rsidRDefault="00EE11A6" w:rsidP="0045712B">
            <w:pPr>
              <w:autoSpaceDE w:val="0"/>
              <w:autoSpaceDN w:val="0"/>
              <w:adjustRightInd w:val="0"/>
              <w:spacing w:after="0" w:line="240" w:lineRule="auto"/>
              <w:jc w:val="center"/>
              <w:rPr>
                <w:rFonts w:ascii="Century Gothic" w:hAnsi="Century Gothic" w:cs="Arial"/>
                <w:color w:val="000000"/>
                <w:sz w:val="20"/>
                <w:szCs w:val="20"/>
              </w:rPr>
            </w:pPr>
            <w:r w:rsidRPr="00EE11A6">
              <w:rPr>
                <w:rFonts w:ascii="Century Gothic" w:hAnsi="Century Gothic" w:cs="Arial"/>
                <w:color w:val="000000"/>
                <w:sz w:val="20"/>
                <w:szCs w:val="20"/>
              </w:rPr>
              <w:t>Waktu</w:t>
            </w:r>
          </w:p>
        </w:tc>
        <w:tc>
          <w:tcPr>
            <w:tcW w:w="1366"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EE11A6" w:rsidRPr="00EE11A6" w:rsidRDefault="00EE11A6" w:rsidP="0045712B">
            <w:pPr>
              <w:autoSpaceDE w:val="0"/>
              <w:autoSpaceDN w:val="0"/>
              <w:adjustRightInd w:val="0"/>
              <w:spacing w:after="0" w:line="240" w:lineRule="auto"/>
              <w:jc w:val="center"/>
              <w:rPr>
                <w:rFonts w:ascii="Century Gothic" w:hAnsi="Century Gothic" w:cs="Arial"/>
                <w:color w:val="000000"/>
                <w:sz w:val="20"/>
                <w:szCs w:val="20"/>
              </w:rPr>
            </w:pPr>
            <w:r w:rsidRPr="00EE11A6">
              <w:rPr>
                <w:rFonts w:ascii="Century Gothic" w:hAnsi="Century Gothic" w:cs="Arial"/>
                <w:color w:val="000000"/>
                <w:sz w:val="20"/>
                <w:szCs w:val="20"/>
              </w:rPr>
              <w:t>Kemampuan</w:t>
            </w:r>
          </w:p>
        </w:tc>
        <w:tc>
          <w:tcPr>
            <w:tcW w:w="1397"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EE11A6" w:rsidRPr="00EE11A6" w:rsidRDefault="00EE11A6" w:rsidP="0045712B">
            <w:pPr>
              <w:autoSpaceDE w:val="0"/>
              <w:autoSpaceDN w:val="0"/>
              <w:adjustRightInd w:val="0"/>
              <w:spacing w:after="0" w:line="240" w:lineRule="auto"/>
              <w:jc w:val="center"/>
              <w:rPr>
                <w:rFonts w:ascii="Century Gothic" w:hAnsi="Century Gothic" w:cs="Arial"/>
                <w:color w:val="000000"/>
                <w:sz w:val="20"/>
                <w:szCs w:val="20"/>
              </w:rPr>
            </w:pPr>
            <w:r w:rsidRPr="00EE11A6">
              <w:rPr>
                <w:rFonts w:ascii="Century Gothic" w:hAnsi="Century Gothic" w:cs="Arial"/>
                <w:color w:val="000000"/>
                <w:sz w:val="20"/>
                <w:szCs w:val="20"/>
              </w:rPr>
              <w:t xml:space="preserve">Kesempatan </w:t>
            </w:r>
          </w:p>
        </w:tc>
        <w:tc>
          <w:tcPr>
            <w:tcW w:w="1441"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rsidR="00EE11A6" w:rsidRPr="00EE11A6" w:rsidRDefault="00EE11A6" w:rsidP="0045712B">
            <w:pPr>
              <w:autoSpaceDE w:val="0"/>
              <w:autoSpaceDN w:val="0"/>
              <w:adjustRightInd w:val="0"/>
              <w:spacing w:after="0" w:line="240" w:lineRule="auto"/>
              <w:jc w:val="center"/>
              <w:rPr>
                <w:rFonts w:ascii="Century Gothic" w:hAnsi="Century Gothic" w:cs="Arial"/>
                <w:color w:val="000000"/>
                <w:sz w:val="20"/>
                <w:szCs w:val="20"/>
              </w:rPr>
            </w:pPr>
            <w:r w:rsidRPr="00EE11A6">
              <w:rPr>
                <w:rFonts w:ascii="Century Gothic" w:hAnsi="Century Gothic" w:cs="Arial"/>
                <w:color w:val="000000"/>
                <w:sz w:val="20"/>
                <w:szCs w:val="20"/>
              </w:rPr>
              <w:t>Manajemen PLC</w:t>
            </w:r>
          </w:p>
        </w:tc>
      </w:tr>
      <w:tr w:rsidR="00EE11A6" w:rsidRPr="00EE11A6" w:rsidTr="00EE11A6">
        <w:trPr>
          <w:cantSplit/>
        </w:trPr>
        <w:tc>
          <w:tcPr>
            <w:tcW w:w="1214" w:type="dxa"/>
            <w:vMerge w:val="restart"/>
            <w:tcBorders>
              <w:top w:val="single" w:sz="2" w:space="0" w:color="000000"/>
            </w:tcBorders>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N</w:t>
            </w:r>
          </w:p>
        </w:tc>
        <w:tc>
          <w:tcPr>
            <w:tcW w:w="2159" w:type="dxa"/>
            <w:tcBorders>
              <w:top w:val="single" w:sz="2" w:space="0" w:color="000000"/>
            </w:tcBorders>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Valid</w:t>
            </w:r>
          </w:p>
        </w:tc>
        <w:tc>
          <w:tcPr>
            <w:tcW w:w="1000" w:type="dxa"/>
            <w:tcBorders>
              <w:top w:val="single" w:sz="2" w:space="0" w:color="000000"/>
            </w:tcBorders>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52</w:t>
            </w:r>
          </w:p>
        </w:tc>
        <w:tc>
          <w:tcPr>
            <w:tcW w:w="1366" w:type="dxa"/>
            <w:tcBorders>
              <w:top w:val="single" w:sz="2" w:space="0" w:color="000000"/>
            </w:tcBorders>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52</w:t>
            </w:r>
          </w:p>
        </w:tc>
        <w:tc>
          <w:tcPr>
            <w:tcW w:w="1397" w:type="dxa"/>
            <w:tcBorders>
              <w:top w:val="single" w:sz="2" w:space="0" w:color="000000"/>
            </w:tcBorders>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52</w:t>
            </w:r>
          </w:p>
        </w:tc>
        <w:tc>
          <w:tcPr>
            <w:tcW w:w="1441" w:type="dxa"/>
            <w:tcBorders>
              <w:top w:val="single" w:sz="2" w:space="0" w:color="000000"/>
            </w:tcBorders>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52</w:t>
            </w:r>
          </w:p>
        </w:tc>
      </w:tr>
      <w:tr w:rsidR="00EE11A6" w:rsidRPr="00EE11A6" w:rsidTr="00EE11A6">
        <w:trPr>
          <w:cantSplit/>
        </w:trPr>
        <w:tc>
          <w:tcPr>
            <w:tcW w:w="1214" w:type="dxa"/>
            <w:vMerge/>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Missing</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Mean</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.38</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.42</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.46</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.31</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Std. Error of Mean</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.068</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.069</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.070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.065</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Median</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Mode</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Std. Deviation</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.491</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.499</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.503</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.466</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Variance</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.241</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.249</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.253</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.217</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Skewness</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.489</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.321</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.159</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.858</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Std. Error of Skewness</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.330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.330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.330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.330</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Kurtosis</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-1.833</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-1.975</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-2.055</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-1.315</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Std. Error of Kurtosis</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.650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.650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.650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.650</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Range</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Minimum</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Maximum</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w:t>
            </w:r>
          </w:p>
        </w:tc>
      </w:tr>
      <w:tr w:rsidR="00EE11A6" w:rsidRPr="00EE11A6" w:rsidTr="00EE11A6">
        <w:trPr>
          <w:cantSplit/>
        </w:trPr>
        <w:tc>
          <w:tcPr>
            <w:tcW w:w="3373" w:type="dxa"/>
            <w:gridSpan w:val="2"/>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Sum</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22</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24</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16</w:t>
            </w:r>
          </w:p>
        </w:tc>
      </w:tr>
      <w:tr w:rsidR="00EE11A6" w:rsidRPr="00EE11A6" w:rsidTr="00EE11A6">
        <w:trPr>
          <w:cantSplit/>
        </w:trPr>
        <w:tc>
          <w:tcPr>
            <w:tcW w:w="1214" w:type="dxa"/>
            <w:vMerge w:val="restart"/>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Percentiles</w:t>
            </w:r>
          </w:p>
        </w:tc>
        <w:tc>
          <w:tcPr>
            <w:tcW w:w="2159" w:type="dxa"/>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25</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r>
      <w:tr w:rsidR="00EE11A6" w:rsidRPr="00EE11A6" w:rsidTr="00EE11A6">
        <w:trPr>
          <w:cantSplit/>
        </w:trPr>
        <w:tc>
          <w:tcPr>
            <w:tcW w:w="1214" w:type="dxa"/>
            <w:vMerge/>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50</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.00</w:t>
            </w:r>
          </w:p>
        </w:tc>
      </w:tr>
      <w:tr w:rsidR="00EE11A6" w:rsidRPr="00EE11A6" w:rsidTr="00EE11A6">
        <w:trPr>
          <w:cantSplit/>
        </w:trPr>
        <w:tc>
          <w:tcPr>
            <w:tcW w:w="1214" w:type="dxa"/>
            <w:vMerge/>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p>
        </w:tc>
        <w:tc>
          <w:tcPr>
            <w:tcW w:w="2159" w:type="dxa"/>
            <w:shd w:val="clear" w:color="auto" w:fill="FFFFFF"/>
            <w:tcMar>
              <w:top w:w="30" w:type="dxa"/>
              <w:left w:w="30" w:type="dxa"/>
              <w:bottom w:w="30" w:type="dxa"/>
              <w:right w:w="30" w:type="dxa"/>
            </w:tcMar>
          </w:tcPr>
          <w:p w:rsidR="00EE11A6" w:rsidRPr="00EE11A6" w:rsidRDefault="00EE11A6" w:rsidP="0045712B">
            <w:pPr>
              <w:autoSpaceDE w:val="0"/>
              <w:autoSpaceDN w:val="0"/>
              <w:adjustRightInd w:val="0"/>
              <w:spacing w:after="0" w:line="240" w:lineRule="auto"/>
              <w:rPr>
                <w:rFonts w:ascii="Century Gothic" w:hAnsi="Century Gothic" w:cs="Arial"/>
                <w:color w:val="000000"/>
                <w:sz w:val="20"/>
                <w:szCs w:val="20"/>
              </w:rPr>
            </w:pPr>
            <w:r w:rsidRPr="00EE11A6">
              <w:rPr>
                <w:rFonts w:ascii="Century Gothic" w:hAnsi="Century Gothic" w:cs="Arial"/>
                <w:color w:val="000000"/>
                <w:sz w:val="20"/>
                <w:szCs w:val="20"/>
              </w:rPr>
              <w:t>75</w:t>
            </w:r>
          </w:p>
        </w:tc>
        <w:tc>
          <w:tcPr>
            <w:tcW w:w="1000"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1.00</w:t>
            </w:r>
          </w:p>
        </w:tc>
        <w:tc>
          <w:tcPr>
            <w:tcW w:w="1366"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1.00</w:t>
            </w:r>
          </w:p>
        </w:tc>
        <w:tc>
          <w:tcPr>
            <w:tcW w:w="1397"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1.00</w:t>
            </w:r>
          </w:p>
        </w:tc>
        <w:tc>
          <w:tcPr>
            <w:tcW w:w="1441" w:type="dxa"/>
            <w:shd w:val="clear" w:color="auto" w:fill="FFFFFF"/>
            <w:tcMar>
              <w:top w:w="30" w:type="dxa"/>
              <w:left w:w="30" w:type="dxa"/>
              <w:bottom w:w="30" w:type="dxa"/>
              <w:right w:w="30" w:type="dxa"/>
            </w:tcMar>
            <w:vAlign w:val="center"/>
          </w:tcPr>
          <w:p w:rsidR="00EE11A6" w:rsidRPr="00EE11A6" w:rsidRDefault="00EE11A6" w:rsidP="0045712B">
            <w:pPr>
              <w:autoSpaceDE w:val="0"/>
              <w:autoSpaceDN w:val="0"/>
              <w:adjustRightInd w:val="0"/>
              <w:spacing w:after="0" w:line="240" w:lineRule="auto"/>
              <w:jc w:val="right"/>
              <w:rPr>
                <w:rFonts w:ascii="Century Gothic" w:hAnsi="Century Gothic" w:cs="Arial"/>
                <w:color w:val="000000"/>
                <w:sz w:val="20"/>
                <w:szCs w:val="20"/>
              </w:rPr>
            </w:pPr>
            <w:r w:rsidRPr="00EE11A6">
              <w:rPr>
                <w:rFonts w:ascii="Century Gothic" w:hAnsi="Century Gothic" w:cs="Arial"/>
                <w:color w:val="000000"/>
                <w:sz w:val="20"/>
                <w:szCs w:val="20"/>
              </w:rPr>
              <w:t>1.00</w:t>
            </w:r>
          </w:p>
        </w:tc>
      </w:tr>
    </w:tbl>
    <w:p w:rsidR="00EE11A6" w:rsidRPr="00EE11A6" w:rsidRDefault="00EE11A6" w:rsidP="00EE11A6">
      <w:pPr>
        <w:spacing w:after="0" w:line="360" w:lineRule="auto"/>
        <w:jc w:val="both"/>
        <w:rPr>
          <w:rFonts w:ascii="Century Gothic" w:hAnsi="Century Gothic" w:cs="Times New Roman"/>
          <w:sz w:val="20"/>
          <w:szCs w:val="20"/>
        </w:rPr>
      </w:pPr>
    </w:p>
    <w:p w:rsidR="00EF718F" w:rsidRDefault="00EF718F" w:rsidP="00EE11A6">
      <w:pPr>
        <w:pStyle w:val="ListParagraph"/>
        <w:spacing w:after="0" w:line="360" w:lineRule="auto"/>
        <w:ind w:left="0" w:firstLine="567"/>
        <w:jc w:val="both"/>
        <w:rPr>
          <w:rFonts w:ascii="Century Gothic" w:hAnsi="Century Gothic" w:cs="Times New Roman"/>
          <w:sz w:val="20"/>
          <w:szCs w:val="20"/>
        </w:rPr>
        <w:sectPr w:rsidR="00EF718F" w:rsidSect="00EF718F">
          <w:type w:val="continuous"/>
          <w:pgSz w:w="11907" w:h="16839" w:code="9"/>
          <w:pgMar w:top="1418" w:right="1418" w:bottom="1418" w:left="1418" w:header="720" w:footer="720" w:gutter="0"/>
          <w:cols w:space="720"/>
          <w:docGrid w:linePitch="360"/>
        </w:sectPr>
      </w:pPr>
    </w:p>
    <w:p w:rsidR="00760083" w:rsidRPr="00EE11A6" w:rsidRDefault="004B4805" w:rsidP="00EE11A6">
      <w:pPr>
        <w:pStyle w:val="ListParagraph"/>
        <w:spacing w:after="0" w:line="360" w:lineRule="auto"/>
        <w:ind w:left="0" w:firstLine="567"/>
        <w:jc w:val="both"/>
        <w:rPr>
          <w:rFonts w:ascii="Century Gothic" w:hAnsi="Century Gothic" w:cs="Times New Roman"/>
          <w:color w:val="000000"/>
          <w:sz w:val="20"/>
          <w:szCs w:val="20"/>
        </w:rPr>
      </w:pPr>
      <w:r w:rsidRPr="00EE11A6">
        <w:rPr>
          <w:rFonts w:ascii="Century Gothic" w:hAnsi="Century Gothic" w:cs="Times New Roman"/>
          <w:sz w:val="20"/>
          <w:szCs w:val="20"/>
        </w:rPr>
        <w:lastRenderedPageBreak/>
        <w:t>Dari hasil penelitian</w:t>
      </w:r>
      <w:r w:rsidR="00193A5F" w:rsidRPr="00EE11A6">
        <w:rPr>
          <w:rFonts w:ascii="Century Gothic" w:hAnsi="Century Gothic" w:cs="Times New Roman"/>
          <w:sz w:val="20"/>
          <w:szCs w:val="20"/>
        </w:rPr>
        <w:t xml:space="preserve"> tersebut</w:t>
      </w:r>
      <w:r w:rsidRPr="00EE11A6">
        <w:rPr>
          <w:rFonts w:ascii="Century Gothic" w:hAnsi="Century Gothic" w:cs="Times New Roman"/>
          <w:sz w:val="20"/>
          <w:szCs w:val="20"/>
        </w:rPr>
        <w:t xml:space="preserve">, </w:t>
      </w:r>
      <w:r w:rsidR="008D6ADC" w:rsidRPr="00EE11A6">
        <w:rPr>
          <w:rFonts w:ascii="Century Gothic" w:hAnsi="Century Gothic" w:cs="Times New Roman"/>
          <w:sz w:val="20"/>
          <w:szCs w:val="20"/>
        </w:rPr>
        <w:t>tentu</w:t>
      </w:r>
      <w:r w:rsidRPr="00EE11A6">
        <w:rPr>
          <w:rFonts w:ascii="Century Gothic" w:hAnsi="Century Gothic" w:cs="Times New Roman"/>
          <w:sz w:val="20"/>
          <w:szCs w:val="20"/>
        </w:rPr>
        <w:t xml:space="preserve"> guru mem</w:t>
      </w:r>
      <w:r w:rsidR="008D6ADC" w:rsidRPr="00EE11A6">
        <w:rPr>
          <w:rFonts w:ascii="Century Gothic" w:hAnsi="Century Gothic" w:cs="Times New Roman"/>
          <w:sz w:val="20"/>
          <w:szCs w:val="20"/>
        </w:rPr>
        <w:t>punyai</w:t>
      </w:r>
      <w:r w:rsidRPr="00EE11A6">
        <w:rPr>
          <w:rFonts w:ascii="Century Gothic" w:hAnsi="Century Gothic" w:cs="Times New Roman"/>
          <w:sz w:val="20"/>
          <w:szCs w:val="20"/>
        </w:rPr>
        <w:t xml:space="preserve"> kelemahan dan kekuatan </w:t>
      </w:r>
      <w:r w:rsidR="008D6ADC" w:rsidRPr="00EE11A6">
        <w:rPr>
          <w:rFonts w:ascii="Century Gothic" w:hAnsi="Century Gothic" w:cs="Times New Roman"/>
          <w:sz w:val="20"/>
          <w:szCs w:val="20"/>
        </w:rPr>
        <w:t xml:space="preserve">pada saat menjalankan PLC. Akan tetapi soal kesempatan dan waktu, </w:t>
      </w:r>
      <w:r w:rsidR="008D6ADC" w:rsidRPr="00EE11A6">
        <w:rPr>
          <w:rFonts w:ascii="Century Gothic" w:hAnsi="Century Gothic" w:cs="Times New Roman"/>
          <w:sz w:val="20"/>
          <w:szCs w:val="20"/>
        </w:rPr>
        <w:lastRenderedPageBreak/>
        <w:t>ini bukanlah menjadi persoalan yang tidak ada jal</w:t>
      </w:r>
      <w:r w:rsidR="00B83392" w:rsidRPr="00EE11A6">
        <w:rPr>
          <w:rFonts w:ascii="Century Gothic" w:hAnsi="Century Gothic" w:cs="Times New Roman"/>
          <w:sz w:val="20"/>
          <w:szCs w:val="20"/>
        </w:rPr>
        <w:t>a</w:t>
      </w:r>
      <w:r w:rsidR="008D6ADC" w:rsidRPr="00EE11A6">
        <w:rPr>
          <w:rFonts w:ascii="Century Gothic" w:hAnsi="Century Gothic" w:cs="Times New Roman"/>
          <w:sz w:val="20"/>
          <w:szCs w:val="20"/>
        </w:rPr>
        <w:t xml:space="preserve">n keluarnya. Untuk mengatasi permasalahan tersebut tergantung pada manajemen sekolah untuk mengorganisir </w:t>
      </w:r>
      <w:r w:rsidR="008D6ADC" w:rsidRPr="00EE11A6">
        <w:rPr>
          <w:rFonts w:ascii="Century Gothic" w:hAnsi="Century Gothic" w:cs="Times New Roman"/>
          <w:sz w:val="20"/>
          <w:szCs w:val="20"/>
        </w:rPr>
        <w:lastRenderedPageBreak/>
        <w:t xml:space="preserve">kekuatan guru agar dapat terlaksana dengan baik. Hal tersebut dapat ditempuh, misalnya dengan </w:t>
      </w:r>
      <w:r w:rsidR="00C3698C" w:rsidRPr="00EE11A6">
        <w:rPr>
          <w:rFonts w:ascii="Century Gothic" w:hAnsi="Century Gothic" w:cs="Times New Roman"/>
          <w:sz w:val="20"/>
          <w:szCs w:val="20"/>
        </w:rPr>
        <w:t xml:space="preserve">cara </w:t>
      </w:r>
      <w:r w:rsidR="008D6ADC" w:rsidRPr="00EE11A6">
        <w:rPr>
          <w:rFonts w:ascii="Century Gothic" w:hAnsi="Century Gothic" w:cs="Times New Roman"/>
          <w:sz w:val="20"/>
          <w:szCs w:val="20"/>
        </w:rPr>
        <w:t>k</w:t>
      </w:r>
      <w:r w:rsidRPr="00EE11A6">
        <w:rPr>
          <w:rFonts w:ascii="Century Gothic" w:hAnsi="Century Gothic" w:cs="Times New Roman"/>
          <w:sz w:val="20"/>
          <w:szCs w:val="20"/>
        </w:rPr>
        <w:t xml:space="preserve">epala sekolah </w:t>
      </w:r>
      <w:r w:rsidR="008D6ADC" w:rsidRPr="00EE11A6">
        <w:rPr>
          <w:rFonts w:ascii="Century Gothic" w:hAnsi="Century Gothic" w:cs="Times New Roman"/>
          <w:sz w:val="20"/>
          <w:szCs w:val="20"/>
        </w:rPr>
        <w:t xml:space="preserve">yang mengagendakan </w:t>
      </w:r>
      <w:r w:rsidRPr="00EE11A6">
        <w:rPr>
          <w:rFonts w:ascii="Century Gothic" w:hAnsi="Century Gothic" w:cs="Times New Roman"/>
          <w:sz w:val="20"/>
          <w:szCs w:val="20"/>
        </w:rPr>
        <w:t xml:space="preserve">waktu khusus </w:t>
      </w:r>
      <w:r w:rsidR="008D6ADC" w:rsidRPr="00EE11A6">
        <w:rPr>
          <w:rFonts w:ascii="Century Gothic" w:hAnsi="Century Gothic" w:cs="Times New Roman"/>
          <w:sz w:val="20"/>
          <w:szCs w:val="20"/>
        </w:rPr>
        <w:t>agar point utama dari PLC ini dapat terlaksana</w:t>
      </w:r>
      <w:r w:rsidR="00C3698C" w:rsidRPr="00EE11A6">
        <w:rPr>
          <w:rFonts w:ascii="Century Gothic" w:hAnsi="Century Gothic" w:cs="Times New Roman"/>
          <w:sz w:val="20"/>
          <w:szCs w:val="20"/>
        </w:rPr>
        <w:t xml:space="preserve"> dengan baik di sekolah yaitu dengan </w:t>
      </w:r>
      <w:r w:rsidR="008D6ADC" w:rsidRPr="00EE11A6">
        <w:rPr>
          <w:rFonts w:ascii="Century Gothic" w:hAnsi="Century Gothic" w:cs="Times New Roman"/>
          <w:sz w:val="20"/>
          <w:szCs w:val="20"/>
        </w:rPr>
        <w:t xml:space="preserve">memberikan </w:t>
      </w:r>
      <w:r w:rsidRPr="00EE11A6">
        <w:rPr>
          <w:rFonts w:ascii="Century Gothic" w:hAnsi="Century Gothic" w:cs="Times New Roman"/>
          <w:sz w:val="20"/>
          <w:szCs w:val="20"/>
        </w:rPr>
        <w:t xml:space="preserve">motivasi </w:t>
      </w:r>
      <w:r w:rsidR="008D6ADC" w:rsidRPr="00EE11A6">
        <w:rPr>
          <w:rFonts w:ascii="Century Gothic" w:hAnsi="Century Gothic" w:cs="Times New Roman"/>
          <w:sz w:val="20"/>
          <w:szCs w:val="20"/>
        </w:rPr>
        <w:t xml:space="preserve">pada </w:t>
      </w:r>
      <w:r w:rsidRPr="00EE11A6">
        <w:rPr>
          <w:rFonts w:ascii="Century Gothic" w:hAnsi="Century Gothic" w:cs="Times New Roman"/>
          <w:sz w:val="20"/>
          <w:szCs w:val="20"/>
        </w:rPr>
        <w:t xml:space="preserve">guru </w:t>
      </w:r>
      <w:r w:rsidR="00C3698C" w:rsidRPr="00EE11A6">
        <w:rPr>
          <w:rFonts w:ascii="Century Gothic" w:hAnsi="Century Gothic" w:cs="Times New Roman"/>
          <w:sz w:val="20"/>
          <w:szCs w:val="20"/>
        </w:rPr>
        <w:t>untuk</w:t>
      </w:r>
      <w:r w:rsidR="008D6ADC" w:rsidRPr="00EE11A6">
        <w:rPr>
          <w:rFonts w:ascii="Century Gothic" w:hAnsi="Century Gothic" w:cs="Times New Roman"/>
          <w:sz w:val="20"/>
          <w:szCs w:val="20"/>
        </w:rPr>
        <w:t xml:space="preserve"> memberikan peluang kesempatan yang seluas-luasnya</w:t>
      </w:r>
      <w:r w:rsidRPr="00EE11A6">
        <w:rPr>
          <w:rFonts w:ascii="Century Gothic" w:hAnsi="Century Gothic" w:cs="Times New Roman"/>
          <w:sz w:val="20"/>
          <w:szCs w:val="20"/>
        </w:rPr>
        <w:t xml:space="preserve"> bagi guru untuk </w:t>
      </w:r>
      <w:r w:rsidR="008D6ADC" w:rsidRPr="00EE11A6">
        <w:rPr>
          <w:rFonts w:ascii="Century Gothic" w:hAnsi="Century Gothic" w:cs="Times New Roman"/>
          <w:sz w:val="20"/>
          <w:szCs w:val="20"/>
        </w:rPr>
        <w:t xml:space="preserve">turut serta </w:t>
      </w:r>
      <w:r w:rsidRPr="00EE11A6">
        <w:rPr>
          <w:rFonts w:ascii="Century Gothic" w:hAnsi="Century Gothic" w:cs="Times New Roman"/>
          <w:sz w:val="20"/>
          <w:szCs w:val="20"/>
        </w:rPr>
        <w:t>be</w:t>
      </w:r>
      <w:r w:rsidR="00C3698C" w:rsidRPr="00EE11A6">
        <w:rPr>
          <w:rFonts w:ascii="Century Gothic" w:hAnsi="Century Gothic" w:cs="Times New Roman"/>
          <w:sz w:val="20"/>
          <w:szCs w:val="20"/>
        </w:rPr>
        <w:t>rpartisapasi dalam kegiatan PLC.</w:t>
      </w:r>
    </w:p>
    <w:p w:rsidR="00AC03FF" w:rsidRDefault="00760083" w:rsidP="00CD6BB2">
      <w:pPr>
        <w:spacing w:after="0" w:line="360" w:lineRule="auto"/>
        <w:ind w:firstLine="567"/>
        <w:jc w:val="both"/>
        <w:rPr>
          <w:rFonts w:ascii="Century Gothic" w:hAnsi="Century Gothic" w:cs="Times New Roman"/>
          <w:color w:val="000000"/>
          <w:sz w:val="20"/>
          <w:szCs w:val="20"/>
        </w:rPr>
      </w:pPr>
      <w:r w:rsidRPr="00352CB3">
        <w:rPr>
          <w:rFonts w:ascii="Century Gothic" w:hAnsi="Century Gothic" w:cs="Times New Roman"/>
          <w:color w:val="000000"/>
          <w:sz w:val="20"/>
          <w:szCs w:val="20"/>
        </w:rPr>
        <w:t>Demikian dapat dijelaskan perolehan data yang telah</w:t>
      </w:r>
      <w:r w:rsidR="000D3DBA">
        <w:rPr>
          <w:rFonts w:ascii="Century Gothic" w:hAnsi="Century Gothic" w:cs="Times New Roman"/>
          <w:color w:val="000000"/>
          <w:sz w:val="20"/>
          <w:szCs w:val="20"/>
        </w:rPr>
        <w:t xml:space="preserve"> diolah berdasarkan analisa pene</w:t>
      </w:r>
      <w:r w:rsidRPr="00352CB3">
        <w:rPr>
          <w:rFonts w:ascii="Century Gothic" w:hAnsi="Century Gothic" w:cs="Times New Roman"/>
          <w:color w:val="000000"/>
          <w:sz w:val="20"/>
          <w:szCs w:val="20"/>
        </w:rPr>
        <w:t xml:space="preserve">liti terkait dengan implementasi </w:t>
      </w:r>
      <w:r w:rsidRPr="00352CB3">
        <w:rPr>
          <w:rFonts w:ascii="Century Gothic" w:hAnsi="Century Gothic" w:cs="Times New Roman"/>
          <w:i/>
          <w:color w:val="000000"/>
          <w:sz w:val="20"/>
          <w:szCs w:val="20"/>
        </w:rPr>
        <w:t>Professional Learning Community</w:t>
      </w:r>
      <w:r w:rsidRPr="00352CB3">
        <w:rPr>
          <w:rFonts w:ascii="Century Gothic" w:hAnsi="Century Gothic" w:cs="Times New Roman"/>
          <w:color w:val="000000"/>
          <w:sz w:val="20"/>
          <w:szCs w:val="20"/>
        </w:rPr>
        <w:t xml:space="preserve"> (PLC) yang meliputi beberapa indikator yang telah dirumuskan. </w:t>
      </w:r>
      <w:r w:rsidR="000D3DBA">
        <w:rPr>
          <w:rFonts w:ascii="Century Gothic" w:hAnsi="Century Gothic" w:cs="Times New Roman"/>
          <w:color w:val="000000"/>
          <w:sz w:val="20"/>
          <w:szCs w:val="20"/>
        </w:rPr>
        <w:t xml:space="preserve">Masih </w:t>
      </w:r>
      <w:r w:rsidR="005419D6">
        <w:rPr>
          <w:rFonts w:ascii="Century Gothic" w:hAnsi="Century Gothic" w:cs="Times New Roman"/>
          <w:color w:val="000000"/>
          <w:sz w:val="20"/>
          <w:szCs w:val="20"/>
        </w:rPr>
        <w:t xml:space="preserve">banyak implementasi pada PLC yang tidak berjalan dengan baik oleh guru pada sekolah dasar di Kabupaten Sumedang. Padahal sudah semestinya program ini dapat berlangsung agar dapat melaksanakan program lanjutan sebagaimana yang dijelaskan pada dasar pemikiran adanya penelitian ini. Kelompok belajar guru yang dimaksud pada awal pembahasan terdiri dari </w:t>
      </w:r>
      <w:r w:rsidR="005419D6" w:rsidRPr="00352CB3">
        <w:rPr>
          <w:rFonts w:ascii="Century Gothic" w:hAnsi="Century Gothic" w:cs="Times New Roman"/>
          <w:color w:val="000000"/>
          <w:sz w:val="20"/>
          <w:szCs w:val="20"/>
        </w:rPr>
        <w:t>Musyawarah Guru Mata Pelajaran (MGMP) atau Kelompok Kerja Guru (KKG)</w:t>
      </w:r>
      <w:r w:rsidR="005419D6">
        <w:rPr>
          <w:rFonts w:ascii="Century Gothic" w:hAnsi="Century Gothic" w:cs="Times New Roman"/>
          <w:color w:val="000000"/>
          <w:sz w:val="20"/>
          <w:szCs w:val="20"/>
        </w:rPr>
        <w:t xml:space="preserve"> seharusnya dioptimalkan sebaik mungkin. Mengingat kedua program tersebut merupakan bagian implementasi dari PLC yang dilaksanakan di Indonesia. Seharusnya guru menyadari bahwa </w:t>
      </w:r>
      <w:r w:rsidR="005419D6">
        <w:rPr>
          <w:rFonts w:ascii="Century Gothic" w:hAnsi="Century Gothic" w:cs="Times New Roman"/>
          <w:i/>
          <w:color w:val="000000"/>
          <w:sz w:val="20"/>
          <w:szCs w:val="20"/>
        </w:rPr>
        <w:t xml:space="preserve">Learning community </w:t>
      </w:r>
      <w:r w:rsidR="005419D6">
        <w:rPr>
          <w:rFonts w:ascii="Century Gothic" w:hAnsi="Century Gothic" w:cs="Times New Roman"/>
          <w:color w:val="000000"/>
          <w:sz w:val="20"/>
          <w:szCs w:val="20"/>
        </w:rPr>
        <w:t>atau yang dikenal sebagai kelompok/komunitas belajar yang dibentuk akan berdampak positif pada peningkatan profesionalisme guru</w:t>
      </w:r>
      <w:r w:rsidR="00112177">
        <w:rPr>
          <w:rFonts w:ascii="Century Gothic" w:hAnsi="Century Gothic" w:cs="Times New Roman"/>
          <w:color w:val="000000"/>
          <w:sz w:val="20"/>
          <w:szCs w:val="20"/>
        </w:rPr>
        <w:t xml:space="preserve"> </w:t>
      </w:r>
      <w:r w:rsidR="005419D6">
        <w:rPr>
          <w:rFonts w:ascii="Century Gothic" w:hAnsi="Century Gothic" w:cs="Times New Roman"/>
          <w:color w:val="000000"/>
          <w:sz w:val="20"/>
          <w:szCs w:val="20"/>
        </w:rPr>
        <w:t xml:space="preserve">. </w:t>
      </w:r>
    </w:p>
    <w:p w:rsidR="00EE11A6" w:rsidRDefault="00F53FEB" w:rsidP="00F53FEB">
      <w:pPr>
        <w:spacing w:after="0" w:line="360" w:lineRule="auto"/>
        <w:ind w:firstLine="567"/>
        <w:jc w:val="both"/>
        <w:rPr>
          <w:rFonts w:ascii="Century Gothic" w:hAnsi="Century Gothic" w:cs="Times New Roman"/>
          <w:color w:val="000000"/>
          <w:sz w:val="20"/>
          <w:szCs w:val="20"/>
        </w:rPr>
      </w:pPr>
      <w:r>
        <w:rPr>
          <w:rFonts w:ascii="Century Gothic" w:hAnsi="Century Gothic" w:cs="Times New Roman"/>
          <w:color w:val="000000"/>
          <w:sz w:val="20"/>
          <w:szCs w:val="20"/>
        </w:rPr>
        <w:lastRenderedPageBreak/>
        <w:t xml:space="preserve">Komunitas </w:t>
      </w:r>
      <w:r w:rsidR="005419D6">
        <w:rPr>
          <w:rFonts w:ascii="Century Gothic" w:hAnsi="Century Gothic" w:cs="Times New Roman"/>
          <w:color w:val="000000"/>
          <w:sz w:val="20"/>
          <w:szCs w:val="20"/>
        </w:rPr>
        <w:t>belajar merupakan proses pertukaran ide atau gagasan yang diyakini bersama-sama untuk sepakat pada satu tujuan yakni</w:t>
      </w:r>
      <w:r w:rsidR="0009005C">
        <w:rPr>
          <w:rFonts w:ascii="Century Gothic" w:hAnsi="Century Gothic" w:cs="Times New Roman"/>
          <w:color w:val="000000"/>
          <w:sz w:val="20"/>
          <w:szCs w:val="20"/>
        </w:rPr>
        <w:t xml:space="preserve"> saling belajar satu sama lain</w:t>
      </w:r>
      <w:r>
        <w:rPr>
          <w:rFonts w:ascii="Century Gothic" w:hAnsi="Century Gothic" w:cs="Times New Roman"/>
          <w:color w:val="000000"/>
          <w:sz w:val="20"/>
          <w:szCs w:val="20"/>
        </w:rPr>
        <w:t xml:space="preserve"> </w:t>
      </w:r>
      <w:r>
        <w:rPr>
          <w:rFonts w:ascii="Century Gothic" w:hAnsi="Century Gothic" w:cs="Times New Roman"/>
          <w:color w:val="000000"/>
          <w:sz w:val="20"/>
          <w:szCs w:val="20"/>
        </w:rPr>
        <w:fldChar w:fldCharType="begin" w:fldLock="1"/>
      </w:r>
      <w:r>
        <w:rPr>
          <w:rFonts w:ascii="Century Gothic" w:hAnsi="Century Gothic" w:cs="Times New Roman"/>
          <w:color w:val="000000"/>
          <w:sz w:val="20"/>
          <w:szCs w:val="20"/>
        </w:rPr>
        <w:instrText>ADDIN CSL_CITATION {"citationItems":[{"id":"ITEM-1","itemData":{"DOI":"10.17533/udea.ikala.v19n3a06","ISSN":"01233432","abstract":"Colombia has a long tradition of offering professional development through courses, seminars, and postgraduate programs. However, Professional Learning Communities are also thought of as an option to provide professional development. This article presents a general background on professional learning communities and discusses why and how they can be implemented in Colombia. A model on how to structure one-in this case, focused specifically on research-and some directions for future practices and further research are highlighted.","author":[{"dropping-particle":"","family":"Bonces","given":"Mónica Rodríguez","non-dropping-particle":"","parse-names":false,"suffix":""}],"container-title":"Ikala","id":"ITEM-1","issue":"3","issued":{"date-parts":[["2014"]]},"page":"307-319","title":"Organizing a professional learning community - a strategy to enhance professional development","type":"article-journal","volume":"19"},"uris":["http://www.mendeley.com/documents/?uuid=f07542f8-2007-4838-bb11-6e32f1be2ecb"]}],"mendeley":{"formattedCitation":"(Bonces, 2014)","plainTextFormattedCitation":"(Bonces, 2014)","previouslyFormattedCitation":"(Bonces, 2014)"},"properties":{"noteIndex":0},"schema":"https://github.com/citation-style-language/schema/raw/master/csl-citation.json"}</w:instrText>
      </w:r>
      <w:r>
        <w:rPr>
          <w:rFonts w:ascii="Century Gothic" w:hAnsi="Century Gothic" w:cs="Times New Roman"/>
          <w:color w:val="000000"/>
          <w:sz w:val="20"/>
          <w:szCs w:val="20"/>
        </w:rPr>
        <w:fldChar w:fldCharType="separate"/>
      </w:r>
      <w:r w:rsidRPr="00F53FEB">
        <w:rPr>
          <w:rFonts w:ascii="Century Gothic" w:hAnsi="Century Gothic" w:cs="Times New Roman"/>
          <w:noProof/>
          <w:color w:val="000000"/>
          <w:sz w:val="20"/>
          <w:szCs w:val="20"/>
        </w:rPr>
        <w:t>(Bonces, 2014)</w:t>
      </w:r>
      <w:r>
        <w:rPr>
          <w:rFonts w:ascii="Century Gothic" w:hAnsi="Century Gothic" w:cs="Times New Roman"/>
          <w:color w:val="000000"/>
          <w:sz w:val="20"/>
          <w:szCs w:val="20"/>
        </w:rPr>
        <w:fldChar w:fldCharType="end"/>
      </w:r>
      <w:r w:rsidR="0009005C">
        <w:rPr>
          <w:rFonts w:ascii="Century Gothic" w:hAnsi="Century Gothic" w:cs="Times New Roman"/>
          <w:color w:val="000000"/>
          <w:sz w:val="20"/>
          <w:szCs w:val="20"/>
        </w:rPr>
        <w:t>. Sehingga berdasarkan yang telah diungkapkan tersebut guru akan lebih berkembang apabila saling bertukar informasi mengenai hal-hal yang telah diperoleh pada saat praktik pendidikan, karena pada kenyataannya hasil dari praktik di lapangan adalah kunci utama dari sebuah keberhasilan mencari solusi mengenai permasalahan pendidikan khususnya di sekolah</w:t>
      </w:r>
      <w:r>
        <w:rPr>
          <w:rFonts w:ascii="Century Gothic" w:hAnsi="Century Gothic" w:cs="Times New Roman"/>
          <w:color w:val="000000"/>
          <w:sz w:val="20"/>
          <w:szCs w:val="20"/>
        </w:rPr>
        <w:t xml:space="preserve"> </w:t>
      </w:r>
      <w:r>
        <w:rPr>
          <w:rFonts w:ascii="Century Gothic" w:hAnsi="Century Gothic" w:cs="Times New Roman"/>
          <w:color w:val="000000"/>
          <w:sz w:val="20"/>
          <w:szCs w:val="20"/>
        </w:rPr>
        <w:fldChar w:fldCharType="begin" w:fldLock="1"/>
      </w:r>
      <w:r>
        <w:rPr>
          <w:rFonts w:ascii="Century Gothic" w:hAnsi="Century Gothic" w:cs="Times New Roman"/>
          <w:color w:val="000000"/>
          <w:sz w:val="20"/>
          <w:szCs w:val="20"/>
        </w:rPr>
        <w:instrText>ADDIN CSL_CITATION {"citationItems":[{"id":"ITEM-1","itemData":{"DOI":"10.5897/err2015.2343","abstract":"The objectives of this research are: (1) To study the current situation and need for developing professional learning community in primary schools; (2) To develop the model for developing professional learning community, and (3) To study the findings of development for professional learning community based on developed model related to knowledge, comprehension, and competency in developing professional learning community, teaching behavior and students' quality. The research area was purposively selected three primary schools. Participatory Action Research was administered in 6 phases; there were 7458 participants. The instrument used for data collection in this study was questionnaire. The statistics used were frequency, percentage, mean, and standard deviation. The findings are as follows: (1) The current situation in developing professional learning community showed that the administrators' overall opinion in all 5 aspects is in \"High\" level; (2) The model for developing professional learning community consisted of 4 major factors: (a) Preparation for learning organization; (b) Development of shared norm and value; (c) Learning from common work practice, and (d) the expected outcome. (3) The evaluative finding of teachers' knowledge, comprehension, and competency in developing professional learning community was in \"high\" level.","author":[{"dropping-particle":"","family":"Samoot","given":"Sompong","non-dropping-particle":"","parse-names":false,"suffix":""},{"dropping-particle":"","family":"Prawit","given":"Erawan","non-dropping-particle":"","parse-names":false,"suffix":""},{"dropping-particle":"","family":"Sudharm","given":"Dharm tad sa na non","non-dropping-particle":"","parse-names":false,"suffix":""}],"container-title":"Educational Research and Reviews","id":"ITEM-1","issue":"21","issued":{"date-parts":[["2015"]]},"page":"2789-2796","title":"The development of professional learning community in primary schools","type":"article-journal","volume":"10"},"uris":["http://www.mendeley.com/documents/?uuid=cb258a21-aef6-449b-8369-d08b45eb9a69"]}],"mendeley":{"formattedCitation":"(Samoot et al., 2015)","plainTextFormattedCitation":"(Samoot et al., 2015)","previouslyFormattedCitation":"(Samoot et al., 2015)"},"properties":{"noteIndex":0},"schema":"https://github.com/citation-style-language/schema/raw/master/csl-citation.json"}</w:instrText>
      </w:r>
      <w:r>
        <w:rPr>
          <w:rFonts w:ascii="Century Gothic" w:hAnsi="Century Gothic" w:cs="Times New Roman"/>
          <w:color w:val="000000"/>
          <w:sz w:val="20"/>
          <w:szCs w:val="20"/>
        </w:rPr>
        <w:fldChar w:fldCharType="separate"/>
      </w:r>
      <w:r w:rsidRPr="00F53FEB">
        <w:rPr>
          <w:rFonts w:ascii="Century Gothic" w:hAnsi="Century Gothic" w:cs="Times New Roman"/>
          <w:noProof/>
          <w:color w:val="000000"/>
          <w:sz w:val="20"/>
          <w:szCs w:val="20"/>
        </w:rPr>
        <w:t>(Samoot et al., 2015)</w:t>
      </w:r>
      <w:r>
        <w:rPr>
          <w:rFonts w:ascii="Century Gothic" w:hAnsi="Century Gothic" w:cs="Times New Roman"/>
          <w:color w:val="000000"/>
          <w:sz w:val="20"/>
          <w:szCs w:val="20"/>
        </w:rPr>
        <w:fldChar w:fldCharType="end"/>
      </w:r>
      <w:r w:rsidR="0009005C">
        <w:rPr>
          <w:rFonts w:ascii="Century Gothic" w:hAnsi="Century Gothic" w:cs="Times New Roman"/>
          <w:color w:val="000000"/>
          <w:sz w:val="20"/>
          <w:szCs w:val="20"/>
        </w:rPr>
        <w:t>.</w:t>
      </w:r>
      <w:r>
        <w:rPr>
          <w:rFonts w:ascii="Century Gothic" w:hAnsi="Century Gothic" w:cs="Times New Roman"/>
          <w:color w:val="000000"/>
          <w:sz w:val="20"/>
          <w:szCs w:val="20"/>
        </w:rPr>
        <w:t xml:space="preserve"> Persiapan </w:t>
      </w:r>
      <w:r w:rsidR="0009005C">
        <w:rPr>
          <w:rFonts w:ascii="Century Gothic" w:hAnsi="Century Gothic" w:cs="Times New Roman"/>
          <w:color w:val="000000"/>
          <w:sz w:val="20"/>
          <w:szCs w:val="20"/>
        </w:rPr>
        <w:t>sumber daya manusia yang merupakan produk lembaga pendidikan yang memiliki kompetensi yaitu de</w:t>
      </w:r>
      <w:r w:rsidR="00AC03FF">
        <w:rPr>
          <w:rFonts w:ascii="Century Gothic" w:hAnsi="Century Gothic" w:cs="Times New Roman"/>
          <w:color w:val="000000"/>
          <w:sz w:val="20"/>
          <w:szCs w:val="20"/>
        </w:rPr>
        <w:t>ngan melalui komunitas belajar. Berkaitan dengan hal tersebut, maka sebetulnya adanya implementasi PLC yang baik sudah menjadi keharusan bagi tiap sekolah</w:t>
      </w:r>
      <w:r>
        <w:rPr>
          <w:rFonts w:ascii="Century Gothic" w:hAnsi="Century Gothic" w:cs="Times New Roman"/>
          <w:color w:val="000000"/>
          <w:sz w:val="20"/>
          <w:szCs w:val="20"/>
        </w:rPr>
        <w:t xml:space="preserve"> </w:t>
      </w:r>
      <w:r>
        <w:rPr>
          <w:rFonts w:ascii="Century Gothic" w:hAnsi="Century Gothic" w:cs="Times New Roman"/>
          <w:color w:val="000000"/>
          <w:sz w:val="20"/>
          <w:szCs w:val="20"/>
        </w:rPr>
        <w:fldChar w:fldCharType="begin" w:fldLock="1"/>
      </w:r>
      <w:r w:rsidR="0065029E">
        <w:rPr>
          <w:rFonts w:ascii="Century Gothic" w:hAnsi="Century Gothic" w:cs="Times New Roman"/>
          <w:color w:val="000000"/>
          <w:sz w:val="20"/>
          <w:szCs w:val="20"/>
        </w:rPr>
        <w:instrText>ADDIN CSL_CITATION {"citationItems":[{"id":"ITEM-1","itemData":{"DOI":"10.1080/13540602.2014.928122","ISSN":"13540602","abstract":"This longitudinal study aimed to examine the role of a professional learning community (PLC) in changing teachers’ beliefs and practices. Teachers of a Chinese department in a Hong Kong secondary school were interviewed and observed. The findings indicate that the features of a PLC-facilitating teacher change are development of a coherent structure, a collaborative culture, and effective learning activities. These help teachers to overcome initial difficulties and induce their motivation for transformation. Teacher change in five dimen- sions (curriculum, teaching, learning, roles of teachers, and learning to teach) and three patterns (change in practice but not in belief, change in belief but not in practice, change in practice and belief) were detected. It is argued that cultivating an effective PLC is significant to teacher development.","author":[{"dropping-particle":"","family":"Tam","given":"Angela Choi Fung","non-dropping-particle":"","parse-names":false,"suffix":""}],"container-title":"Teachers and Teaching: Theory and Practice","id":"ITEM-1","issue":"1","issued":{"date-parts":[["2015"]]},"page":"22-43","title":"The role of a professional learning community in teacher change: A perspective from beliefs and practices","type":"article-journal","volume":"21"},"uris":["http://www.mendeley.com/documents/?uuid=66c29c18-4f9b-4bac-bb7d-7ae4ecf1f721"]}],"mendeley":{"formattedCitation":"(Tam, 2015)","plainTextFormattedCitation":"(Tam, 2015)","previouslyFormattedCitation":"(Tam, 2015)"},"properties":{"noteIndex":0},"schema":"https://github.com/citation-style-language/schema/raw/master/csl-citation.json"}</w:instrText>
      </w:r>
      <w:r>
        <w:rPr>
          <w:rFonts w:ascii="Century Gothic" w:hAnsi="Century Gothic" w:cs="Times New Roman"/>
          <w:color w:val="000000"/>
          <w:sz w:val="20"/>
          <w:szCs w:val="20"/>
        </w:rPr>
        <w:fldChar w:fldCharType="separate"/>
      </w:r>
      <w:r w:rsidRPr="00F53FEB">
        <w:rPr>
          <w:rFonts w:ascii="Century Gothic" w:hAnsi="Century Gothic" w:cs="Times New Roman"/>
          <w:noProof/>
          <w:color w:val="000000"/>
          <w:sz w:val="20"/>
          <w:szCs w:val="20"/>
        </w:rPr>
        <w:t>(Tam, 2015)</w:t>
      </w:r>
      <w:r>
        <w:rPr>
          <w:rFonts w:ascii="Century Gothic" w:hAnsi="Century Gothic" w:cs="Times New Roman"/>
          <w:color w:val="000000"/>
          <w:sz w:val="20"/>
          <w:szCs w:val="20"/>
        </w:rPr>
        <w:fldChar w:fldCharType="end"/>
      </w:r>
      <w:r w:rsidR="00AC03FF">
        <w:rPr>
          <w:rFonts w:ascii="Century Gothic" w:hAnsi="Century Gothic" w:cs="Times New Roman"/>
          <w:color w:val="000000"/>
          <w:sz w:val="20"/>
          <w:szCs w:val="20"/>
        </w:rPr>
        <w:t xml:space="preserve">. </w:t>
      </w:r>
    </w:p>
    <w:p w:rsidR="00EE11A6" w:rsidRDefault="004B4805" w:rsidP="00EE11A6">
      <w:pPr>
        <w:pStyle w:val="ListParagraph"/>
        <w:numPr>
          <w:ilvl w:val="0"/>
          <w:numId w:val="5"/>
        </w:numPr>
        <w:spacing w:after="0" w:line="360" w:lineRule="auto"/>
        <w:ind w:left="360"/>
        <w:jc w:val="both"/>
        <w:rPr>
          <w:rFonts w:ascii="Century Gothic" w:hAnsi="Century Gothic" w:cs="Times New Roman"/>
          <w:color w:val="000000"/>
          <w:sz w:val="20"/>
          <w:szCs w:val="20"/>
        </w:rPr>
      </w:pPr>
      <w:r w:rsidRPr="00EE11A6">
        <w:rPr>
          <w:rFonts w:ascii="Century Gothic" w:hAnsi="Century Gothic" w:cs="Times New Roman"/>
          <w:color w:val="000000"/>
          <w:sz w:val="20"/>
          <w:szCs w:val="20"/>
        </w:rPr>
        <w:t xml:space="preserve">Program-program </w:t>
      </w:r>
      <w:r w:rsidRPr="00EE11A6">
        <w:rPr>
          <w:rFonts w:ascii="Century Gothic" w:hAnsi="Century Gothic" w:cs="Times New Roman"/>
          <w:i/>
          <w:color w:val="000000"/>
          <w:sz w:val="20"/>
          <w:szCs w:val="20"/>
        </w:rPr>
        <w:t>Professional Learning Community</w:t>
      </w:r>
      <w:r w:rsidRPr="00EE11A6">
        <w:rPr>
          <w:rFonts w:ascii="Century Gothic" w:hAnsi="Century Gothic" w:cs="Times New Roman"/>
          <w:color w:val="000000"/>
          <w:sz w:val="20"/>
          <w:szCs w:val="20"/>
        </w:rPr>
        <w:t xml:space="preserve"> (PLC) meliputi </w:t>
      </w:r>
      <w:r w:rsidRPr="00EE11A6">
        <w:rPr>
          <w:rFonts w:ascii="Century Gothic" w:hAnsi="Century Gothic" w:cs="Times New Roman"/>
          <w:sz w:val="20"/>
          <w:szCs w:val="20"/>
          <w:lang w:val="af-ZA"/>
        </w:rPr>
        <w:t xml:space="preserve">definisi, tujuan, sasaran, </w:t>
      </w:r>
      <w:r w:rsidRPr="00EE11A6">
        <w:rPr>
          <w:rFonts w:ascii="Century Gothic" w:hAnsi="Century Gothic" w:cs="Times New Roman"/>
          <w:color w:val="000000"/>
          <w:sz w:val="20"/>
          <w:szCs w:val="20"/>
        </w:rPr>
        <w:t>jenis, manfaat, mekanisme dan persyaratan/standar PLC bagi guru pada sekolah dasar di Kabupaten Sumedang</w:t>
      </w:r>
    </w:p>
    <w:p w:rsidR="00EE11A6" w:rsidRDefault="00760083" w:rsidP="00CD6BB2">
      <w:pPr>
        <w:spacing w:after="0" w:line="360" w:lineRule="auto"/>
        <w:ind w:firstLine="567"/>
        <w:jc w:val="both"/>
        <w:rPr>
          <w:rFonts w:ascii="Century Gothic" w:hAnsi="Century Gothic" w:cs="Times New Roman"/>
          <w:sz w:val="20"/>
          <w:szCs w:val="20"/>
        </w:rPr>
      </w:pPr>
      <w:r w:rsidRPr="00EE11A6">
        <w:rPr>
          <w:rFonts w:ascii="Century Gothic" w:hAnsi="Century Gothic" w:cs="Times New Roman"/>
          <w:color w:val="000000"/>
          <w:sz w:val="20"/>
          <w:szCs w:val="20"/>
        </w:rPr>
        <w:t xml:space="preserve">Fokus penelitian ini berangkat dari </w:t>
      </w:r>
      <w:r w:rsidR="004B4805" w:rsidRPr="00EE11A6">
        <w:rPr>
          <w:rFonts w:ascii="Century Gothic" w:hAnsi="Century Gothic" w:cs="Times New Roman"/>
          <w:color w:val="000000"/>
          <w:sz w:val="20"/>
          <w:szCs w:val="20"/>
        </w:rPr>
        <w:t xml:space="preserve">PLC </w:t>
      </w:r>
      <w:r w:rsidRPr="00EE11A6">
        <w:rPr>
          <w:rFonts w:ascii="Century Gothic" w:hAnsi="Century Gothic" w:cs="Times New Roman"/>
          <w:color w:val="000000"/>
          <w:sz w:val="20"/>
          <w:szCs w:val="20"/>
        </w:rPr>
        <w:t xml:space="preserve">yang </w:t>
      </w:r>
      <w:r w:rsidR="004B4805" w:rsidRPr="00EE11A6">
        <w:rPr>
          <w:rFonts w:ascii="Century Gothic" w:hAnsi="Century Gothic" w:cs="Times New Roman"/>
          <w:color w:val="000000"/>
          <w:sz w:val="20"/>
          <w:szCs w:val="20"/>
        </w:rPr>
        <w:t>ter</w:t>
      </w:r>
      <w:r w:rsidR="00DD24CC" w:rsidRPr="00EE11A6">
        <w:rPr>
          <w:rFonts w:ascii="Century Gothic" w:hAnsi="Century Gothic" w:cs="Times New Roman"/>
          <w:color w:val="000000"/>
          <w:sz w:val="20"/>
          <w:szCs w:val="20"/>
        </w:rPr>
        <w:t>diri atas berbagai program yang harus dilaksanakan. Dari program dasar hingga</w:t>
      </w:r>
      <w:r w:rsidR="004B4805" w:rsidRPr="00EE11A6">
        <w:rPr>
          <w:rFonts w:ascii="Century Gothic" w:hAnsi="Century Gothic" w:cs="Times New Roman"/>
          <w:color w:val="000000"/>
          <w:sz w:val="20"/>
          <w:szCs w:val="20"/>
        </w:rPr>
        <w:t xml:space="preserve"> program inti yang akan turut mendukung efektifitas pelaksanaan PLC pada sekolah-sekolah dasar di Kabupaten Sumedang. Berikut merupakan hasil penelitian program-program PLC pada sekolah dasar di K</w:t>
      </w:r>
      <w:r w:rsidR="00193A5F" w:rsidRPr="00EE11A6">
        <w:rPr>
          <w:rFonts w:ascii="Century Gothic" w:hAnsi="Century Gothic" w:cs="Times New Roman"/>
          <w:color w:val="000000"/>
          <w:sz w:val="20"/>
          <w:szCs w:val="20"/>
        </w:rPr>
        <w:t xml:space="preserve">abupaten Sumedang: </w:t>
      </w:r>
      <w:r w:rsidR="00193A5F" w:rsidRPr="00EE11A6">
        <w:rPr>
          <w:rFonts w:ascii="Century Gothic" w:hAnsi="Century Gothic" w:cs="Times New Roman"/>
          <w:sz w:val="20"/>
          <w:szCs w:val="20"/>
        </w:rPr>
        <w:lastRenderedPageBreak/>
        <w:t xml:space="preserve">Telah </w:t>
      </w:r>
      <w:r w:rsidR="004B4805" w:rsidRPr="00EE11A6">
        <w:rPr>
          <w:rFonts w:ascii="Century Gothic" w:hAnsi="Century Gothic" w:cs="Times New Roman"/>
          <w:sz w:val="20"/>
          <w:szCs w:val="20"/>
        </w:rPr>
        <w:t>diketahui bahwa sebanyak 62% telah memahami definisi dari program PLC, selajutnya secara tujuan sebesar 63%, sasaran 58%, jenis 37%, manfaat 60%, mekanisme 35% dan persyaratan standar sebesar 37%. Dari hasil tersebut, terlihat bahwa pemahaman guru akan t</w:t>
      </w:r>
      <w:r w:rsidR="00D1602F" w:rsidRPr="00EE11A6">
        <w:rPr>
          <w:rFonts w:ascii="Century Gothic" w:hAnsi="Century Gothic" w:cs="Times New Roman"/>
          <w:sz w:val="20"/>
          <w:szCs w:val="20"/>
        </w:rPr>
        <w:t>ujuan program PLC memperoleh per</w:t>
      </w:r>
      <w:r w:rsidR="004B4805" w:rsidRPr="00EE11A6">
        <w:rPr>
          <w:rFonts w:ascii="Century Gothic" w:hAnsi="Century Gothic" w:cs="Times New Roman"/>
          <w:sz w:val="20"/>
          <w:szCs w:val="20"/>
        </w:rPr>
        <w:t xml:space="preserve">sentase tertinggi diantara program PLC lainnya. </w:t>
      </w:r>
      <w:r w:rsidR="007F5230" w:rsidRPr="00EE11A6">
        <w:rPr>
          <w:rFonts w:ascii="Century Gothic" w:hAnsi="Century Gothic" w:cs="Times New Roman"/>
          <w:sz w:val="20"/>
          <w:szCs w:val="20"/>
        </w:rPr>
        <w:t>Namun berbanding terbalik,</w:t>
      </w:r>
      <w:r w:rsidR="004B4805" w:rsidRPr="00EE11A6">
        <w:rPr>
          <w:rFonts w:ascii="Century Gothic" w:hAnsi="Century Gothic" w:cs="Times New Roman"/>
          <w:sz w:val="20"/>
          <w:szCs w:val="20"/>
        </w:rPr>
        <w:t xml:space="preserve"> untuk pemahaman guru </w:t>
      </w:r>
      <w:r w:rsidR="007F5230" w:rsidRPr="00EE11A6">
        <w:rPr>
          <w:rFonts w:ascii="Century Gothic" w:hAnsi="Century Gothic" w:cs="Times New Roman"/>
          <w:sz w:val="20"/>
          <w:szCs w:val="20"/>
        </w:rPr>
        <w:t>terkait dengan</w:t>
      </w:r>
      <w:r w:rsidR="00D1602F" w:rsidRPr="00EE11A6">
        <w:rPr>
          <w:rFonts w:ascii="Century Gothic" w:hAnsi="Century Gothic" w:cs="Times New Roman"/>
          <w:sz w:val="20"/>
          <w:szCs w:val="20"/>
        </w:rPr>
        <w:t xml:space="preserve"> mekanisme PLC memperoleh per</w:t>
      </w:r>
      <w:r w:rsidR="004B4805" w:rsidRPr="00EE11A6">
        <w:rPr>
          <w:rFonts w:ascii="Century Gothic" w:hAnsi="Century Gothic" w:cs="Times New Roman"/>
          <w:sz w:val="20"/>
          <w:szCs w:val="20"/>
        </w:rPr>
        <w:t>sentase terendah dibandingkan dengan</w:t>
      </w:r>
      <w:r w:rsidR="007F5230" w:rsidRPr="00EE11A6">
        <w:rPr>
          <w:rFonts w:ascii="Century Gothic" w:hAnsi="Century Gothic" w:cs="Times New Roman"/>
          <w:sz w:val="20"/>
          <w:szCs w:val="20"/>
        </w:rPr>
        <w:t xml:space="preserve"> indik</w:t>
      </w:r>
      <w:r w:rsidR="00193A5F" w:rsidRPr="00EE11A6">
        <w:rPr>
          <w:rFonts w:ascii="Century Gothic" w:hAnsi="Century Gothic" w:cs="Times New Roman"/>
          <w:sz w:val="20"/>
          <w:szCs w:val="20"/>
        </w:rPr>
        <w:t>ator program PLC lainnya. Selain itu</w:t>
      </w:r>
      <w:r w:rsidR="007F5230" w:rsidRPr="00EE11A6">
        <w:rPr>
          <w:rFonts w:ascii="Century Gothic" w:hAnsi="Century Gothic" w:cs="Times New Roman"/>
          <w:sz w:val="20"/>
          <w:szCs w:val="20"/>
        </w:rPr>
        <w:t xml:space="preserve"> juga</w:t>
      </w:r>
      <w:r w:rsidR="00D1602F" w:rsidRPr="00EE11A6">
        <w:rPr>
          <w:rFonts w:ascii="Century Gothic" w:hAnsi="Century Gothic" w:cs="Times New Roman"/>
          <w:sz w:val="20"/>
          <w:szCs w:val="20"/>
        </w:rPr>
        <w:t>, berdasarkan hasil</w:t>
      </w:r>
      <w:r w:rsidR="00193A5F" w:rsidRPr="00EE11A6">
        <w:rPr>
          <w:rFonts w:ascii="Century Gothic" w:hAnsi="Century Gothic" w:cs="Times New Roman"/>
          <w:sz w:val="20"/>
          <w:szCs w:val="20"/>
        </w:rPr>
        <w:t xml:space="preserve"> penelitian yang diperoleh </w:t>
      </w:r>
      <w:r w:rsidR="00084728" w:rsidRPr="00EE11A6">
        <w:rPr>
          <w:rFonts w:ascii="Century Gothic" w:hAnsi="Century Gothic" w:cs="Times New Roman"/>
          <w:sz w:val="20"/>
          <w:szCs w:val="20"/>
        </w:rPr>
        <w:t xml:space="preserve">menunjukan </w:t>
      </w:r>
      <w:r w:rsidR="00193A5F" w:rsidRPr="00EE11A6">
        <w:rPr>
          <w:rFonts w:ascii="Century Gothic" w:hAnsi="Century Gothic" w:cs="Times New Roman"/>
          <w:sz w:val="20"/>
          <w:szCs w:val="20"/>
        </w:rPr>
        <w:t>bahwa</w:t>
      </w:r>
      <w:r w:rsidR="004B4805" w:rsidRPr="00EE11A6">
        <w:rPr>
          <w:rFonts w:ascii="Century Gothic" w:hAnsi="Century Gothic" w:cs="Times New Roman"/>
          <w:sz w:val="20"/>
          <w:szCs w:val="20"/>
        </w:rPr>
        <w:t xml:space="preserve"> tidak semua guru memahami setiap indikator program PLC. Untuk indikat</w:t>
      </w:r>
      <w:r w:rsidR="00084728" w:rsidRPr="00EE11A6">
        <w:rPr>
          <w:rFonts w:ascii="Century Gothic" w:hAnsi="Century Gothic" w:cs="Times New Roman"/>
          <w:sz w:val="20"/>
          <w:szCs w:val="20"/>
        </w:rPr>
        <w:t xml:space="preserve">or definisi dari 52 orang guru </w:t>
      </w:r>
      <w:r w:rsidR="004B4805" w:rsidRPr="00EE11A6">
        <w:rPr>
          <w:rFonts w:ascii="Century Gothic" w:hAnsi="Century Gothic" w:cs="Times New Roman"/>
          <w:sz w:val="20"/>
          <w:szCs w:val="20"/>
        </w:rPr>
        <w:t xml:space="preserve">hanya </w:t>
      </w:r>
      <w:r w:rsidR="00084728" w:rsidRPr="00EE11A6">
        <w:rPr>
          <w:rFonts w:ascii="Century Gothic" w:hAnsi="Century Gothic" w:cs="Times New Roman"/>
          <w:sz w:val="20"/>
          <w:szCs w:val="20"/>
        </w:rPr>
        <w:t xml:space="preserve">ada </w:t>
      </w:r>
      <w:r w:rsidR="004B4805" w:rsidRPr="00EE11A6">
        <w:rPr>
          <w:rFonts w:ascii="Century Gothic" w:hAnsi="Century Gothic" w:cs="Times New Roman"/>
          <w:sz w:val="20"/>
          <w:szCs w:val="20"/>
        </w:rPr>
        <w:t>32 orang guru yang memahaminya, sedangkan untuk indikator tujuan hanya 33 orang guru,</w:t>
      </w:r>
      <w:r w:rsidR="00152525" w:rsidRPr="00EE11A6">
        <w:rPr>
          <w:rFonts w:ascii="Century Gothic" w:hAnsi="Century Gothic" w:cs="Times New Roman"/>
          <w:sz w:val="20"/>
          <w:szCs w:val="20"/>
        </w:rPr>
        <w:t xml:space="preserve"> dan </w:t>
      </w:r>
      <w:r w:rsidR="004B4805" w:rsidRPr="00EE11A6">
        <w:rPr>
          <w:rFonts w:ascii="Century Gothic" w:hAnsi="Century Gothic" w:cs="Times New Roman"/>
          <w:sz w:val="20"/>
          <w:szCs w:val="20"/>
        </w:rPr>
        <w:t>untuk indikator sasaran sebanyak 30 guru, indikator jenis hanya</w:t>
      </w:r>
      <w:r w:rsidR="00152525" w:rsidRPr="00EE11A6">
        <w:rPr>
          <w:rFonts w:ascii="Century Gothic" w:hAnsi="Century Gothic" w:cs="Times New Roman"/>
          <w:sz w:val="20"/>
          <w:szCs w:val="20"/>
        </w:rPr>
        <w:t xml:space="preserve"> memperoleh</w:t>
      </w:r>
      <w:r w:rsidR="004B4805" w:rsidRPr="00EE11A6">
        <w:rPr>
          <w:rFonts w:ascii="Century Gothic" w:hAnsi="Century Gothic" w:cs="Times New Roman"/>
          <w:sz w:val="20"/>
          <w:szCs w:val="20"/>
        </w:rPr>
        <w:t xml:space="preserve"> 19 guru, indikator manfaat hanya 31 orang guru, indikator m</w:t>
      </w:r>
      <w:r w:rsidR="00152525" w:rsidRPr="00EE11A6">
        <w:rPr>
          <w:rFonts w:ascii="Century Gothic" w:hAnsi="Century Gothic" w:cs="Times New Roman"/>
          <w:sz w:val="20"/>
          <w:szCs w:val="20"/>
        </w:rPr>
        <w:t>ekanisme hanya 18 orang guru serta</w:t>
      </w:r>
      <w:r w:rsidR="004B4805" w:rsidRPr="00EE11A6">
        <w:rPr>
          <w:rFonts w:ascii="Century Gothic" w:hAnsi="Century Gothic" w:cs="Times New Roman"/>
          <w:sz w:val="20"/>
          <w:szCs w:val="20"/>
        </w:rPr>
        <w:t xml:space="preserve"> untuk indikator persyaratan hanya 19 orang guru.</w:t>
      </w:r>
      <w:r w:rsidR="00113ED4" w:rsidRPr="00EE11A6">
        <w:rPr>
          <w:rFonts w:ascii="Century Gothic" w:hAnsi="Century Gothic" w:cs="Times New Roman"/>
          <w:sz w:val="20"/>
          <w:szCs w:val="20"/>
        </w:rPr>
        <w:t xml:space="preserve"> </w:t>
      </w:r>
    </w:p>
    <w:p w:rsidR="00113ED4" w:rsidRPr="00EE11A6" w:rsidRDefault="00EE11A6" w:rsidP="00CD6BB2">
      <w:pPr>
        <w:spacing w:after="0" w:line="360" w:lineRule="auto"/>
        <w:ind w:firstLine="567"/>
        <w:jc w:val="both"/>
        <w:rPr>
          <w:rFonts w:ascii="Century Gothic" w:hAnsi="Century Gothic" w:cs="Times New Roman"/>
          <w:color w:val="000000"/>
          <w:sz w:val="20"/>
          <w:szCs w:val="20"/>
        </w:rPr>
      </w:pPr>
      <w:r w:rsidRPr="00EE11A6">
        <w:rPr>
          <w:rFonts w:ascii="Century Gothic" w:hAnsi="Century Gothic" w:cs="Times New Roman"/>
          <w:sz w:val="20"/>
          <w:szCs w:val="20"/>
        </w:rPr>
        <w:t>Program</w:t>
      </w:r>
      <w:r w:rsidR="00113ED4" w:rsidRPr="00EE11A6">
        <w:rPr>
          <w:rFonts w:ascii="Century Gothic" w:hAnsi="Century Gothic" w:cs="Times New Roman"/>
          <w:sz w:val="20"/>
          <w:szCs w:val="20"/>
        </w:rPr>
        <w:t xml:space="preserve">-program PLC yang dilaksanakan oleh guru pada sekolah </w:t>
      </w:r>
      <w:r w:rsidR="00197D0A">
        <w:rPr>
          <w:rFonts w:ascii="Century Gothic" w:hAnsi="Century Gothic" w:cs="Times New Roman"/>
          <w:sz w:val="20"/>
          <w:szCs w:val="20"/>
        </w:rPr>
        <w:t xml:space="preserve">dasar di Kabupaten Sumedang saling </w:t>
      </w:r>
      <w:r w:rsidR="00113ED4" w:rsidRPr="00EE11A6">
        <w:rPr>
          <w:rFonts w:ascii="Century Gothic" w:hAnsi="Century Gothic" w:cs="Times New Roman"/>
          <w:sz w:val="20"/>
          <w:szCs w:val="20"/>
        </w:rPr>
        <w:t>berkaitan satu sama lain, untuk itu perlu sinergitas yang diciptakan oleh guru dan kepala sekolah dalam mewujudkan program tersebut di sekolah</w:t>
      </w:r>
      <w:r w:rsidR="0065029E">
        <w:rPr>
          <w:rFonts w:ascii="Century Gothic" w:hAnsi="Century Gothic" w:cs="Times New Roman"/>
          <w:sz w:val="20"/>
          <w:szCs w:val="20"/>
        </w:rPr>
        <w:t xml:space="preserve"> </w:t>
      </w:r>
      <w:r w:rsidR="0065029E">
        <w:rPr>
          <w:rFonts w:ascii="Century Gothic" w:hAnsi="Century Gothic" w:cs="Times New Roman"/>
          <w:sz w:val="20"/>
          <w:szCs w:val="20"/>
        </w:rPr>
        <w:fldChar w:fldCharType="begin" w:fldLock="1"/>
      </w:r>
      <w:r w:rsidR="0065029E">
        <w:rPr>
          <w:rFonts w:ascii="Century Gothic" w:hAnsi="Century Gothic" w:cs="Times New Roman"/>
          <w:sz w:val="20"/>
          <w:szCs w:val="20"/>
        </w:rPr>
        <w:instrText>ADDIN CSL_CITATION {"citationItems":[{"id":"ITEM-1","itemData":{"DOI":"10.14507/epaa.v11n37.2003","ISSN":"1068-2341","abstract":"&lt;p&gt;This article explores how local school leaders construct the conditions for professional community in their schools. This paper argues that professional community is a special form of social capital that results, in part, from the design and implementation of facilitating structural networks by instructional leaders in schools. The structural aspects of a school community can be conceived as a system of practice, that is, a network of structures, tasks and traditions that create and facilitate complex webs of practice in organizations. Systems of practice are composed of networks of artifacts, such as policies, programs and procedures, which can be seen as powerful tools used by local leaders to influence local instructional practices. The system of practice framework suggests that leaders use artifacts to establish structures that facilitate the closure of professional networks among teachers, which in turns builds professional community. The leadership practices of an urban elementary school are used to illustrate how professional community has been developed through the selective design and implementation of artifacts in order to reshape the local system of practice.&lt;/p&gt;","author":[{"dropping-particle":"","family":"Halverson","given":"Richard R.","non-dropping-particle":"","parse-names":false,"suffix":""},{"dropping-particle":"","family":"Halverson","given":"Richard R.","non-dropping-particle":"","parse-names":false,"suffix":""}],"container-title":"education policy analysis archives","id":"ITEM-1","issue":"0","issued":{"date-parts":[["2003","10","10"]]},"page":"37","title":"Systems of Practice: How Leaders Use Artifacts to Create Professional Community in Schools","type":"article-journal","volume":"11"},"uris":["http://www.mendeley.com/documents/?uuid=3617adae-cae8-3030-b3e6-99fedafecc5a"]}],"mendeley":{"formattedCitation":"(Halverson &amp; Halverson, 2003)","plainTextFormattedCitation":"(Halverson &amp; Halverson, 2003)","previouslyFormattedCitation":"(Halverson &amp; Halverson, 2003)"},"properties":{"noteIndex":0},"schema":"https://github.com/citation-style-language/schema/raw/master/csl-citation.json"}</w:instrText>
      </w:r>
      <w:r w:rsidR="0065029E">
        <w:rPr>
          <w:rFonts w:ascii="Century Gothic" w:hAnsi="Century Gothic" w:cs="Times New Roman"/>
          <w:sz w:val="20"/>
          <w:szCs w:val="20"/>
        </w:rPr>
        <w:fldChar w:fldCharType="separate"/>
      </w:r>
      <w:r w:rsidR="0065029E" w:rsidRPr="0065029E">
        <w:rPr>
          <w:rFonts w:ascii="Century Gothic" w:hAnsi="Century Gothic" w:cs="Times New Roman"/>
          <w:noProof/>
          <w:sz w:val="20"/>
          <w:szCs w:val="20"/>
        </w:rPr>
        <w:t>(Halverson &amp; Halverson, 2003)</w:t>
      </w:r>
      <w:r w:rsidR="0065029E">
        <w:rPr>
          <w:rFonts w:ascii="Century Gothic" w:hAnsi="Century Gothic" w:cs="Times New Roman"/>
          <w:sz w:val="20"/>
          <w:szCs w:val="20"/>
        </w:rPr>
        <w:fldChar w:fldCharType="end"/>
      </w:r>
      <w:r w:rsidR="00113ED4" w:rsidRPr="00EE11A6">
        <w:rPr>
          <w:rFonts w:ascii="Century Gothic" w:hAnsi="Century Gothic" w:cs="Times New Roman"/>
          <w:sz w:val="20"/>
          <w:szCs w:val="20"/>
        </w:rPr>
        <w:t>.</w:t>
      </w:r>
      <w:r w:rsidR="00B56D54" w:rsidRPr="00EE11A6">
        <w:rPr>
          <w:rFonts w:ascii="Century Gothic" w:hAnsi="Century Gothic" w:cs="Times New Roman"/>
          <w:sz w:val="20"/>
          <w:szCs w:val="20"/>
        </w:rPr>
        <w:t xml:space="preserve"> Upaya yang dilakukan oleh sekolah sudah sangat tepat terkait dengan perbaikan guru yang dilaksanakan karena tidak hanya cukup </w:t>
      </w:r>
      <w:r w:rsidR="00B56D54" w:rsidRPr="00EE11A6">
        <w:rPr>
          <w:rFonts w:ascii="Century Gothic" w:hAnsi="Century Gothic" w:cs="Times New Roman"/>
          <w:sz w:val="20"/>
          <w:szCs w:val="20"/>
        </w:rPr>
        <w:lastRenderedPageBreak/>
        <w:t xml:space="preserve">melalui pelatihan atau seminar yang sering diikuti, program PLC di sekolah akan mengefektifkan dan mengefesiensikan berbagai aspek seperti dalam penyesuaian kebutuhan, nilai kepraktisan, </w:t>
      </w:r>
      <w:r w:rsidR="00406FBC" w:rsidRPr="00EE11A6">
        <w:rPr>
          <w:rFonts w:ascii="Century Gothic" w:hAnsi="Century Gothic" w:cs="Times New Roman"/>
          <w:sz w:val="20"/>
          <w:szCs w:val="20"/>
        </w:rPr>
        <w:t xml:space="preserve">fleksibilitas waktu, dan pengendalian ditingkat sekolah yang dilaksanakan oleh guru dan kepala sekolah. </w:t>
      </w:r>
      <w:r w:rsidR="00D1602F" w:rsidRPr="00EE11A6">
        <w:rPr>
          <w:rFonts w:ascii="Century Gothic" w:hAnsi="Century Gothic" w:cs="Times New Roman"/>
          <w:sz w:val="20"/>
          <w:szCs w:val="20"/>
        </w:rPr>
        <w:t>Terlebih lagi guru harus mampu mengidentifikasi hambatan-hambatan yang menjadi penghalang tingkat keprofesionalannya, sehingga melalui PLC identifikasi tersebut akan lebih sering digunakan dan guru akan lebih piawai dalam menyelesaikan setiap permasalahan yang datang pada saat proses pembelajaran (Allen, C.P., 2014).</w:t>
      </w:r>
    </w:p>
    <w:p w:rsidR="00197D0A" w:rsidRDefault="00197D0A" w:rsidP="008F0C3F">
      <w:pPr>
        <w:spacing w:after="0" w:line="360" w:lineRule="auto"/>
        <w:rPr>
          <w:rFonts w:ascii="Century Gothic" w:hAnsi="Century Gothic" w:cs="Times New Roman"/>
          <w:b/>
          <w:color w:val="000000"/>
          <w:sz w:val="20"/>
          <w:szCs w:val="20"/>
        </w:rPr>
      </w:pPr>
    </w:p>
    <w:p w:rsidR="008F0C3F" w:rsidRPr="00352CB3" w:rsidRDefault="00113ED4" w:rsidP="008F0C3F">
      <w:pPr>
        <w:spacing w:after="0" w:line="360" w:lineRule="auto"/>
        <w:rPr>
          <w:rFonts w:ascii="Century Gothic" w:hAnsi="Century Gothic" w:cs="Times New Roman"/>
          <w:b/>
          <w:color w:val="000000"/>
          <w:sz w:val="20"/>
          <w:szCs w:val="20"/>
        </w:rPr>
      </w:pPr>
      <w:r w:rsidRPr="00352CB3">
        <w:rPr>
          <w:rFonts w:ascii="Century Gothic" w:hAnsi="Century Gothic" w:cs="Times New Roman"/>
          <w:b/>
          <w:color w:val="000000"/>
          <w:sz w:val="20"/>
          <w:szCs w:val="20"/>
        </w:rPr>
        <w:t>Kesimpulan</w:t>
      </w:r>
    </w:p>
    <w:p w:rsidR="00DB4A87" w:rsidRDefault="008F0C3F" w:rsidP="0050357C">
      <w:pPr>
        <w:autoSpaceDE w:val="0"/>
        <w:autoSpaceDN w:val="0"/>
        <w:adjustRightInd w:val="0"/>
        <w:spacing w:after="0" w:line="360" w:lineRule="auto"/>
        <w:jc w:val="both"/>
        <w:rPr>
          <w:rFonts w:ascii="Century Gothic" w:hAnsi="Century Gothic" w:cs="Times New Roman"/>
          <w:sz w:val="20"/>
          <w:szCs w:val="20"/>
        </w:rPr>
      </w:pPr>
      <w:r w:rsidRPr="00352CB3">
        <w:rPr>
          <w:rFonts w:ascii="Century Gothic" w:hAnsi="Century Gothic" w:cs="Times New Roman"/>
          <w:sz w:val="20"/>
          <w:szCs w:val="20"/>
        </w:rPr>
        <w:t>Dari hasil penelitian yang telah terlaksana</w:t>
      </w:r>
      <w:r w:rsidR="00DB4A87" w:rsidRPr="00352CB3">
        <w:rPr>
          <w:rFonts w:ascii="Century Gothic" w:hAnsi="Century Gothic" w:cs="Times New Roman"/>
          <w:sz w:val="20"/>
          <w:szCs w:val="20"/>
        </w:rPr>
        <w:t xml:space="preserve">, program-program PLC </w:t>
      </w:r>
      <w:r w:rsidRPr="00352CB3">
        <w:rPr>
          <w:rFonts w:ascii="Century Gothic" w:hAnsi="Century Gothic" w:cs="Times New Roman"/>
          <w:sz w:val="20"/>
          <w:szCs w:val="20"/>
        </w:rPr>
        <w:t xml:space="preserve">yang diimplementasikan di sekolah memang telah banyak dirancang dan dibentuk </w:t>
      </w:r>
      <w:r w:rsidR="00AE316E" w:rsidRPr="00352CB3">
        <w:rPr>
          <w:rFonts w:ascii="Century Gothic" w:hAnsi="Century Gothic" w:cs="Times New Roman"/>
          <w:sz w:val="20"/>
          <w:szCs w:val="20"/>
        </w:rPr>
        <w:t xml:space="preserve">oleh kepala sekolah dan guru </w:t>
      </w:r>
      <w:r w:rsidR="00DB4A87" w:rsidRPr="00352CB3">
        <w:rPr>
          <w:rFonts w:ascii="Century Gothic" w:hAnsi="Century Gothic" w:cs="Times New Roman"/>
          <w:sz w:val="20"/>
          <w:szCs w:val="20"/>
        </w:rPr>
        <w:t xml:space="preserve">atas arahan </w:t>
      </w:r>
      <w:r w:rsidR="00AE316E" w:rsidRPr="00352CB3">
        <w:rPr>
          <w:rFonts w:ascii="Century Gothic" w:hAnsi="Century Gothic" w:cs="Times New Roman"/>
          <w:sz w:val="20"/>
          <w:szCs w:val="20"/>
        </w:rPr>
        <w:t xml:space="preserve">yang diberikan oleh </w:t>
      </w:r>
      <w:r w:rsidR="00DB4A87" w:rsidRPr="00352CB3">
        <w:rPr>
          <w:rFonts w:ascii="Century Gothic" w:hAnsi="Century Gothic" w:cs="Times New Roman"/>
          <w:sz w:val="20"/>
          <w:szCs w:val="20"/>
        </w:rPr>
        <w:t xml:space="preserve">pemerintah, akan tetapi </w:t>
      </w:r>
      <w:r w:rsidR="00497724" w:rsidRPr="00352CB3">
        <w:rPr>
          <w:rFonts w:ascii="Century Gothic" w:hAnsi="Century Gothic" w:cs="Times New Roman"/>
          <w:sz w:val="20"/>
          <w:szCs w:val="20"/>
        </w:rPr>
        <w:t xml:space="preserve">pada realitasnya setiap program yang telah dicanangkan tidak dapat terlaksana dengan baik di lapangan. </w:t>
      </w:r>
      <w:r w:rsidR="009B6855" w:rsidRPr="00352CB3">
        <w:rPr>
          <w:rFonts w:ascii="Century Gothic" w:hAnsi="Century Gothic" w:cs="Times New Roman"/>
          <w:sz w:val="20"/>
          <w:szCs w:val="20"/>
        </w:rPr>
        <w:t xml:space="preserve">Problematika </w:t>
      </w:r>
      <w:r w:rsidR="000C5C75" w:rsidRPr="00352CB3">
        <w:rPr>
          <w:rFonts w:ascii="Century Gothic" w:hAnsi="Century Gothic" w:cs="Times New Roman"/>
          <w:sz w:val="20"/>
          <w:szCs w:val="20"/>
        </w:rPr>
        <w:t xml:space="preserve">yang muncul terebut kembali lagi pada pemahaman guru berkaitan dengan tingkat kepentingan guru mengenai nilai-nilai </w:t>
      </w:r>
      <w:r w:rsidR="00DB4A87" w:rsidRPr="00352CB3">
        <w:rPr>
          <w:rFonts w:ascii="Century Gothic" w:hAnsi="Century Gothic" w:cs="Times New Roman"/>
          <w:sz w:val="20"/>
          <w:szCs w:val="20"/>
        </w:rPr>
        <w:t>dasar yang a</w:t>
      </w:r>
      <w:r w:rsidR="000C5C75" w:rsidRPr="00352CB3">
        <w:rPr>
          <w:rFonts w:ascii="Century Gothic" w:hAnsi="Century Gothic" w:cs="Times New Roman"/>
          <w:sz w:val="20"/>
          <w:szCs w:val="20"/>
        </w:rPr>
        <w:t>da pada program-program telah dipersiapkan. Dari hasil tersebut pula</w:t>
      </w:r>
      <w:r w:rsidR="00DB4A87" w:rsidRPr="00352CB3">
        <w:rPr>
          <w:rFonts w:ascii="Century Gothic" w:hAnsi="Century Gothic" w:cs="Times New Roman"/>
          <w:sz w:val="20"/>
          <w:szCs w:val="20"/>
        </w:rPr>
        <w:t>,</w:t>
      </w:r>
      <w:r w:rsidR="000C5C75" w:rsidRPr="00352CB3">
        <w:rPr>
          <w:rFonts w:ascii="Century Gothic" w:hAnsi="Century Gothic" w:cs="Times New Roman"/>
          <w:sz w:val="20"/>
          <w:szCs w:val="20"/>
        </w:rPr>
        <w:t xml:space="preserve"> telah</w:t>
      </w:r>
      <w:r w:rsidR="00DB4A87" w:rsidRPr="00352CB3">
        <w:rPr>
          <w:rFonts w:ascii="Century Gothic" w:hAnsi="Century Gothic" w:cs="Times New Roman"/>
          <w:sz w:val="20"/>
          <w:szCs w:val="20"/>
        </w:rPr>
        <w:t xml:space="preserve"> jelas terlihat sebagus apapun program yang dicanangkan, </w:t>
      </w:r>
      <w:r w:rsidR="000C5C75" w:rsidRPr="00352CB3">
        <w:rPr>
          <w:rFonts w:ascii="Century Gothic" w:hAnsi="Century Gothic" w:cs="Times New Roman"/>
          <w:sz w:val="20"/>
          <w:szCs w:val="20"/>
        </w:rPr>
        <w:t>akan tetapi tetap akan terlihat</w:t>
      </w:r>
      <w:r w:rsidR="00DB4A87" w:rsidRPr="00352CB3">
        <w:rPr>
          <w:rFonts w:ascii="Century Gothic" w:hAnsi="Century Gothic" w:cs="Times New Roman"/>
          <w:sz w:val="20"/>
          <w:szCs w:val="20"/>
        </w:rPr>
        <w:t xml:space="preserve"> nol besar </w:t>
      </w:r>
      <w:r w:rsidR="000C5C75" w:rsidRPr="00352CB3">
        <w:rPr>
          <w:rFonts w:ascii="Century Gothic" w:hAnsi="Century Gothic" w:cs="Times New Roman"/>
          <w:sz w:val="20"/>
          <w:szCs w:val="20"/>
        </w:rPr>
        <w:t xml:space="preserve">apabila guru belum memiliki pemahaman </w:t>
      </w:r>
      <w:r w:rsidR="00DB4A87" w:rsidRPr="00352CB3">
        <w:rPr>
          <w:rFonts w:ascii="Century Gothic" w:hAnsi="Century Gothic" w:cs="Times New Roman"/>
          <w:sz w:val="20"/>
          <w:szCs w:val="20"/>
        </w:rPr>
        <w:t xml:space="preserve">yang utuh </w:t>
      </w:r>
      <w:r w:rsidR="000C5C75" w:rsidRPr="00352CB3">
        <w:rPr>
          <w:rFonts w:ascii="Century Gothic" w:hAnsi="Century Gothic" w:cs="Times New Roman"/>
          <w:sz w:val="20"/>
          <w:szCs w:val="20"/>
        </w:rPr>
        <w:t>terhadap</w:t>
      </w:r>
      <w:r w:rsidR="00DB4A87" w:rsidRPr="00352CB3">
        <w:rPr>
          <w:rFonts w:ascii="Century Gothic" w:hAnsi="Century Gothic" w:cs="Times New Roman"/>
          <w:sz w:val="20"/>
          <w:szCs w:val="20"/>
        </w:rPr>
        <w:t xml:space="preserve"> program yang di</w:t>
      </w:r>
      <w:r w:rsidR="004A70B9" w:rsidRPr="00352CB3">
        <w:rPr>
          <w:rFonts w:ascii="Century Gothic" w:hAnsi="Century Gothic" w:cs="Times New Roman"/>
          <w:sz w:val="20"/>
          <w:szCs w:val="20"/>
        </w:rPr>
        <w:t>berikan oleh</w:t>
      </w:r>
      <w:r w:rsidR="00DB4A87" w:rsidRPr="00352CB3">
        <w:rPr>
          <w:rFonts w:ascii="Century Gothic" w:hAnsi="Century Gothic" w:cs="Times New Roman"/>
          <w:sz w:val="20"/>
          <w:szCs w:val="20"/>
        </w:rPr>
        <w:t xml:space="preserve"> pemerintah</w:t>
      </w:r>
      <w:r w:rsidR="004A70B9" w:rsidRPr="00352CB3">
        <w:rPr>
          <w:rFonts w:ascii="Century Gothic" w:hAnsi="Century Gothic" w:cs="Times New Roman"/>
          <w:sz w:val="20"/>
          <w:szCs w:val="20"/>
        </w:rPr>
        <w:t xml:space="preserve"> </w:t>
      </w:r>
      <w:r w:rsidR="004A70B9" w:rsidRPr="00352CB3">
        <w:rPr>
          <w:rFonts w:ascii="Century Gothic" w:hAnsi="Century Gothic" w:cs="Times New Roman"/>
          <w:sz w:val="20"/>
          <w:szCs w:val="20"/>
        </w:rPr>
        <w:lastRenderedPageBreak/>
        <w:t>tersebut</w:t>
      </w:r>
      <w:r w:rsidR="0065029E">
        <w:rPr>
          <w:rFonts w:ascii="Century Gothic" w:hAnsi="Century Gothic" w:cs="Times New Roman"/>
          <w:sz w:val="20"/>
          <w:szCs w:val="20"/>
        </w:rPr>
        <w:t xml:space="preserve"> </w:t>
      </w:r>
      <w:r w:rsidR="0065029E">
        <w:rPr>
          <w:rFonts w:ascii="Century Gothic" w:hAnsi="Century Gothic" w:cs="Times New Roman"/>
          <w:sz w:val="20"/>
          <w:szCs w:val="20"/>
        </w:rPr>
        <w:fldChar w:fldCharType="begin" w:fldLock="1"/>
      </w:r>
      <w:r w:rsidR="0065029E">
        <w:rPr>
          <w:rFonts w:ascii="Century Gothic" w:hAnsi="Century Gothic" w:cs="Times New Roman"/>
          <w:sz w:val="20"/>
          <w:szCs w:val="20"/>
        </w:rPr>
        <w:instrText>ADDIN CSL_CITATION {"citationItems":[{"id":"ITEM-1","itemData":{"DOI":"10.14419/ijet.v7i3.30.18347","abstract":"The professional learning community (PLC) is a platform for teachers to share their opinions and experiences especially with respect to the quality of teaching and learning processes (PdP). This partnership gives teachers more added value because they have the opportunity to improve their self-esteem and to keep in pace with the developments in the education world. This concept paper will discuss a number of issues related to PLCs such as PLC's background and development, PLC definitions, the development of PLC concept, PLC models and the issues and challenges that exist in implementing PLC. The analysis was done in the context of Malaysia and abroad. The paper is written based on extensive secondary data analysis. After examining all matters related to PLC, it can be concluded that PLC is a form of partnership that every school teacher needs to practice either in the context of education in Malaysia or anywhere in order to drive excellence in a school. With a lot of challenges nowadays regarding the implementation of PLC, this issue needs to be addressed so that the quality of teachers can be enhanced and will further influence the students' academic achievement.  ","author":[{"dropping-particle":"","family":"Hassan","given":"Roslizam","non-dropping-particle":"","parse-names":false,"suffix":""},{"dropping-particle":"","family":"Ahmad","given":"Jamilah","non-dropping-particle":"","parse-names":false,"suffix":""},{"dropping-particle":"","family":"Boon","given":"Yusof","non-dropping-particle":"","parse-names":false,"suffix":""}],"container-title":"International Journal of Engineering &amp; Technology","id":"ITEM-1","issue":"3.30","issued":{"date-parts":[["2018"]]},"page":"433","title":"Professional Learning Community in Malaysia","type":"article-journal","volume":"7"},"uris":["http://www.mendeley.com/documents/?uuid=0c999bc0-6b97-4664-b6d5-2112fcce2524"]}],"mendeley":{"formattedCitation":"(Hassan, Ahmad, &amp; Boon, 2018)","plainTextFormattedCitation":"(Hassan, Ahmad, &amp; Boon, 2018)"},"properties":{"noteIndex":0},"schema":"https://github.com/citation-style-language/schema/raw/master/csl-citation.json"}</w:instrText>
      </w:r>
      <w:r w:rsidR="0065029E">
        <w:rPr>
          <w:rFonts w:ascii="Century Gothic" w:hAnsi="Century Gothic" w:cs="Times New Roman"/>
          <w:sz w:val="20"/>
          <w:szCs w:val="20"/>
        </w:rPr>
        <w:fldChar w:fldCharType="separate"/>
      </w:r>
      <w:r w:rsidR="0065029E" w:rsidRPr="0065029E">
        <w:rPr>
          <w:rFonts w:ascii="Century Gothic" w:hAnsi="Century Gothic" w:cs="Times New Roman"/>
          <w:noProof/>
          <w:sz w:val="20"/>
          <w:szCs w:val="20"/>
        </w:rPr>
        <w:t>(Hassan, Ahmad, &amp; Boon, 2018)</w:t>
      </w:r>
      <w:r w:rsidR="0065029E">
        <w:rPr>
          <w:rFonts w:ascii="Century Gothic" w:hAnsi="Century Gothic" w:cs="Times New Roman"/>
          <w:sz w:val="20"/>
          <w:szCs w:val="20"/>
        </w:rPr>
        <w:fldChar w:fldCharType="end"/>
      </w:r>
      <w:r w:rsidR="00DB4A87" w:rsidRPr="00352CB3">
        <w:rPr>
          <w:rFonts w:ascii="Century Gothic" w:hAnsi="Century Gothic" w:cs="Times New Roman"/>
          <w:sz w:val="20"/>
          <w:szCs w:val="20"/>
        </w:rPr>
        <w:t xml:space="preserve">. </w:t>
      </w:r>
      <w:r w:rsidR="00C67BE1" w:rsidRPr="00352CB3">
        <w:rPr>
          <w:rFonts w:ascii="Century Gothic" w:hAnsi="Century Gothic" w:cs="Times New Roman"/>
          <w:sz w:val="20"/>
          <w:szCs w:val="20"/>
        </w:rPr>
        <w:t>Selain itu juga,</w:t>
      </w:r>
      <w:r w:rsidR="00DB4A87" w:rsidRPr="00352CB3">
        <w:rPr>
          <w:rFonts w:ascii="Century Gothic" w:hAnsi="Century Gothic" w:cs="Times New Roman"/>
          <w:sz w:val="20"/>
          <w:szCs w:val="20"/>
        </w:rPr>
        <w:t xml:space="preserve"> </w:t>
      </w:r>
      <w:r w:rsidR="00C67BE1" w:rsidRPr="00352CB3">
        <w:rPr>
          <w:rFonts w:ascii="Century Gothic" w:hAnsi="Century Gothic" w:cs="Times New Roman"/>
          <w:sz w:val="20"/>
          <w:szCs w:val="20"/>
        </w:rPr>
        <w:t xml:space="preserve">dari hasil penelitian ini </w:t>
      </w:r>
      <w:r w:rsidR="00DB4A87" w:rsidRPr="00352CB3">
        <w:rPr>
          <w:rFonts w:ascii="Century Gothic" w:hAnsi="Century Gothic" w:cs="Times New Roman"/>
          <w:sz w:val="20"/>
          <w:szCs w:val="20"/>
        </w:rPr>
        <w:t xml:space="preserve">peneliti </w:t>
      </w:r>
      <w:r w:rsidR="00C67BE1" w:rsidRPr="00352CB3">
        <w:rPr>
          <w:rFonts w:ascii="Century Gothic" w:hAnsi="Century Gothic" w:cs="Times New Roman"/>
          <w:sz w:val="20"/>
          <w:szCs w:val="20"/>
        </w:rPr>
        <w:t>memperoleh identifikasi alasan</w:t>
      </w:r>
      <w:r w:rsidR="00DB4A87" w:rsidRPr="00352CB3">
        <w:rPr>
          <w:rFonts w:ascii="Century Gothic" w:hAnsi="Century Gothic" w:cs="Times New Roman"/>
          <w:sz w:val="20"/>
          <w:szCs w:val="20"/>
        </w:rPr>
        <w:t xml:space="preserve"> program</w:t>
      </w:r>
      <w:r w:rsidR="00C67BE1" w:rsidRPr="00352CB3">
        <w:rPr>
          <w:rFonts w:ascii="Century Gothic" w:hAnsi="Century Gothic" w:cs="Times New Roman"/>
          <w:sz w:val="20"/>
          <w:szCs w:val="20"/>
        </w:rPr>
        <w:t xml:space="preserve"> PLC selama ini tidak berjalan. </w:t>
      </w:r>
      <w:r w:rsidR="00C92F7A" w:rsidRPr="00352CB3">
        <w:rPr>
          <w:rFonts w:ascii="Century Gothic" w:hAnsi="Century Gothic" w:cs="Times New Roman"/>
          <w:sz w:val="20"/>
          <w:szCs w:val="20"/>
        </w:rPr>
        <w:t xml:space="preserve">Adapun kesimpulan dari hasil penelitian </w:t>
      </w:r>
      <w:r w:rsidR="00B358E5">
        <w:rPr>
          <w:rFonts w:ascii="Century Gothic" w:hAnsi="Century Gothic" w:cs="Times New Roman"/>
          <w:sz w:val="20"/>
          <w:szCs w:val="20"/>
        </w:rPr>
        <w:t>sebagai berikut</w:t>
      </w:r>
      <w:r w:rsidR="00C92F7A" w:rsidRPr="00352CB3">
        <w:rPr>
          <w:rFonts w:ascii="Century Gothic" w:hAnsi="Century Gothic" w:cs="Times New Roman"/>
          <w:sz w:val="20"/>
          <w:szCs w:val="20"/>
        </w:rPr>
        <w:t>:</w:t>
      </w:r>
    </w:p>
    <w:p w:rsidR="009B6855" w:rsidRPr="009B6855" w:rsidRDefault="009B6855"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rPr>
      </w:pPr>
      <w:r w:rsidRPr="009B6855">
        <w:rPr>
          <w:rFonts w:ascii="Century Gothic" w:hAnsi="Century Gothic" w:cs="Times New Roman"/>
          <w:noProof/>
          <w:sz w:val="20"/>
          <w:szCs w:val="20"/>
        </w:rPr>
        <w:t>Sosialisasi program PLC lebih tinggi frekuensinya dibandingkan dengan sosialisasi akan peraturan PLC</w:t>
      </w:r>
    </w:p>
    <w:p w:rsidR="009B6855" w:rsidRPr="009B6855" w:rsidRDefault="009B6855"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rPr>
      </w:pPr>
      <w:r w:rsidRPr="009B6855">
        <w:rPr>
          <w:rFonts w:ascii="Century Gothic" w:hAnsi="Century Gothic" w:cs="Times New Roman"/>
          <w:noProof/>
          <w:sz w:val="20"/>
          <w:szCs w:val="20"/>
        </w:rPr>
        <w:t>Proses komunikasi mengenai program PLC lebih banyak dilakukan dibandingkan dengan proses komunikasi terkait peraturan PLC</w:t>
      </w:r>
    </w:p>
    <w:p w:rsidR="009B6855" w:rsidRPr="009B6855" w:rsidRDefault="009B6855"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rPr>
      </w:pPr>
      <w:r w:rsidRPr="009B6855">
        <w:rPr>
          <w:rFonts w:ascii="Century Gothic" w:hAnsi="Century Gothic" w:cs="Times New Roman"/>
          <w:sz w:val="20"/>
          <w:szCs w:val="20"/>
        </w:rPr>
        <w:t>Pemahaman guru akan program PLC lebih baik dibandingkan dengan pemahaman guru akan peraturan PLC.</w:t>
      </w:r>
    </w:p>
    <w:p w:rsidR="009B6855" w:rsidRPr="009B6855" w:rsidRDefault="009B6855"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rPr>
      </w:pPr>
      <w:r w:rsidRPr="009B6855">
        <w:rPr>
          <w:rFonts w:ascii="Century Gothic" w:hAnsi="Century Gothic" w:cs="Times New Roman"/>
          <w:noProof/>
          <w:sz w:val="20"/>
          <w:szCs w:val="20"/>
        </w:rPr>
        <w:t xml:space="preserve">Kepatuhan dan kepatutan yang dimiliki oleh guru terhadap program </w:t>
      </w:r>
      <w:r w:rsidRPr="009B6855">
        <w:rPr>
          <w:rFonts w:ascii="Century Gothic" w:hAnsi="Century Gothic" w:cs="Times New Roman"/>
          <w:noProof/>
          <w:sz w:val="20"/>
          <w:szCs w:val="20"/>
        </w:rPr>
        <w:lastRenderedPageBreak/>
        <w:t>PLC lebih tinggi dibandingkan dengan kepatuhan dan kepatutan terhadap peraturan dalam menjalankan program PLC.</w:t>
      </w:r>
    </w:p>
    <w:p w:rsidR="009B6855" w:rsidRPr="009B6855" w:rsidRDefault="009B6855"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rPr>
      </w:pPr>
      <w:r w:rsidRPr="009B6855">
        <w:rPr>
          <w:rFonts w:ascii="Century Gothic" w:hAnsi="Century Gothic" w:cs="Times New Roman"/>
          <w:sz w:val="20"/>
          <w:szCs w:val="20"/>
        </w:rPr>
        <w:t>Indikator manajemen PLC menjadi kelemahan utama pelaksanaan PLC. Sedangkan kekuatan utama adalah kesempatan yang dimiliki dalam melaksanakan PLC</w:t>
      </w:r>
    </w:p>
    <w:p w:rsidR="00EF718F" w:rsidRDefault="009B6855"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lang w:val="en-GB"/>
        </w:rPr>
      </w:pPr>
      <w:r w:rsidRPr="009B6855">
        <w:rPr>
          <w:rFonts w:ascii="Century Gothic" w:hAnsi="Century Gothic" w:cs="Times New Roman"/>
          <w:sz w:val="20"/>
          <w:szCs w:val="20"/>
        </w:rPr>
        <w:t>Pemahaman guru akan tujuan program PLC memperoleh prosentase tertinggi diantara program PLC lainnya. Sedangkan untuk pemahaman guru akan mekanisme PLC memperoleh prosentase terendah dibandingkan dengan indicator program PLC lainnya</w:t>
      </w:r>
      <w:r w:rsidR="00EF718F">
        <w:rPr>
          <w:rFonts w:ascii="Century Gothic" w:hAnsi="Century Gothic" w:cs="Times New Roman"/>
          <w:sz w:val="20"/>
          <w:szCs w:val="20"/>
          <w:lang w:val="en-GB"/>
        </w:rPr>
        <w:t>.</w:t>
      </w:r>
    </w:p>
    <w:p w:rsidR="00EF718F" w:rsidRDefault="00EF718F" w:rsidP="00CE7BED">
      <w:pPr>
        <w:pStyle w:val="ListParagraph"/>
        <w:numPr>
          <w:ilvl w:val="0"/>
          <w:numId w:val="8"/>
        </w:numPr>
        <w:autoSpaceDE w:val="0"/>
        <w:autoSpaceDN w:val="0"/>
        <w:adjustRightInd w:val="0"/>
        <w:spacing w:after="0" w:line="360" w:lineRule="auto"/>
        <w:ind w:left="360"/>
        <w:jc w:val="both"/>
        <w:rPr>
          <w:rFonts w:ascii="Century Gothic" w:hAnsi="Century Gothic" w:cs="Times New Roman"/>
          <w:sz w:val="20"/>
          <w:szCs w:val="20"/>
          <w:lang w:val="en-GB"/>
        </w:rPr>
        <w:sectPr w:rsidR="00EF718F" w:rsidSect="00EF718F">
          <w:type w:val="continuous"/>
          <w:pgSz w:w="11907" w:h="16839" w:code="9"/>
          <w:pgMar w:top="1418" w:right="1418" w:bottom="1418" w:left="1418" w:header="720" w:footer="720" w:gutter="0"/>
          <w:cols w:num="2" w:space="720"/>
          <w:docGrid w:linePitch="360"/>
        </w:sectPr>
      </w:pPr>
    </w:p>
    <w:p w:rsidR="008F0C3F" w:rsidRPr="00EF718F" w:rsidRDefault="008F0C3F" w:rsidP="00EF718F">
      <w:pPr>
        <w:autoSpaceDE w:val="0"/>
        <w:autoSpaceDN w:val="0"/>
        <w:adjustRightInd w:val="0"/>
        <w:spacing w:after="0" w:line="360" w:lineRule="auto"/>
        <w:jc w:val="both"/>
        <w:rPr>
          <w:rFonts w:ascii="Century Gothic" w:hAnsi="Century Gothic" w:cs="Times New Roman"/>
          <w:sz w:val="20"/>
          <w:szCs w:val="20"/>
        </w:rPr>
      </w:pPr>
    </w:p>
    <w:p w:rsidR="00226255" w:rsidRDefault="004B4805" w:rsidP="001E40E9">
      <w:pPr>
        <w:tabs>
          <w:tab w:val="left" w:pos="3900"/>
        </w:tabs>
        <w:spacing w:before="240" w:line="360" w:lineRule="auto"/>
        <w:rPr>
          <w:rFonts w:ascii="Century Gothic" w:hAnsi="Century Gothic"/>
          <w:b/>
          <w:sz w:val="20"/>
          <w:szCs w:val="20"/>
        </w:rPr>
      </w:pPr>
      <w:r w:rsidRPr="00352CB3">
        <w:rPr>
          <w:rFonts w:ascii="Century Gothic" w:hAnsi="Century Gothic"/>
          <w:b/>
          <w:sz w:val="20"/>
          <w:szCs w:val="20"/>
        </w:rPr>
        <w:t>Referensi</w:t>
      </w:r>
    </w:p>
    <w:p w:rsidR="00D1602F" w:rsidRPr="00D1602F" w:rsidRDefault="00D1602F" w:rsidP="00EB117E">
      <w:pPr>
        <w:tabs>
          <w:tab w:val="left" w:pos="3900"/>
        </w:tabs>
        <w:spacing w:after="0" w:line="360" w:lineRule="auto"/>
        <w:ind w:left="720" w:hanging="720"/>
        <w:rPr>
          <w:rFonts w:ascii="Century Gothic" w:hAnsi="Century Gothic"/>
          <w:sz w:val="20"/>
          <w:szCs w:val="20"/>
        </w:rPr>
      </w:pPr>
      <w:r>
        <w:rPr>
          <w:rFonts w:ascii="Century Gothic" w:hAnsi="Century Gothic"/>
          <w:sz w:val="20"/>
          <w:szCs w:val="20"/>
        </w:rPr>
        <w:t xml:space="preserve">Allen, C.P., (2014). </w:t>
      </w:r>
      <w:r w:rsidRPr="00D1602F">
        <w:rPr>
          <w:rFonts w:ascii="Century Gothic" w:hAnsi="Century Gothic"/>
          <w:i/>
          <w:sz w:val="20"/>
          <w:szCs w:val="20"/>
        </w:rPr>
        <w:t>Teacher Perspectives Of Professional Learning Community Teams With Respect To Their Collective Inquiries: A Case Study</w:t>
      </w:r>
      <w:r w:rsidRPr="00D1602F">
        <w:rPr>
          <w:rFonts w:ascii="Century Gothic" w:hAnsi="Century Gothic"/>
          <w:sz w:val="20"/>
          <w:szCs w:val="20"/>
        </w:rPr>
        <w:t xml:space="preserve">. </w:t>
      </w:r>
      <w:r w:rsidR="00E5433F">
        <w:rPr>
          <w:rFonts w:ascii="Century Gothic" w:hAnsi="Century Gothic"/>
          <w:sz w:val="20"/>
          <w:szCs w:val="20"/>
        </w:rPr>
        <w:t xml:space="preserve">USA: </w:t>
      </w:r>
      <w:r w:rsidRPr="00D1602F">
        <w:rPr>
          <w:rFonts w:ascii="Century Gothic" w:hAnsi="Century Gothic"/>
          <w:sz w:val="20"/>
          <w:szCs w:val="20"/>
        </w:rPr>
        <w:t>Liberty University</w:t>
      </w:r>
      <w:r w:rsidR="00E5433F">
        <w:rPr>
          <w:rFonts w:ascii="Century Gothic" w:hAnsi="Century Gothic"/>
          <w:sz w:val="20"/>
          <w:szCs w:val="20"/>
        </w:rPr>
        <w:t xml:space="preserve">. </w:t>
      </w:r>
    </w:p>
    <w:p w:rsidR="0065029E" w:rsidRPr="0065029E" w:rsidRDefault="00352CB3"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352CB3">
        <w:rPr>
          <w:rStyle w:val="fontstyle01"/>
          <w:rFonts w:ascii="Century Gothic" w:hAnsi="Century Gothic" w:cs="Times New Roman"/>
          <w:b/>
          <w:sz w:val="20"/>
          <w:szCs w:val="20"/>
        </w:rPr>
        <w:fldChar w:fldCharType="begin" w:fldLock="1"/>
      </w:r>
      <w:r w:rsidRPr="00352CB3">
        <w:rPr>
          <w:rStyle w:val="fontstyle01"/>
          <w:rFonts w:ascii="Century Gothic" w:hAnsi="Century Gothic" w:cs="Times New Roman"/>
          <w:b/>
          <w:sz w:val="20"/>
          <w:szCs w:val="20"/>
        </w:rPr>
        <w:instrText xml:space="preserve">ADDIN Mendeley Bibliography CSL_BIBLIOGRAPHY </w:instrText>
      </w:r>
      <w:r w:rsidRPr="00352CB3">
        <w:rPr>
          <w:rStyle w:val="fontstyle01"/>
          <w:rFonts w:ascii="Century Gothic" w:hAnsi="Century Gothic" w:cs="Times New Roman"/>
          <w:b/>
          <w:sz w:val="20"/>
          <w:szCs w:val="20"/>
        </w:rPr>
        <w:fldChar w:fldCharType="separate"/>
      </w:r>
      <w:r w:rsidR="0065029E" w:rsidRPr="0065029E">
        <w:rPr>
          <w:rFonts w:ascii="Century Gothic" w:hAnsi="Century Gothic" w:cs="Times New Roman"/>
          <w:noProof/>
          <w:sz w:val="20"/>
          <w:szCs w:val="24"/>
        </w:rPr>
        <w:t xml:space="preserve">Addley, A. (2014). </w:t>
      </w:r>
      <w:r w:rsidR="0065029E" w:rsidRPr="0065029E">
        <w:rPr>
          <w:rFonts w:ascii="Century Gothic" w:hAnsi="Century Gothic" w:cs="Times New Roman"/>
          <w:i/>
          <w:iCs/>
          <w:noProof/>
          <w:sz w:val="20"/>
          <w:szCs w:val="24"/>
        </w:rPr>
        <w:t>Implementing Professional Learning Communities in a High-Performing School District to Address Stagnating Student Performance</w:t>
      </w:r>
      <w:r w:rsidR="0065029E" w:rsidRPr="0065029E">
        <w:rPr>
          <w:rFonts w:ascii="Century Gothic" w:hAnsi="Century Gothic" w:cs="Times New Roman"/>
          <w:noProof/>
          <w:sz w:val="20"/>
          <w:szCs w:val="24"/>
        </w:rPr>
        <w:t>.</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Antinluoma, M., Ilomaki, L., Lahti-Nuuttila, P., &amp; Toom, A. (2018). Schools as Professional Learning Communities. </w:t>
      </w:r>
      <w:r w:rsidRPr="0065029E">
        <w:rPr>
          <w:rFonts w:ascii="Century Gothic" w:hAnsi="Century Gothic" w:cs="Times New Roman"/>
          <w:i/>
          <w:iCs/>
          <w:noProof/>
          <w:sz w:val="20"/>
          <w:szCs w:val="24"/>
        </w:rPr>
        <w:t>Journal of Education and Learning</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7</w:t>
      </w:r>
      <w:r w:rsidRPr="0065029E">
        <w:rPr>
          <w:rFonts w:ascii="Century Gothic" w:hAnsi="Century Gothic" w:cs="Times New Roman"/>
          <w:noProof/>
          <w:sz w:val="20"/>
          <w:szCs w:val="24"/>
        </w:rPr>
        <w:t>(5), 76. https://doi.org/10.5539/jel.v7n5p76</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Battersby, S. L., &amp; Verdi, B. (2015). The Culture of Professional Learning Communities and Connections to Improve Teacher Efficacy and Support Student Learning. </w:t>
      </w:r>
      <w:r w:rsidRPr="0065029E">
        <w:rPr>
          <w:rFonts w:ascii="Century Gothic" w:hAnsi="Century Gothic" w:cs="Times New Roman"/>
          <w:i/>
          <w:iCs/>
          <w:noProof/>
          <w:sz w:val="20"/>
          <w:szCs w:val="24"/>
        </w:rPr>
        <w:t>Arts Education Policy Review</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116</w:t>
      </w:r>
      <w:r w:rsidRPr="0065029E">
        <w:rPr>
          <w:rFonts w:ascii="Century Gothic" w:hAnsi="Century Gothic" w:cs="Times New Roman"/>
          <w:noProof/>
          <w:sz w:val="20"/>
          <w:szCs w:val="24"/>
        </w:rPr>
        <w:t>(1), 22–29. https://doi.org/10.1080/10632913.2015.970096</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Berendt, C. J., Christofi, A., Kasibhatla, K. M., Malindretos, J., &amp; Maruffi, B. (2012). Transformational leadership: Lessons in management for today. </w:t>
      </w:r>
      <w:r w:rsidRPr="0065029E">
        <w:rPr>
          <w:rFonts w:ascii="Century Gothic" w:hAnsi="Century Gothic" w:cs="Times New Roman"/>
          <w:i/>
          <w:iCs/>
          <w:noProof/>
          <w:sz w:val="20"/>
          <w:szCs w:val="24"/>
        </w:rPr>
        <w:t>International Business Research</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5</w:t>
      </w:r>
      <w:r w:rsidRPr="0065029E">
        <w:rPr>
          <w:rFonts w:ascii="Century Gothic" w:hAnsi="Century Gothic" w:cs="Times New Roman"/>
          <w:noProof/>
          <w:sz w:val="20"/>
          <w:szCs w:val="24"/>
        </w:rPr>
        <w:t>(10), 227–232. https://doi.org/10.5539/ibr.v5n10p227</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Bonces, M. R. (2014). Organizing a professional learning community - a strategy to enhance professional development. </w:t>
      </w:r>
      <w:r w:rsidRPr="0065029E">
        <w:rPr>
          <w:rFonts w:ascii="Century Gothic" w:hAnsi="Century Gothic" w:cs="Times New Roman"/>
          <w:i/>
          <w:iCs/>
          <w:noProof/>
          <w:sz w:val="20"/>
          <w:szCs w:val="24"/>
        </w:rPr>
        <w:t>Ikala</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19</w:t>
      </w:r>
      <w:r w:rsidRPr="0065029E">
        <w:rPr>
          <w:rFonts w:ascii="Century Gothic" w:hAnsi="Century Gothic" w:cs="Times New Roman"/>
          <w:noProof/>
          <w:sz w:val="20"/>
          <w:szCs w:val="24"/>
        </w:rPr>
        <w:t>(3), 307–319. https://doi.org/10.17533/udea.ikala.v19n3a06</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lastRenderedPageBreak/>
        <w:t xml:space="preserve">Carpenter, D. (2015). School culture and leadership of professional learning communities. </w:t>
      </w:r>
      <w:r w:rsidRPr="0065029E">
        <w:rPr>
          <w:rFonts w:ascii="Century Gothic" w:hAnsi="Century Gothic" w:cs="Times New Roman"/>
          <w:i/>
          <w:iCs/>
          <w:noProof/>
          <w:sz w:val="20"/>
          <w:szCs w:val="24"/>
        </w:rPr>
        <w:t>International Journal of Educational Management</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29</w:t>
      </w:r>
      <w:r w:rsidRPr="0065029E">
        <w:rPr>
          <w:rFonts w:ascii="Century Gothic" w:hAnsi="Century Gothic" w:cs="Times New Roman"/>
          <w:noProof/>
          <w:sz w:val="20"/>
          <w:szCs w:val="24"/>
        </w:rPr>
        <w:t>(5), 682–694. https://doi.org/10.1108/IJEM-04-2014-0046</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DiNardo, L. M. (2010). The impact of professional learning communities on student achievement. </w:t>
      </w:r>
      <w:r w:rsidRPr="0065029E">
        <w:rPr>
          <w:rFonts w:ascii="Century Gothic" w:hAnsi="Century Gothic" w:cs="Times New Roman"/>
          <w:i/>
          <w:iCs/>
          <w:noProof/>
          <w:sz w:val="20"/>
          <w:szCs w:val="24"/>
        </w:rPr>
        <w:t>Dissertation Abstracts International Section A: Humanities and Social Sciences</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71</w:t>
      </w:r>
      <w:r w:rsidRPr="0065029E">
        <w:rPr>
          <w:rFonts w:ascii="Century Gothic" w:hAnsi="Century Gothic" w:cs="Times New Roman"/>
          <w:noProof/>
          <w:sz w:val="20"/>
          <w:szCs w:val="24"/>
        </w:rPr>
        <w:t>(6-A), 1862. https://doi.org/10.1111/j.1467-8616.2008.00521.x Malik,</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Giles, C., &amp; Hargreaves, A. (2006). The sustainability of innovative schools as learning organizations and professional learning communities during standardized reform. </w:t>
      </w:r>
      <w:r w:rsidRPr="0065029E">
        <w:rPr>
          <w:rFonts w:ascii="Century Gothic" w:hAnsi="Century Gothic" w:cs="Times New Roman"/>
          <w:i/>
          <w:iCs/>
          <w:noProof/>
          <w:sz w:val="20"/>
          <w:szCs w:val="24"/>
        </w:rPr>
        <w:t>Educational Administration Quarterly</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42</w:t>
      </w:r>
      <w:r w:rsidRPr="0065029E">
        <w:rPr>
          <w:rFonts w:ascii="Century Gothic" w:hAnsi="Century Gothic" w:cs="Times New Roman"/>
          <w:noProof/>
          <w:sz w:val="20"/>
          <w:szCs w:val="24"/>
        </w:rPr>
        <w:t>(1), 124–156. https://doi.org/10.1177/0013161X05278189</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Halverson, R. R., &amp; Halverson, R. R. (2003). Systems of Practice: How Leaders Use Artifacts to Create Professional Community in Schools. </w:t>
      </w:r>
      <w:r w:rsidRPr="0065029E">
        <w:rPr>
          <w:rFonts w:ascii="Century Gothic" w:hAnsi="Century Gothic" w:cs="Times New Roman"/>
          <w:i/>
          <w:iCs/>
          <w:noProof/>
          <w:sz w:val="20"/>
          <w:szCs w:val="24"/>
        </w:rPr>
        <w:t>Education Policy Analysis Archives</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11</w:t>
      </w:r>
      <w:r w:rsidRPr="0065029E">
        <w:rPr>
          <w:rFonts w:ascii="Century Gothic" w:hAnsi="Century Gothic" w:cs="Times New Roman"/>
          <w:noProof/>
          <w:sz w:val="20"/>
          <w:szCs w:val="24"/>
        </w:rPr>
        <w:t>(0), 37. https://doi.org/10.14507/epaa.v11n37.2003</w:t>
      </w:r>
    </w:p>
    <w:p w:rsid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Hassan, R., Ahmad, J., &amp; Boon, Y. (2018). Professional Learning Community in Malaysia. </w:t>
      </w:r>
      <w:r w:rsidRPr="0065029E">
        <w:rPr>
          <w:rFonts w:ascii="Century Gothic" w:hAnsi="Century Gothic" w:cs="Times New Roman"/>
          <w:i/>
          <w:iCs/>
          <w:noProof/>
          <w:sz w:val="20"/>
          <w:szCs w:val="24"/>
        </w:rPr>
        <w:t>International Journal of Engineering &amp; Technology</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7</w:t>
      </w:r>
      <w:r w:rsidRPr="0065029E">
        <w:rPr>
          <w:rFonts w:ascii="Century Gothic" w:hAnsi="Century Gothic" w:cs="Times New Roman"/>
          <w:noProof/>
          <w:sz w:val="20"/>
          <w:szCs w:val="24"/>
        </w:rPr>
        <w:t>(3.30), 433. https://doi.org/10.14419/ijet.v7i3.30.18347</w:t>
      </w:r>
    </w:p>
    <w:p w:rsidR="004B6B1D" w:rsidRPr="00DE32AC" w:rsidRDefault="0065029E" w:rsidP="00DE32AC">
      <w:pPr>
        <w:widowControl w:val="0"/>
        <w:autoSpaceDE w:val="0"/>
        <w:autoSpaceDN w:val="0"/>
        <w:adjustRightInd w:val="0"/>
        <w:spacing w:after="0" w:line="360" w:lineRule="auto"/>
        <w:ind w:left="480" w:hanging="480"/>
        <w:rPr>
          <w:rStyle w:val="Emphasis"/>
          <w:rFonts w:ascii="Century Gothic" w:hAnsi="Century Gothic"/>
          <w:sz w:val="20"/>
          <w:szCs w:val="20"/>
          <w:lang w:val="id-ID"/>
        </w:rPr>
      </w:pPr>
      <w:r w:rsidRPr="00352CB3">
        <w:rPr>
          <w:rFonts w:ascii="Century Gothic" w:hAnsi="Century Gothic" w:cs="Times New Roman"/>
          <w:sz w:val="20"/>
          <w:szCs w:val="20"/>
        </w:rPr>
        <w:t>Hord, S.M. (</w:t>
      </w:r>
      <w:r w:rsidRPr="00352CB3">
        <w:rPr>
          <w:rFonts w:ascii="Century Gothic" w:hAnsi="Century Gothic" w:cs="Times New Roman"/>
          <w:sz w:val="20"/>
          <w:szCs w:val="20"/>
          <w:lang w:val="id-ID"/>
        </w:rPr>
        <w:t>2003</w:t>
      </w:r>
      <w:r w:rsidRPr="00352CB3">
        <w:rPr>
          <w:rFonts w:ascii="Century Gothic" w:hAnsi="Century Gothic" w:cs="Times New Roman"/>
          <w:sz w:val="20"/>
          <w:szCs w:val="20"/>
        </w:rPr>
        <w:t xml:space="preserve">). </w:t>
      </w:r>
      <w:r w:rsidRPr="00352CB3">
        <w:rPr>
          <w:rFonts w:ascii="Century Gothic" w:hAnsi="Century Gothic" w:cs="Times New Roman"/>
          <w:i/>
          <w:sz w:val="20"/>
          <w:szCs w:val="20"/>
        </w:rPr>
        <w:t xml:space="preserve">Professional Learning Communities: </w:t>
      </w:r>
      <w:r w:rsidRPr="00352CB3">
        <w:rPr>
          <w:rFonts w:ascii="Century Gothic" w:hAnsi="Century Gothic" w:cs="Times New Roman"/>
          <w:i/>
          <w:sz w:val="20"/>
          <w:szCs w:val="20"/>
          <w:lang w:val="id-ID"/>
        </w:rPr>
        <w:t xml:space="preserve">Communities of </w:t>
      </w:r>
      <w:r w:rsidRPr="00352CB3">
        <w:rPr>
          <w:rFonts w:ascii="Century Gothic" w:hAnsi="Century Gothic" w:cs="Times New Roman"/>
          <w:i/>
          <w:sz w:val="20"/>
          <w:szCs w:val="20"/>
          <w:lang w:val="id-ID"/>
        </w:rPr>
        <w:tab/>
        <w:t>Continuous Inquiry and Improvement</w:t>
      </w:r>
      <w:r w:rsidRPr="00352CB3">
        <w:rPr>
          <w:rStyle w:val="Emphasis"/>
          <w:rFonts w:ascii="Century Gothic" w:hAnsi="Century Gothic"/>
          <w:sz w:val="20"/>
          <w:szCs w:val="20"/>
          <w:lang w:val="id-ID"/>
        </w:rPr>
        <w:t>. Austin, TX: SEDL.</w:t>
      </w:r>
    </w:p>
    <w:p w:rsidR="004B6B1D" w:rsidRPr="0036201E" w:rsidRDefault="004B6B1D" w:rsidP="0036201E">
      <w:pPr>
        <w:widowControl w:val="0"/>
        <w:autoSpaceDE w:val="0"/>
        <w:autoSpaceDN w:val="0"/>
        <w:adjustRightInd w:val="0"/>
        <w:spacing w:after="0" w:line="360" w:lineRule="auto"/>
        <w:ind w:left="480" w:hanging="480"/>
        <w:rPr>
          <w:rStyle w:val="Emphasis"/>
          <w:rFonts w:ascii="Century Gothic" w:hAnsi="Century Gothic"/>
          <w:i w:val="0"/>
          <w:sz w:val="20"/>
          <w:szCs w:val="20"/>
        </w:rPr>
      </w:pPr>
      <w:r>
        <w:rPr>
          <w:rStyle w:val="Emphasis"/>
          <w:rFonts w:ascii="Century Gothic" w:hAnsi="Century Gothic"/>
          <w:i w:val="0"/>
          <w:sz w:val="20"/>
          <w:szCs w:val="20"/>
        </w:rPr>
        <w:t xml:space="preserve">Komariah, A, Sunaengsih, C, </w:t>
      </w:r>
      <w:r w:rsidR="0036201E">
        <w:rPr>
          <w:rStyle w:val="Emphasis"/>
          <w:rFonts w:ascii="Century Gothic" w:hAnsi="Century Gothic"/>
          <w:i w:val="0"/>
          <w:sz w:val="20"/>
          <w:szCs w:val="20"/>
        </w:rPr>
        <w:t>Kurniadi, DA, Soemarto,</w:t>
      </w:r>
      <w:r w:rsidR="00BE491E">
        <w:rPr>
          <w:rStyle w:val="Emphasis"/>
          <w:rFonts w:ascii="Century Gothic" w:hAnsi="Century Gothic"/>
          <w:i w:val="0"/>
          <w:sz w:val="20"/>
          <w:szCs w:val="20"/>
        </w:rPr>
        <w:t xml:space="preserve"> &amp;</w:t>
      </w:r>
      <w:r w:rsidR="0036201E">
        <w:rPr>
          <w:rStyle w:val="Emphasis"/>
          <w:rFonts w:ascii="Century Gothic" w:hAnsi="Century Gothic"/>
          <w:i w:val="0"/>
          <w:sz w:val="20"/>
          <w:szCs w:val="20"/>
        </w:rPr>
        <w:t xml:space="preserve"> S, Nurlatifah, S. (2018). </w:t>
      </w:r>
      <w:r w:rsidR="0036201E" w:rsidRPr="0036201E">
        <w:rPr>
          <w:rStyle w:val="Emphasis"/>
          <w:rFonts w:ascii="Century Gothic" w:hAnsi="Century Gothic"/>
          <w:i w:val="0"/>
          <w:sz w:val="20"/>
          <w:szCs w:val="20"/>
        </w:rPr>
        <w:t>How Professional Learning Community Based Academic Supervision Model Improves Teachers’ Performance</w:t>
      </w:r>
      <w:r w:rsidR="0036201E">
        <w:rPr>
          <w:rStyle w:val="Emphasis"/>
          <w:rFonts w:ascii="Century Gothic" w:hAnsi="Century Gothic"/>
          <w:i w:val="0"/>
          <w:sz w:val="20"/>
          <w:szCs w:val="20"/>
        </w:rPr>
        <w:t xml:space="preserve">. </w:t>
      </w:r>
      <w:r w:rsidR="0036201E" w:rsidRPr="0036201E">
        <w:rPr>
          <w:rStyle w:val="Emphasis"/>
          <w:rFonts w:ascii="Century Gothic" w:hAnsi="Century Gothic"/>
          <w:i w:val="0"/>
          <w:sz w:val="20"/>
          <w:szCs w:val="20"/>
        </w:rPr>
        <w:t>2nd International Conference on Research of Educational Administration and Management (ICREAM 2018)</w:t>
      </w:r>
      <w:r w:rsidR="0036201E">
        <w:rPr>
          <w:rStyle w:val="Emphasis"/>
          <w:rFonts w:ascii="Century Gothic" w:hAnsi="Century Gothic"/>
          <w:i w:val="0"/>
          <w:sz w:val="20"/>
          <w:szCs w:val="20"/>
        </w:rPr>
        <w:t xml:space="preserve">, </w:t>
      </w:r>
      <w:r w:rsidR="0036201E" w:rsidRPr="0036201E">
        <w:rPr>
          <w:rStyle w:val="Emphasis"/>
          <w:rFonts w:ascii="Century Gothic" w:hAnsi="Century Gothic"/>
          <w:i w:val="0"/>
          <w:sz w:val="20"/>
          <w:szCs w:val="20"/>
        </w:rPr>
        <w:t>Advances in Social Science, Education and Humanities Research (ASSEHR), volume 258</w:t>
      </w:r>
      <w:r w:rsidR="0036201E">
        <w:rPr>
          <w:rStyle w:val="Emphasis"/>
          <w:rFonts w:ascii="Century Gothic" w:hAnsi="Century Gothic"/>
          <w:i w:val="0"/>
          <w:sz w:val="20"/>
          <w:szCs w:val="20"/>
        </w:rPr>
        <w:t>.</w:t>
      </w:r>
    </w:p>
    <w:p w:rsidR="0065029E" w:rsidRPr="00243C4C" w:rsidRDefault="0065029E" w:rsidP="00EB117E">
      <w:pPr>
        <w:spacing w:after="0" w:line="240" w:lineRule="auto"/>
        <w:ind w:left="720" w:hanging="720"/>
        <w:jc w:val="both"/>
        <w:rPr>
          <w:rStyle w:val="Emphasis"/>
          <w:rFonts w:ascii="Century Gothic" w:hAnsi="Century Gothic" w:cs="Times New Roman"/>
          <w:iCs w:val="0"/>
          <w:sz w:val="20"/>
          <w:szCs w:val="20"/>
        </w:rPr>
      </w:pPr>
      <w:r w:rsidRPr="00243C4C">
        <w:rPr>
          <w:rFonts w:ascii="Century Gothic" w:hAnsi="Century Gothic" w:cs="Times New Roman"/>
          <w:sz w:val="20"/>
          <w:szCs w:val="20"/>
        </w:rPr>
        <w:t>Payne, AA, &amp; Gottfredson. (2003). Schools As Communities: The Relationships Among Communal School Organization, Student Bonding, And School Disorder. Journal of Criminology, 41 (3), 749-778.</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Pr>
          <w:rFonts w:ascii="Century Gothic" w:hAnsi="Century Gothic" w:cs="Times New Roman"/>
          <w:sz w:val="20"/>
          <w:szCs w:val="20"/>
        </w:rPr>
        <w:t xml:space="preserve">Permana, J. (2016). </w:t>
      </w:r>
      <w:r w:rsidRPr="006C55F4">
        <w:rPr>
          <w:rFonts w:ascii="Century Gothic" w:hAnsi="Century Gothic"/>
          <w:sz w:val="20"/>
          <w:szCs w:val="20"/>
        </w:rPr>
        <w:t>Model Pengembangan Profesi</w:t>
      </w:r>
      <w:r>
        <w:rPr>
          <w:rFonts w:ascii="Century Gothic" w:hAnsi="Century Gothic"/>
          <w:sz w:val="20"/>
          <w:szCs w:val="20"/>
        </w:rPr>
        <w:t xml:space="preserve"> </w:t>
      </w:r>
      <w:r w:rsidRPr="006C55F4">
        <w:rPr>
          <w:rFonts w:ascii="Century Gothic" w:hAnsi="Century Gothic"/>
          <w:sz w:val="20"/>
          <w:szCs w:val="20"/>
        </w:rPr>
        <w:t xml:space="preserve">guru Melalui Professional Learning Community Di Sekolah Menengah. </w:t>
      </w:r>
      <w:r w:rsidRPr="006C55F4">
        <w:rPr>
          <w:rFonts w:ascii="Century Gothic" w:hAnsi="Century Gothic"/>
          <w:i/>
          <w:sz w:val="20"/>
          <w:szCs w:val="20"/>
        </w:rPr>
        <w:t>Jurnal Administrasi Pendidikan</w:t>
      </w:r>
      <w:r w:rsidRPr="006C55F4">
        <w:rPr>
          <w:rFonts w:ascii="Century Gothic" w:hAnsi="Century Gothic"/>
          <w:sz w:val="20"/>
          <w:szCs w:val="20"/>
        </w:rPr>
        <w:t>,  23(1</w:t>
      </w:r>
      <w:r>
        <w:rPr>
          <w:rFonts w:ascii="Century Gothic" w:hAnsi="Century Gothic"/>
          <w:sz w:val="20"/>
          <w:szCs w:val="20"/>
        </w:rPr>
        <w:t>),</w:t>
      </w:r>
      <w:r w:rsidRPr="006C55F4">
        <w:rPr>
          <w:rFonts w:ascii="Century Gothic" w:hAnsi="Century Gothic"/>
          <w:sz w:val="20"/>
          <w:szCs w:val="20"/>
        </w:rPr>
        <w:t>81-90.</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Sai, X., &amp; Saedah, S. (2015). Professional Learning Community in Education</w:t>
      </w:r>
      <w:r w:rsidRPr="0065029E">
        <w:rPr>
          <w:rFonts w:ascii="Arial" w:hAnsi="Arial" w:cs="Arial"/>
          <w:noProof/>
          <w:sz w:val="20"/>
          <w:szCs w:val="24"/>
        </w:rPr>
        <w:t> </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The Online Journal of Quality in Higher Education</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2</w:t>
      </w:r>
      <w:r w:rsidRPr="0065029E">
        <w:rPr>
          <w:rFonts w:ascii="Century Gothic" w:hAnsi="Century Gothic" w:cs="Times New Roman"/>
          <w:noProof/>
          <w:sz w:val="20"/>
          <w:szCs w:val="24"/>
        </w:rPr>
        <w:t>(2), 65–78. https://doi.org/10.1109/ATS.2014.36</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Samoot, S., Prawit, E., &amp; Sudharm, D. tad sa na non. (2015). The development of professional learning community in primary schools. </w:t>
      </w:r>
      <w:r w:rsidRPr="0065029E">
        <w:rPr>
          <w:rFonts w:ascii="Century Gothic" w:hAnsi="Century Gothic" w:cs="Times New Roman"/>
          <w:i/>
          <w:iCs/>
          <w:noProof/>
          <w:sz w:val="20"/>
          <w:szCs w:val="24"/>
        </w:rPr>
        <w:t>Educational Research and Reviews</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10</w:t>
      </w:r>
      <w:r w:rsidRPr="0065029E">
        <w:rPr>
          <w:rFonts w:ascii="Century Gothic" w:hAnsi="Century Gothic" w:cs="Times New Roman"/>
          <w:noProof/>
          <w:sz w:val="20"/>
          <w:szCs w:val="24"/>
        </w:rPr>
        <w:t>(21), 2789–2796. https://doi.org/10.5897/err2015.2343</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Schaap, H., &amp; de Bruijn, E. (2018). Elements affecting the development of professional learning communities in schools. </w:t>
      </w:r>
      <w:r w:rsidRPr="0065029E">
        <w:rPr>
          <w:rFonts w:ascii="Century Gothic" w:hAnsi="Century Gothic" w:cs="Times New Roman"/>
          <w:i/>
          <w:iCs/>
          <w:noProof/>
          <w:sz w:val="20"/>
          <w:szCs w:val="24"/>
        </w:rPr>
        <w:t>Learning Environments Research</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21</w:t>
      </w:r>
      <w:r w:rsidRPr="0065029E">
        <w:rPr>
          <w:rFonts w:ascii="Century Gothic" w:hAnsi="Century Gothic" w:cs="Times New Roman"/>
          <w:noProof/>
          <w:sz w:val="20"/>
          <w:szCs w:val="24"/>
        </w:rPr>
        <w:t>(1), 109–134. https://doi.org/10.1007/s10984-017-9244-y</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t xml:space="preserve">Schuck, S., Aubusson, P., Kearney, M., &amp; Burden, K. (2013). Mobilising teacher education: A study of a professional learning community. </w:t>
      </w:r>
      <w:r w:rsidRPr="0065029E">
        <w:rPr>
          <w:rFonts w:ascii="Century Gothic" w:hAnsi="Century Gothic" w:cs="Times New Roman"/>
          <w:i/>
          <w:iCs/>
          <w:noProof/>
          <w:sz w:val="20"/>
          <w:szCs w:val="24"/>
        </w:rPr>
        <w:t>Teacher Development</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17</w:t>
      </w:r>
      <w:r w:rsidRPr="0065029E">
        <w:rPr>
          <w:rFonts w:ascii="Century Gothic" w:hAnsi="Century Gothic" w:cs="Times New Roman"/>
          <w:noProof/>
          <w:sz w:val="20"/>
          <w:szCs w:val="24"/>
        </w:rPr>
        <w:t>(1), 1–18. https://doi.org/10.1080/13664530.2012.752671</w:t>
      </w:r>
    </w:p>
    <w:p w:rsid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65029E">
        <w:rPr>
          <w:rFonts w:ascii="Century Gothic" w:hAnsi="Century Gothic" w:cs="Times New Roman"/>
          <w:noProof/>
          <w:sz w:val="20"/>
          <w:szCs w:val="24"/>
        </w:rPr>
        <w:lastRenderedPageBreak/>
        <w:t xml:space="preserve">Sjoer, E., &amp; Meirink, J. (2016). Understanding the complexity of teacher interaction in a teacher professional learning community. </w:t>
      </w:r>
      <w:r w:rsidRPr="0065029E">
        <w:rPr>
          <w:rFonts w:ascii="Century Gothic" w:hAnsi="Century Gothic" w:cs="Times New Roman"/>
          <w:i/>
          <w:iCs/>
          <w:noProof/>
          <w:sz w:val="20"/>
          <w:szCs w:val="24"/>
        </w:rPr>
        <w:t>European Journal of Teacher Education</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39</w:t>
      </w:r>
      <w:r w:rsidRPr="0065029E">
        <w:rPr>
          <w:rFonts w:ascii="Century Gothic" w:hAnsi="Century Gothic" w:cs="Times New Roman"/>
          <w:noProof/>
          <w:sz w:val="20"/>
          <w:szCs w:val="24"/>
        </w:rPr>
        <w:t>(1), 110–125. https://doi.org/10.1080/02619768.2014.994058</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cs="Times New Roman"/>
          <w:noProof/>
          <w:sz w:val="20"/>
          <w:szCs w:val="24"/>
        </w:rPr>
      </w:pPr>
      <w:r w:rsidRPr="00352CB3">
        <w:rPr>
          <w:rFonts w:ascii="Century Gothic" w:hAnsi="Century Gothic" w:cs="Times New Roman"/>
          <w:sz w:val="20"/>
          <w:szCs w:val="20"/>
        </w:rPr>
        <w:t xml:space="preserve">Stoll, L., &amp; Louis, K.S. (2007). </w:t>
      </w:r>
      <w:r w:rsidRPr="00352CB3">
        <w:rPr>
          <w:rStyle w:val="Emphasis"/>
          <w:rFonts w:ascii="Century Gothic" w:hAnsi="Century Gothic"/>
          <w:sz w:val="20"/>
          <w:szCs w:val="20"/>
        </w:rPr>
        <w:t xml:space="preserve">Professional Learning Communities: Divergence, </w:t>
      </w:r>
      <w:r w:rsidRPr="00352CB3">
        <w:rPr>
          <w:rStyle w:val="Emphasis"/>
          <w:rFonts w:ascii="Century Gothic" w:hAnsi="Century Gothic"/>
          <w:sz w:val="20"/>
          <w:szCs w:val="20"/>
          <w:lang w:val="id-ID"/>
        </w:rPr>
        <w:tab/>
      </w:r>
      <w:r w:rsidRPr="00352CB3">
        <w:rPr>
          <w:rStyle w:val="Emphasis"/>
          <w:rFonts w:ascii="Century Gothic" w:hAnsi="Century Gothic"/>
          <w:sz w:val="20"/>
          <w:szCs w:val="20"/>
        </w:rPr>
        <w:t xml:space="preserve">Depth </w:t>
      </w:r>
      <w:r w:rsidRPr="00352CB3">
        <w:rPr>
          <w:rStyle w:val="Emphasis"/>
          <w:rFonts w:ascii="Century Gothic" w:hAnsi="Century Gothic"/>
          <w:sz w:val="20"/>
          <w:szCs w:val="20"/>
          <w:lang w:val="id-ID"/>
        </w:rPr>
        <w:t>a</w:t>
      </w:r>
      <w:r w:rsidRPr="00352CB3">
        <w:rPr>
          <w:rStyle w:val="Emphasis"/>
          <w:rFonts w:ascii="Century Gothic" w:hAnsi="Century Gothic"/>
          <w:sz w:val="20"/>
          <w:szCs w:val="20"/>
        </w:rPr>
        <w:t>nd Dilemmas.</w:t>
      </w:r>
      <w:r w:rsidRPr="00352CB3">
        <w:rPr>
          <w:rFonts w:ascii="Century Gothic" w:hAnsi="Century Gothic" w:cs="Times New Roman"/>
          <w:sz w:val="20"/>
          <w:szCs w:val="20"/>
        </w:rPr>
        <w:t xml:space="preserve"> Berkshire: Open University Press.</w:t>
      </w:r>
    </w:p>
    <w:p w:rsidR="0065029E" w:rsidRPr="0065029E" w:rsidRDefault="0065029E" w:rsidP="00EB117E">
      <w:pPr>
        <w:widowControl w:val="0"/>
        <w:autoSpaceDE w:val="0"/>
        <w:autoSpaceDN w:val="0"/>
        <w:adjustRightInd w:val="0"/>
        <w:spacing w:after="0" w:line="360" w:lineRule="auto"/>
        <w:ind w:left="480" w:hanging="480"/>
        <w:rPr>
          <w:rFonts w:ascii="Century Gothic" w:hAnsi="Century Gothic"/>
          <w:noProof/>
          <w:sz w:val="20"/>
        </w:rPr>
      </w:pPr>
      <w:r w:rsidRPr="0065029E">
        <w:rPr>
          <w:rFonts w:ascii="Century Gothic" w:hAnsi="Century Gothic" w:cs="Times New Roman"/>
          <w:noProof/>
          <w:sz w:val="20"/>
          <w:szCs w:val="24"/>
        </w:rPr>
        <w:t xml:space="preserve">Tam, A. C. F. (2015). The role of a professional learning community in teacher change: A perspective from beliefs and practices. </w:t>
      </w:r>
      <w:r w:rsidRPr="0065029E">
        <w:rPr>
          <w:rFonts w:ascii="Century Gothic" w:hAnsi="Century Gothic" w:cs="Times New Roman"/>
          <w:i/>
          <w:iCs/>
          <w:noProof/>
          <w:sz w:val="20"/>
          <w:szCs w:val="24"/>
        </w:rPr>
        <w:t>Teachers and Teaching: Theory and Practice</w:t>
      </w:r>
      <w:r w:rsidRPr="0065029E">
        <w:rPr>
          <w:rFonts w:ascii="Century Gothic" w:hAnsi="Century Gothic" w:cs="Times New Roman"/>
          <w:noProof/>
          <w:sz w:val="20"/>
          <w:szCs w:val="24"/>
        </w:rPr>
        <w:t xml:space="preserve">, </w:t>
      </w:r>
      <w:r w:rsidRPr="0065029E">
        <w:rPr>
          <w:rFonts w:ascii="Century Gothic" w:hAnsi="Century Gothic" w:cs="Times New Roman"/>
          <w:i/>
          <w:iCs/>
          <w:noProof/>
          <w:sz w:val="20"/>
          <w:szCs w:val="24"/>
        </w:rPr>
        <w:t>21</w:t>
      </w:r>
      <w:r w:rsidRPr="0065029E">
        <w:rPr>
          <w:rFonts w:ascii="Century Gothic" w:hAnsi="Century Gothic" w:cs="Times New Roman"/>
          <w:noProof/>
          <w:sz w:val="20"/>
          <w:szCs w:val="24"/>
        </w:rPr>
        <w:t>(1), 22–43. https://doi.org/10.1080/13540602.2014.928122</w:t>
      </w:r>
    </w:p>
    <w:p w:rsidR="00352CB3" w:rsidRPr="0065029E" w:rsidRDefault="00352CB3" w:rsidP="00EB117E">
      <w:pPr>
        <w:spacing w:after="0" w:line="360" w:lineRule="auto"/>
        <w:ind w:left="720" w:hanging="720"/>
        <w:contextualSpacing/>
        <w:jc w:val="both"/>
        <w:rPr>
          <w:rFonts w:ascii="Century Gothic" w:hAnsi="Century Gothic"/>
          <w:i/>
          <w:iCs/>
          <w:sz w:val="20"/>
          <w:szCs w:val="20"/>
        </w:rPr>
      </w:pPr>
      <w:r w:rsidRPr="00352CB3">
        <w:rPr>
          <w:rStyle w:val="fontstyle01"/>
          <w:rFonts w:ascii="Century Gothic" w:hAnsi="Century Gothic" w:cs="Times New Roman"/>
          <w:b/>
          <w:sz w:val="20"/>
          <w:szCs w:val="20"/>
        </w:rPr>
        <w:fldChar w:fldCharType="end"/>
      </w:r>
    </w:p>
    <w:sectPr w:rsidR="00352CB3" w:rsidRPr="0065029E" w:rsidSect="00EF718F">
      <w:type w:val="continuous"/>
      <w:pgSz w:w="11907" w:h="16839"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139"/>
    <w:multiLevelType w:val="hybridMultilevel"/>
    <w:tmpl w:val="D9EE1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41810"/>
    <w:multiLevelType w:val="hybridMultilevel"/>
    <w:tmpl w:val="B7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96EB8"/>
    <w:multiLevelType w:val="hybridMultilevel"/>
    <w:tmpl w:val="1DF4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21CBE"/>
    <w:multiLevelType w:val="hybridMultilevel"/>
    <w:tmpl w:val="DD4E7C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4A729F6"/>
    <w:multiLevelType w:val="hybridMultilevel"/>
    <w:tmpl w:val="A08A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C40D0"/>
    <w:multiLevelType w:val="hybridMultilevel"/>
    <w:tmpl w:val="7D9A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00E35"/>
    <w:multiLevelType w:val="hybridMultilevel"/>
    <w:tmpl w:val="0362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54C65"/>
    <w:multiLevelType w:val="hybridMultilevel"/>
    <w:tmpl w:val="CD8C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C64DB"/>
    <w:multiLevelType w:val="hybridMultilevel"/>
    <w:tmpl w:val="F05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1894"/>
    <w:multiLevelType w:val="hybridMultilevel"/>
    <w:tmpl w:val="4016F2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17E5944"/>
    <w:multiLevelType w:val="hybridMultilevel"/>
    <w:tmpl w:val="8A0C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46E74"/>
    <w:multiLevelType w:val="hybridMultilevel"/>
    <w:tmpl w:val="404C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0"/>
  </w:num>
  <w:num w:numId="5">
    <w:abstractNumId w:val="6"/>
  </w:num>
  <w:num w:numId="6">
    <w:abstractNumId w:val="0"/>
  </w:num>
  <w:num w:numId="7">
    <w:abstractNumId w:val="4"/>
  </w:num>
  <w:num w:numId="8">
    <w:abstractNumId w:val="7"/>
  </w:num>
  <w:num w:numId="9">
    <w:abstractNumId w:val="11"/>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2E"/>
    <w:rsid w:val="00084728"/>
    <w:rsid w:val="0009005C"/>
    <w:rsid w:val="000C5C75"/>
    <w:rsid w:val="000C722E"/>
    <w:rsid w:val="000D3DBA"/>
    <w:rsid w:val="000E25B5"/>
    <w:rsid w:val="00112177"/>
    <w:rsid w:val="00113ED4"/>
    <w:rsid w:val="00125D40"/>
    <w:rsid w:val="00132B57"/>
    <w:rsid w:val="00152525"/>
    <w:rsid w:val="00177762"/>
    <w:rsid w:val="00193A5F"/>
    <w:rsid w:val="00197D0A"/>
    <w:rsid w:val="001C14B8"/>
    <w:rsid w:val="001E40E9"/>
    <w:rsid w:val="001E7B12"/>
    <w:rsid w:val="00226255"/>
    <w:rsid w:val="00243C4C"/>
    <w:rsid w:val="0025142E"/>
    <w:rsid w:val="00272DE6"/>
    <w:rsid w:val="00275E9F"/>
    <w:rsid w:val="002B0065"/>
    <w:rsid w:val="002C3FA1"/>
    <w:rsid w:val="002F5891"/>
    <w:rsid w:val="00324803"/>
    <w:rsid w:val="0032653A"/>
    <w:rsid w:val="00337A9D"/>
    <w:rsid w:val="00352CB3"/>
    <w:rsid w:val="0036201E"/>
    <w:rsid w:val="003679C9"/>
    <w:rsid w:val="00406FBC"/>
    <w:rsid w:val="00441F98"/>
    <w:rsid w:val="0045712B"/>
    <w:rsid w:val="004827A2"/>
    <w:rsid w:val="004853DB"/>
    <w:rsid w:val="00497724"/>
    <w:rsid w:val="004A70B9"/>
    <w:rsid w:val="004B4805"/>
    <w:rsid w:val="004B6B1D"/>
    <w:rsid w:val="004C3C9C"/>
    <w:rsid w:val="004E5DEB"/>
    <w:rsid w:val="0050357C"/>
    <w:rsid w:val="005104D6"/>
    <w:rsid w:val="005419D6"/>
    <w:rsid w:val="005449B2"/>
    <w:rsid w:val="005D40FF"/>
    <w:rsid w:val="00613348"/>
    <w:rsid w:val="00647399"/>
    <w:rsid w:val="0065029E"/>
    <w:rsid w:val="00650DC7"/>
    <w:rsid w:val="00664D00"/>
    <w:rsid w:val="006A1B13"/>
    <w:rsid w:val="006A76A1"/>
    <w:rsid w:val="006C55F4"/>
    <w:rsid w:val="006D1487"/>
    <w:rsid w:val="007308C2"/>
    <w:rsid w:val="0075081D"/>
    <w:rsid w:val="00757B92"/>
    <w:rsid w:val="00760083"/>
    <w:rsid w:val="00764674"/>
    <w:rsid w:val="007B29E1"/>
    <w:rsid w:val="007B6C74"/>
    <w:rsid w:val="007F49E0"/>
    <w:rsid w:val="007F5230"/>
    <w:rsid w:val="00817992"/>
    <w:rsid w:val="008671BA"/>
    <w:rsid w:val="00884B99"/>
    <w:rsid w:val="008B2C4B"/>
    <w:rsid w:val="008B43F8"/>
    <w:rsid w:val="008D1534"/>
    <w:rsid w:val="008D6ADC"/>
    <w:rsid w:val="008D722E"/>
    <w:rsid w:val="008F0C3F"/>
    <w:rsid w:val="009567C5"/>
    <w:rsid w:val="009B6855"/>
    <w:rsid w:val="009F4B47"/>
    <w:rsid w:val="00A25F0A"/>
    <w:rsid w:val="00A461B5"/>
    <w:rsid w:val="00A54266"/>
    <w:rsid w:val="00A76ECE"/>
    <w:rsid w:val="00A843AC"/>
    <w:rsid w:val="00A95E17"/>
    <w:rsid w:val="00AC03FF"/>
    <w:rsid w:val="00AD28BE"/>
    <w:rsid w:val="00AE316E"/>
    <w:rsid w:val="00B358E5"/>
    <w:rsid w:val="00B54AA3"/>
    <w:rsid w:val="00B56D54"/>
    <w:rsid w:val="00B72AEA"/>
    <w:rsid w:val="00B83392"/>
    <w:rsid w:val="00BA3FC4"/>
    <w:rsid w:val="00BE491E"/>
    <w:rsid w:val="00BF1B77"/>
    <w:rsid w:val="00C3698C"/>
    <w:rsid w:val="00C67BE1"/>
    <w:rsid w:val="00C75D7D"/>
    <w:rsid w:val="00C81F13"/>
    <w:rsid w:val="00C92505"/>
    <w:rsid w:val="00C92F7A"/>
    <w:rsid w:val="00CB1523"/>
    <w:rsid w:val="00CD6BB2"/>
    <w:rsid w:val="00CE7BED"/>
    <w:rsid w:val="00D1031A"/>
    <w:rsid w:val="00D1602F"/>
    <w:rsid w:val="00D615CD"/>
    <w:rsid w:val="00DB4A87"/>
    <w:rsid w:val="00DC07C3"/>
    <w:rsid w:val="00DD24CC"/>
    <w:rsid w:val="00DE32AC"/>
    <w:rsid w:val="00E467A0"/>
    <w:rsid w:val="00E5433F"/>
    <w:rsid w:val="00EB117E"/>
    <w:rsid w:val="00ED4153"/>
    <w:rsid w:val="00EE11A6"/>
    <w:rsid w:val="00EF718F"/>
    <w:rsid w:val="00F021AF"/>
    <w:rsid w:val="00F16E18"/>
    <w:rsid w:val="00F43D19"/>
    <w:rsid w:val="00F53FEB"/>
    <w:rsid w:val="00F751E5"/>
    <w:rsid w:val="00F85D5F"/>
    <w:rsid w:val="00F9089A"/>
    <w:rsid w:val="00F9512A"/>
    <w:rsid w:val="00FC3DC0"/>
    <w:rsid w:val="00FE062B"/>
    <w:rsid w:val="00FE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B99B"/>
  <w15:docId w15:val="{EA3CF6C0-44AC-49BD-A14D-AD24FE19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5081D"/>
    <w:pPr>
      <w:ind w:left="720"/>
      <w:contextualSpacing/>
    </w:pPr>
  </w:style>
  <w:style w:type="character" w:customStyle="1" w:styleId="ListParagraphChar">
    <w:name w:val="List Paragraph Char"/>
    <w:aliases w:val="Body of text Char"/>
    <w:basedOn w:val="DefaultParagraphFont"/>
    <w:link w:val="ListParagraph"/>
    <w:uiPriority w:val="34"/>
    <w:rsid w:val="0075081D"/>
  </w:style>
  <w:style w:type="character" w:styleId="Hyperlink">
    <w:name w:val="Hyperlink"/>
    <w:basedOn w:val="DefaultParagraphFont"/>
    <w:uiPriority w:val="99"/>
    <w:unhideWhenUsed/>
    <w:rsid w:val="0075081D"/>
    <w:rPr>
      <w:color w:val="0000FF" w:themeColor="hyperlink"/>
      <w:u w:val="single"/>
    </w:rPr>
  </w:style>
  <w:style w:type="character" w:customStyle="1" w:styleId="fontstyle01">
    <w:name w:val="fontstyle01"/>
    <w:basedOn w:val="DefaultParagraphFont"/>
    <w:rsid w:val="004B4805"/>
    <w:rPr>
      <w:rFonts w:ascii="Arial-ItalicMT" w:hAnsi="Arial-ItalicMT" w:hint="default"/>
      <w:b w:val="0"/>
      <w:bCs w:val="0"/>
      <w:i/>
      <w:iCs/>
      <w:color w:val="000000"/>
      <w:sz w:val="22"/>
      <w:szCs w:val="22"/>
    </w:rPr>
  </w:style>
  <w:style w:type="paragraph" w:styleId="BalloonText">
    <w:name w:val="Balloon Text"/>
    <w:basedOn w:val="Normal"/>
    <w:link w:val="BalloonTextChar"/>
    <w:uiPriority w:val="99"/>
    <w:semiHidden/>
    <w:unhideWhenUsed/>
    <w:rsid w:val="004B4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05"/>
    <w:rPr>
      <w:rFonts w:ascii="Tahoma" w:hAnsi="Tahoma" w:cs="Tahoma"/>
      <w:sz w:val="16"/>
      <w:szCs w:val="16"/>
    </w:rPr>
  </w:style>
  <w:style w:type="table" w:styleId="TableGrid">
    <w:name w:val="Table Grid"/>
    <w:basedOn w:val="TableNormal"/>
    <w:uiPriority w:val="59"/>
    <w:rsid w:val="00DB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2CB3"/>
    <w:rPr>
      <w:i/>
      <w:iCs/>
    </w:rPr>
  </w:style>
  <w:style w:type="table" w:styleId="PlainTable2">
    <w:name w:val="Plain Table 2"/>
    <w:basedOn w:val="TableNormal"/>
    <w:uiPriority w:val="42"/>
    <w:rsid w:val="00BA3F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
    <w:name w:val="hps"/>
    <w:basedOn w:val="DefaultParagraphFont"/>
    <w:rsid w:val="00125D40"/>
  </w:style>
  <w:style w:type="character" w:customStyle="1" w:styleId="CharStyle8">
    <w:name w:val="Char Style 8"/>
    <w:basedOn w:val="DefaultParagraphFont"/>
    <w:link w:val="Style7"/>
    <w:uiPriority w:val="99"/>
    <w:rsid w:val="00F9089A"/>
    <w:rPr>
      <w:rFonts w:ascii="Arial" w:hAnsi="Arial" w:cs="Arial"/>
      <w:b/>
      <w:bCs/>
      <w:shd w:val="clear" w:color="auto" w:fill="FFFFFF"/>
    </w:rPr>
  </w:style>
  <w:style w:type="paragraph" w:customStyle="1" w:styleId="Style7">
    <w:name w:val="Style 7"/>
    <w:basedOn w:val="Normal"/>
    <w:link w:val="CharStyle8"/>
    <w:uiPriority w:val="99"/>
    <w:rsid w:val="00F9089A"/>
    <w:pPr>
      <w:widowControl w:val="0"/>
      <w:shd w:val="clear" w:color="auto" w:fill="FFFFFF"/>
      <w:spacing w:before="240" w:after="0" w:line="555" w:lineRule="exact"/>
      <w:outlineLvl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cunsunaengsih@upi.ed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12C5-18CB-49F1-8636-14FDE4AB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16</Pages>
  <Words>12557</Words>
  <Characters>71576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Cucun</cp:lastModifiedBy>
  <cp:revision>85</cp:revision>
  <cp:lastPrinted>2019-09-29T10:28:00Z</cp:lastPrinted>
  <dcterms:created xsi:type="dcterms:W3CDTF">2019-09-27T02:08:00Z</dcterms:created>
  <dcterms:modified xsi:type="dcterms:W3CDTF">2019-10-17T09:25:00Z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47362d31-abef-38ea-ac5d-564896d83022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