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8346BF" w14:paraId="114EB970" w14:textId="77777777">
        <w:tc>
          <w:tcPr>
            <w:tcW w:w="1175" w:type="dxa"/>
            <w:tcBorders>
              <w:top w:val="single" w:sz="4" w:space="0" w:color="auto"/>
              <w:bottom w:val="single" w:sz="4" w:space="0" w:color="auto"/>
            </w:tcBorders>
          </w:tcPr>
          <w:p w14:paraId="7BFEFF4D" w14:textId="77777777" w:rsidR="008346BF" w:rsidRDefault="00790659">
            <w:pPr>
              <w:pStyle w:val="BasicParagraph"/>
              <w:spacing w:line="276" w:lineRule="auto"/>
              <w:jc w:val="center"/>
              <w:rPr>
                <w:rFonts w:cs="Times New Roman"/>
                <w:b/>
                <w:bCs/>
              </w:rPr>
            </w:pPr>
            <w:r>
              <w:rPr>
                <w:rFonts w:cs="Times New Roman"/>
                <w:b/>
                <w:bCs/>
              </w:rPr>
              <w:t xml:space="preserve"> </w:t>
            </w:r>
          </w:p>
          <w:p w14:paraId="009519EC" w14:textId="77777777" w:rsidR="008346BF" w:rsidRDefault="00790659">
            <w:pPr>
              <w:rPr>
                <w:lang w:val="en-GB"/>
              </w:rPr>
            </w:pPr>
            <w:r>
              <w:rPr>
                <w:noProof/>
              </w:rPr>
              <w:drawing>
                <wp:inline distT="0" distB="0" distL="0" distR="0" wp14:anchorId="5D804A34" wp14:editId="1DABA12F">
                  <wp:extent cx="546265" cy="546265"/>
                  <wp:effectExtent l="0" t="0" r="6350" b="6350"/>
                  <wp:docPr id="1026" name="Image1"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546265" cy="546265"/>
                          </a:xfrm>
                          <a:prstGeom prst="rect">
                            <a:avLst/>
                          </a:prstGeom>
                        </pic:spPr>
                      </pic:pic>
                    </a:graphicData>
                  </a:graphic>
                </wp:inline>
              </w:drawing>
            </w:r>
          </w:p>
        </w:tc>
        <w:tc>
          <w:tcPr>
            <w:tcW w:w="7015" w:type="dxa"/>
            <w:gridSpan w:val="3"/>
            <w:tcBorders>
              <w:top w:val="single" w:sz="4" w:space="0" w:color="auto"/>
              <w:bottom w:val="single" w:sz="4" w:space="0" w:color="auto"/>
            </w:tcBorders>
          </w:tcPr>
          <w:p w14:paraId="731035CB" w14:textId="77777777" w:rsidR="008346BF" w:rsidRDefault="008346BF">
            <w:pPr>
              <w:pStyle w:val="BasicParagraph"/>
              <w:spacing w:line="276" w:lineRule="auto"/>
              <w:jc w:val="center"/>
              <w:rPr>
                <w:sz w:val="18"/>
              </w:rPr>
            </w:pPr>
          </w:p>
          <w:p w14:paraId="4FEC9C64" w14:textId="77777777" w:rsidR="008346BF" w:rsidRDefault="00790659">
            <w:pPr>
              <w:pStyle w:val="BasicParagraph"/>
              <w:spacing w:line="276" w:lineRule="auto"/>
              <w:jc w:val="center"/>
              <w:rPr>
                <w:sz w:val="18"/>
              </w:rPr>
            </w:pPr>
            <w:r>
              <w:rPr>
                <w:sz w:val="18"/>
              </w:rPr>
              <w:t>TEGAR 1 (</w:t>
            </w:r>
            <w:r>
              <w:rPr>
                <w:sz w:val="18"/>
                <w:lang w:val="en-US"/>
              </w:rPr>
              <w:t>1</w:t>
            </w:r>
            <w:r w:rsidR="00F221E4">
              <w:rPr>
                <w:sz w:val="18"/>
                <w:lang w:val="en-US"/>
              </w:rPr>
              <w:t>2</w:t>
            </w:r>
            <w:r w:rsidR="00F221E4">
              <w:rPr>
                <w:sz w:val="18"/>
              </w:rPr>
              <w:t>) (2020</w:t>
            </w:r>
            <w:r>
              <w:rPr>
                <w:sz w:val="18"/>
              </w:rPr>
              <w:t>)</w:t>
            </w:r>
          </w:p>
          <w:p w14:paraId="43388012" w14:textId="77777777" w:rsidR="008346BF" w:rsidRDefault="00790659">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Pr>
                <w:rFonts w:ascii="Calisto MT" w:hAnsi="Calisto MT" w:cs="Calisto MT"/>
                <w:b/>
                <w:bCs/>
                <w:color w:val="000000"/>
                <w:sz w:val="24"/>
                <w:szCs w:val="24"/>
                <w:lang w:val="en-GB"/>
              </w:rPr>
              <w:t>Journal of Teaching Physical Education  in Elementary School</w:t>
            </w:r>
          </w:p>
          <w:p w14:paraId="699600E9" w14:textId="77777777" w:rsidR="008346BF" w:rsidRDefault="003F0EFC">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10" w:history="1">
              <w:r w:rsidR="00790659">
                <w:rPr>
                  <w:rStyle w:val="Hyperlink"/>
                  <w:rFonts w:ascii="Calisto MT" w:hAnsi="Calisto MT" w:cs="Calisto MT"/>
                  <w:color w:val="auto"/>
                  <w:sz w:val="18"/>
                  <w:szCs w:val="18"/>
                  <w:u w:val="none"/>
                  <w:lang w:val="en-GB"/>
                </w:rPr>
                <w:t>http://ejournal.upi.edu/index.php/tegar/index</w:t>
              </w:r>
            </w:hyperlink>
          </w:p>
          <w:p w14:paraId="3AADEAB3" w14:textId="77777777"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3D1198C3" w14:textId="77777777"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671E5278" w14:textId="77777777" w:rsidR="008346BF" w:rsidRDefault="008346BF">
            <w:pPr>
              <w:pStyle w:val="BasicParagraph"/>
              <w:spacing w:line="276" w:lineRule="auto"/>
              <w:jc w:val="center"/>
              <w:rPr>
                <w:rFonts w:cs="Times New Roman"/>
                <w:sz w:val="18"/>
                <w:szCs w:val="18"/>
              </w:rPr>
            </w:pPr>
          </w:p>
        </w:tc>
      </w:tr>
      <w:tr w:rsidR="008346BF" w14:paraId="126B8F0C" w14:textId="77777777">
        <w:tc>
          <w:tcPr>
            <w:tcW w:w="8999" w:type="dxa"/>
            <w:gridSpan w:val="5"/>
            <w:tcBorders>
              <w:top w:val="single" w:sz="4" w:space="0" w:color="auto"/>
              <w:bottom w:val="single" w:sz="4" w:space="0" w:color="auto"/>
            </w:tcBorders>
          </w:tcPr>
          <w:p w14:paraId="142CAA1F" w14:textId="77777777" w:rsidR="008346BF" w:rsidRDefault="008346BF">
            <w:pPr>
              <w:pStyle w:val="Judul"/>
              <w:suppressAutoHyphens/>
              <w:spacing w:line="276" w:lineRule="auto"/>
              <w:rPr>
                <w:rFonts w:ascii="Calisto MT" w:hAnsi="Calisto MT" w:cs="Times New Roman"/>
              </w:rPr>
            </w:pPr>
          </w:p>
          <w:p w14:paraId="10873617" w14:textId="77777777" w:rsidR="00185D75" w:rsidRPr="00F221E4" w:rsidRDefault="00F221E4" w:rsidP="007C09BE">
            <w:pPr>
              <w:spacing w:beforeAutospacing="0" w:after="200" w:afterAutospacing="0" w:line="276" w:lineRule="auto"/>
              <w:ind w:left="0" w:right="0"/>
              <w:rPr>
                <w:rFonts w:ascii="Times New Roman" w:hAnsi="Times New Roman" w:cs="Times New Roman"/>
                <w:b/>
                <w:sz w:val="24"/>
                <w:lang w:val="id-ID"/>
              </w:rPr>
            </w:pPr>
            <w:r w:rsidRPr="00F221E4">
              <w:rPr>
                <w:rFonts w:ascii="Times New Roman" w:hAnsi="Times New Roman" w:cs="Times New Roman"/>
                <w:b/>
                <w:lang w:val="id-ID"/>
              </w:rPr>
              <w:t>PROFIL GURU PENJAS ADAPTIF DI INDONESIA: PELUANG MENINGKATKAN STATUS PENJAS ADAPTIF DI SEKOLAH LUAR BIASA</w:t>
            </w:r>
            <w:r w:rsidRPr="00F221E4">
              <w:rPr>
                <w:rFonts w:ascii="Times New Roman" w:hAnsi="Times New Roman" w:cs="Times New Roman"/>
                <w:b/>
                <w:sz w:val="24"/>
                <w:lang w:val="id-ID"/>
              </w:rPr>
              <w:t xml:space="preserve"> </w:t>
            </w:r>
          </w:p>
          <w:p w14:paraId="2E32C721" w14:textId="77777777" w:rsidR="008346BF" w:rsidRDefault="008346BF">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id-ID"/>
              </w:rPr>
            </w:pPr>
          </w:p>
          <w:p w14:paraId="6D0E0E5C" w14:textId="77777777" w:rsidR="008346BF" w:rsidRDefault="008346BF">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4F49C34D" w14:textId="77777777" w:rsidR="00F221E4" w:rsidRPr="00F221E4" w:rsidRDefault="00F221E4" w:rsidP="00F221E4">
            <w:pPr>
              <w:spacing w:beforeAutospacing="0" w:afterAutospacing="0"/>
              <w:jc w:val="both"/>
              <w:rPr>
                <w:rFonts w:ascii="Times New Roman" w:hAnsi="Times New Roman" w:cs="Times New Roman"/>
                <w:lang w:val="id-ID"/>
              </w:rPr>
            </w:pPr>
            <w:r w:rsidRPr="00F221E4">
              <w:rPr>
                <w:rFonts w:ascii="Times New Roman" w:hAnsi="Times New Roman" w:cs="Times New Roman"/>
                <w:lang w:val="id-ID"/>
              </w:rPr>
              <w:t>Agus Mahendra, Didin Budiman, Mesa Rahmi Stephani, Andi Suntoda, Dian Budiana, Lukmanul Hakim Lubay, Suherman Slamet, Gano Sumarno, Ricky Wibowo, Wulandari Putri, Anira, Wildan Alfiana Nugroho.</w:t>
            </w:r>
          </w:p>
          <w:p w14:paraId="5BD63FC1" w14:textId="77777777" w:rsidR="00F221E4" w:rsidRPr="00F221E4" w:rsidRDefault="00F221E4" w:rsidP="00F221E4">
            <w:pPr>
              <w:spacing w:beforeAutospacing="0" w:afterAutospacing="0"/>
              <w:jc w:val="both"/>
              <w:rPr>
                <w:rFonts w:ascii="Times New Roman" w:hAnsi="Times New Roman" w:cs="Times New Roman"/>
                <w:lang w:val="id-ID"/>
              </w:rPr>
            </w:pPr>
            <w:r w:rsidRPr="00F221E4">
              <w:rPr>
                <w:rFonts w:ascii="Times New Roman" w:hAnsi="Times New Roman" w:cs="Times New Roman"/>
                <w:lang w:val="id-ID"/>
              </w:rPr>
              <w:t xml:space="preserve">Corresponding Author: </w:t>
            </w:r>
            <w:r w:rsidRPr="00F221E4">
              <w:fldChar w:fldCharType="begin"/>
            </w:r>
            <w:r w:rsidRPr="00F221E4">
              <w:instrText xml:space="preserve"> HYPERLINK "mailto:agus_mahendra@upi.edu" </w:instrText>
            </w:r>
            <w:r w:rsidRPr="00F221E4">
              <w:fldChar w:fldCharType="separate"/>
            </w:r>
            <w:r w:rsidRPr="00F221E4">
              <w:rPr>
                <w:rStyle w:val="Hyperlink"/>
                <w:rFonts w:ascii="Times New Roman" w:hAnsi="Times New Roman" w:cs="Times New Roman"/>
                <w:lang w:val="id-ID"/>
              </w:rPr>
              <w:t>agus_mahendra@upi.edu</w:t>
            </w:r>
            <w:r w:rsidRPr="00F221E4">
              <w:rPr>
                <w:rStyle w:val="Hyperlink"/>
                <w:rFonts w:ascii="Times New Roman" w:hAnsi="Times New Roman" w:cs="Times New Roman"/>
                <w:lang w:val="id-ID"/>
              </w:rPr>
              <w:fldChar w:fldCharType="end"/>
            </w:r>
          </w:p>
          <w:p w14:paraId="4558C6B3" w14:textId="77777777" w:rsidR="00F221E4" w:rsidRPr="00F221E4" w:rsidRDefault="00F221E4" w:rsidP="00F221E4">
            <w:pPr>
              <w:spacing w:beforeAutospacing="0" w:afterAutospacing="0"/>
              <w:jc w:val="both"/>
              <w:rPr>
                <w:rFonts w:ascii="Times New Roman" w:hAnsi="Times New Roman" w:cs="Times New Roman"/>
                <w:lang w:val="id-ID"/>
              </w:rPr>
            </w:pPr>
          </w:p>
          <w:p w14:paraId="79CB96F8" w14:textId="77777777" w:rsidR="008346BF" w:rsidRPr="0075125E" w:rsidRDefault="00F221E4" w:rsidP="00F221E4">
            <w:pPr>
              <w:autoSpaceDE w:val="0"/>
              <w:autoSpaceDN w:val="0"/>
              <w:adjustRightInd w:val="0"/>
              <w:spacing w:beforeAutospacing="0" w:afterAutospacing="0"/>
              <w:ind w:left="0" w:right="0"/>
              <w:jc w:val="left"/>
              <w:textAlignment w:val="center"/>
              <w:rPr>
                <w:rFonts w:ascii="Calisto MT" w:hAnsi="Calisto MT" w:cs="Times New Roman"/>
                <w:sz w:val="20"/>
                <w:szCs w:val="24"/>
                <w:vertAlign w:val="superscript"/>
                <w:lang w:val="id-ID"/>
              </w:rPr>
            </w:pPr>
            <w:r w:rsidRPr="00F221E4">
              <w:rPr>
                <w:rFonts w:ascii="Times New Roman" w:hAnsi="Times New Roman" w:cs="Times New Roman"/>
                <w:i/>
                <w:lang w:val="id-ID"/>
              </w:rPr>
              <w:t>*Prodi PGSD Penjas FPOK, Universitas Pendidikan Indonesia.</w:t>
            </w:r>
          </w:p>
        </w:tc>
      </w:tr>
      <w:tr w:rsidR="008346BF" w14:paraId="05086AED" w14:textId="77777777">
        <w:trPr>
          <w:trHeight w:val="6343"/>
        </w:trPr>
        <w:tc>
          <w:tcPr>
            <w:tcW w:w="2268" w:type="dxa"/>
            <w:gridSpan w:val="2"/>
            <w:tcBorders>
              <w:top w:val="single" w:sz="4" w:space="0" w:color="auto"/>
              <w:bottom w:val="single" w:sz="4" w:space="0" w:color="auto"/>
            </w:tcBorders>
          </w:tcPr>
          <w:p w14:paraId="435B8904" w14:textId="77777777" w:rsidR="008346BF" w:rsidRDefault="00790659">
            <w:pPr>
              <w:pStyle w:val="BasicParagraph"/>
              <w:spacing w:line="240" w:lineRule="auto"/>
              <w:rPr>
                <w:rFonts w:cs="Times New Roman"/>
                <w:position w:val="-18"/>
              </w:rPr>
            </w:pPr>
            <w:r>
              <w:rPr>
                <w:rFonts w:cs="Times New Roman"/>
                <w:b/>
                <w:bCs/>
                <w:position w:val="-20"/>
                <w:sz w:val="22"/>
                <w:szCs w:val="22"/>
              </w:rPr>
              <w:t>Info Artikel</w:t>
            </w:r>
          </w:p>
          <w:p w14:paraId="29A42723" w14:textId="77777777" w:rsidR="008346BF" w:rsidRDefault="00790659">
            <w:pPr>
              <w:pStyle w:val="BasicParagraph"/>
              <w:spacing w:line="276" w:lineRule="auto"/>
              <w:rPr>
                <w:rFonts w:cs="Times New Roman"/>
              </w:rPr>
            </w:pPr>
            <w:r>
              <w:rPr>
                <w:rFonts w:cs="Times New Roman"/>
              </w:rPr>
              <w:t>____________________</w:t>
            </w:r>
          </w:p>
          <w:p w14:paraId="197E2489" w14:textId="77777777" w:rsidR="008346BF" w:rsidRDefault="00790659">
            <w:pPr>
              <w:pStyle w:val="BasicParagraph"/>
              <w:spacing w:line="276" w:lineRule="auto"/>
              <w:rPr>
                <w:rFonts w:cs="Times New Roman"/>
                <w:position w:val="-6"/>
                <w:sz w:val="16"/>
                <w:szCs w:val="16"/>
              </w:rPr>
            </w:pPr>
            <w:r>
              <w:rPr>
                <w:rFonts w:cs="Times New Roman"/>
                <w:i/>
                <w:iCs/>
                <w:position w:val="-6"/>
                <w:sz w:val="16"/>
                <w:szCs w:val="16"/>
              </w:rPr>
              <w:t>Sejarah Artikel:</w:t>
            </w:r>
          </w:p>
          <w:p w14:paraId="174C65CD" w14:textId="6AA4541B" w:rsidR="008346BF" w:rsidRDefault="00283BE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 xml:space="preserve">Diterima </w:t>
            </w:r>
          </w:p>
          <w:p w14:paraId="68EA2EA1" w14:textId="2F616829" w:rsidR="008346BF" w:rsidRDefault="00283BE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 xml:space="preserve">Disetujui </w:t>
            </w:r>
          </w:p>
          <w:p w14:paraId="7B0BC96D" w14:textId="789B653E" w:rsidR="008346BF" w:rsidRDefault="00283BE9">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proofErr w:type="spellStart"/>
            <w:r>
              <w:rPr>
                <w:rFonts w:ascii="Calisto MT" w:hAnsi="Calisto MT" w:cs="Calisto MT"/>
                <w:color w:val="000000"/>
                <w:position w:val="-6"/>
                <w:sz w:val="16"/>
                <w:szCs w:val="16"/>
                <w:lang w:val="en-GB"/>
              </w:rPr>
              <w:t>Dipublikasikan</w:t>
            </w:r>
            <w:proofErr w:type="spellEnd"/>
          </w:p>
          <w:p w14:paraId="0E3B4CDE" w14:textId="77777777" w:rsidR="008346BF" w:rsidRDefault="00790659">
            <w:pPr>
              <w:pStyle w:val="BasicParagraph"/>
              <w:spacing w:line="276" w:lineRule="auto"/>
              <w:rPr>
                <w:rFonts w:cs="Times New Roman"/>
              </w:rPr>
            </w:pPr>
            <w:r>
              <w:rPr>
                <w:rFonts w:cs="Times New Roman"/>
              </w:rPr>
              <w:t>____________________</w:t>
            </w:r>
          </w:p>
          <w:p w14:paraId="14009447" w14:textId="17CE3168" w:rsidR="008346BF" w:rsidRDefault="00283BE9">
            <w:pPr>
              <w:pStyle w:val="BasicParagraph"/>
              <w:pBdr>
                <w:bottom w:val="single" w:sz="4" w:space="1" w:color="auto"/>
              </w:pBdr>
              <w:spacing w:line="276" w:lineRule="auto"/>
              <w:rPr>
                <w:rFonts w:cs="Times New Roman"/>
                <w:i/>
                <w:iCs/>
                <w:sz w:val="16"/>
                <w:szCs w:val="16"/>
              </w:rPr>
            </w:pPr>
            <w:r>
              <w:rPr>
                <w:rFonts w:cs="Times New Roman"/>
                <w:i/>
                <w:iCs/>
                <w:sz w:val="16"/>
                <w:szCs w:val="16"/>
              </w:rPr>
              <w:t xml:space="preserve">Kata </w:t>
            </w:r>
            <w:proofErr w:type="spellStart"/>
            <w:r>
              <w:rPr>
                <w:rFonts w:cs="Times New Roman"/>
                <w:i/>
                <w:iCs/>
                <w:sz w:val="16"/>
                <w:szCs w:val="16"/>
              </w:rPr>
              <w:t>Kunci</w:t>
            </w:r>
            <w:proofErr w:type="spellEnd"/>
            <w:r>
              <w:rPr>
                <w:rFonts w:cs="Times New Roman"/>
                <w:i/>
                <w:iCs/>
                <w:sz w:val="16"/>
                <w:szCs w:val="16"/>
              </w:rPr>
              <w:t xml:space="preserve"> </w:t>
            </w:r>
          </w:p>
          <w:p w14:paraId="5C4A1CED" w14:textId="77777777" w:rsidR="008346BF" w:rsidRDefault="00283BE9">
            <w:pPr>
              <w:pStyle w:val="BasicParagraph"/>
              <w:pBdr>
                <w:bottom w:val="single" w:sz="4" w:space="1" w:color="auto"/>
              </w:pBdr>
              <w:spacing w:line="276" w:lineRule="auto"/>
              <w:rPr>
                <w:rFonts w:ascii="Times New Roman" w:hAnsi="Times New Roman" w:cs="Times New Roman"/>
                <w:lang w:val="id-ID"/>
              </w:rPr>
            </w:pPr>
            <w:r>
              <w:rPr>
                <w:rFonts w:ascii="Times New Roman" w:hAnsi="Times New Roman" w:cs="Times New Roman"/>
                <w:lang w:val="id-ID"/>
              </w:rPr>
              <w:t>aktivitas jasmani; aktif secara fisik; pendidikan jasmani adaptif; SLB.</w:t>
            </w:r>
          </w:p>
          <w:p w14:paraId="22448824" w14:textId="77777777" w:rsidR="00283BE9" w:rsidRDefault="00283BE9">
            <w:pPr>
              <w:pStyle w:val="BasicParagraph"/>
              <w:pBdr>
                <w:bottom w:val="single" w:sz="4" w:space="1" w:color="auto"/>
              </w:pBdr>
              <w:spacing w:line="276" w:lineRule="auto"/>
              <w:rPr>
                <w:rFonts w:ascii="Times New Roman" w:hAnsi="Times New Roman" w:cs="Times New Roman"/>
                <w:lang w:val="id-ID"/>
              </w:rPr>
            </w:pPr>
          </w:p>
          <w:p w14:paraId="1AF11CF0" w14:textId="77777777" w:rsidR="00283BE9" w:rsidRDefault="00283BE9">
            <w:pPr>
              <w:pStyle w:val="BasicParagraph"/>
              <w:pBdr>
                <w:bottom w:val="single" w:sz="4" w:space="1" w:color="auto"/>
              </w:pBdr>
              <w:spacing w:line="276" w:lineRule="auto"/>
              <w:rPr>
                <w:rFonts w:cs="Times New Roman"/>
                <w:i/>
                <w:iCs/>
                <w:sz w:val="16"/>
                <w:szCs w:val="16"/>
              </w:rPr>
            </w:pPr>
            <w:r>
              <w:rPr>
                <w:rFonts w:cs="Times New Roman"/>
                <w:i/>
                <w:iCs/>
                <w:sz w:val="16"/>
                <w:szCs w:val="16"/>
              </w:rPr>
              <w:t>Keywords:</w:t>
            </w:r>
          </w:p>
          <w:p w14:paraId="2EEFE86C" w14:textId="435E5620" w:rsidR="00283BE9" w:rsidRDefault="00283BE9">
            <w:pPr>
              <w:pStyle w:val="BasicParagraph"/>
              <w:pBdr>
                <w:bottom w:val="single" w:sz="4" w:space="1" w:color="auto"/>
              </w:pBdr>
              <w:spacing w:line="276" w:lineRule="auto"/>
              <w:rPr>
                <w:rFonts w:cs="Times New Roman"/>
                <w:i/>
                <w:iCs/>
                <w:sz w:val="16"/>
                <w:szCs w:val="16"/>
              </w:rPr>
            </w:pPr>
            <w:r>
              <w:rPr>
                <w:rFonts w:cs="Times New Roman"/>
                <w:i/>
                <w:iCs/>
                <w:sz w:val="16"/>
                <w:szCs w:val="16"/>
              </w:rPr>
              <w:t>Physical activity, physically active, special education, adaptive physical education.</w:t>
            </w:r>
          </w:p>
          <w:p w14:paraId="44B44AC8" w14:textId="77777777" w:rsidR="00283BE9" w:rsidRDefault="00283BE9">
            <w:pPr>
              <w:pStyle w:val="BasicParagraph"/>
              <w:pBdr>
                <w:bottom w:val="single" w:sz="4" w:space="1" w:color="auto"/>
              </w:pBdr>
              <w:spacing w:line="276" w:lineRule="auto"/>
              <w:rPr>
                <w:rFonts w:cs="Times New Roman"/>
                <w:i/>
                <w:iCs/>
                <w:sz w:val="16"/>
                <w:szCs w:val="16"/>
              </w:rPr>
            </w:pPr>
          </w:p>
          <w:p w14:paraId="75452109" w14:textId="3A2790F7" w:rsidR="00283BE9" w:rsidRDefault="00283BE9">
            <w:pPr>
              <w:pStyle w:val="BasicParagraph"/>
              <w:pBdr>
                <w:bottom w:val="single" w:sz="4" w:space="1" w:color="auto"/>
              </w:pBdr>
              <w:spacing w:line="276" w:lineRule="auto"/>
              <w:rPr>
                <w:rFonts w:cs="Times New Roman"/>
                <w:bCs/>
                <w:sz w:val="16"/>
                <w:szCs w:val="16"/>
                <w:lang w:val="en-US"/>
              </w:rPr>
            </w:pPr>
          </w:p>
        </w:tc>
        <w:tc>
          <w:tcPr>
            <w:tcW w:w="6731" w:type="dxa"/>
            <w:gridSpan w:val="3"/>
            <w:tcBorders>
              <w:top w:val="single" w:sz="4" w:space="0" w:color="auto"/>
              <w:bottom w:val="single" w:sz="4" w:space="0" w:color="auto"/>
            </w:tcBorders>
          </w:tcPr>
          <w:p w14:paraId="78114DC7" w14:textId="77777777" w:rsidR="008346BF" w:rsidRDefault="00790659">
            <w:pPr>
              <w:pStyle w:val="BasicParagraph"/>
              <w:suppressAutoHyphens/>
              <w:spacing w:line="276" w:lineRule="auto"/>
              <w:rPr>
                <w:rFonts w:cs="Times New Roman"/>
                <w:sz w:val="24"/>
                <w:szCs w:val="24"/>
              </w:rPr>
            </w:pPr>
            <w:r>
              <w:rPr>
                <w:rFonts w:cs="Times New Roman"/>
                <w:b/>
                <w:bCs/>
                <w:position w:val="-18"/>
                <w:sz w:val="22"/>
                <w:szCs w:val="22"/>
              </w:rPr>
              <w:t>Abstrak</w:t>
            </w:r>
          </w:p>
          <w:p w14:paraId="4AE1C0B5" w14:textId="77777777" w:rsidR="008346BF" w:rsidRDefault="00790659">
            <w:pPr>
              <w:pStyle w:val="AbstakIndo"/>
              <w:suppressAutoHyphens/>
              <w:spacing w:line="276" w:lineRule="auto"/>
              <w:rPr>
                <w:rFonts w:ascii="Calisto MT" w:hAnsi="Calisto MT" w:cs="Times New Roman"/>
              </w:rPr>
            </w:pPr>
            <w:r>
              <w:rPr>
                <w:rFonts w:ascii="Calisto MT" w:hAnsi="Calisto MT" w:cs="Times New Roman"/>
              </w:rPr>
              <w:t>____________________________________________________________</w:t>
            </w:r>
          </w:p>
          <w:p w14:paraId="51AAAB81" w14:textId="77777777" w:rsidR="00F221E4" w:rsidRDefault="00F221E4" w:rsidP="00F221E4">
            <w:pPr>
              <w:spacing w:beforeAutospacing="0" w:afterAutospacing="0"/>
              <w:ind w:left="0"/>
              <w:jc w:val="both"/>
              <w:rPr>
                <w:rFonts w:ascii="Times New Roman" w:hAnsi="Times New Roman" w:cs="Times New Roman"/>
                <w:lang w:val="id-ID"/>
              </w:rPr>
            </w:pPr>
            <w:r w:rsidRPr="00F221E4">
              <w:rPr>
                <w:rFonts w:ascii="Times New Roman" w:hAnsi="Times New Roman" w:cs="Times New Roman"/>
                <w:lang w:val="id-ID"/>
              </w:rPr>
              <w:t xml:space="preserve">Perhatian terhadap anak berkebutuhan khusus dalam hal kebutuhan gerak dan tingkat keaktifan fisiknya ternyata belum terdukung oleh sistem penyediaan guru yang sesuai bidang studinya, yaitu guru bidang studi penjas adaptif. Penelusuran terhadap profil guru Penjas Adaptif di sekolah luar biasa mengungkapkan bahwa jumlah guru yang berlatar belakang pendidikan jasmani masih amat rendah, yaitu hanya sekitar 38 persen, dibandingkan dengan guru yang berasal dari Pendidikan Luar Biasa (PLB), yang mencapai 60,5 persen. Di samping itu, mereka juga mayoritas belum pernah mengikuti pembekalan atau pelatihan, yaitu berkisar di angka 86,4 persen. Nampaknya perlu ada keterbukaan dari pihak sekolah dan termasuk Kemendikbud, yang menyuarakan urgennya kebutuhan guru Pendidikan Jasmani Adaptif ini. Hal itu akan mendorong munculnya kebutuhan nasional, yang akan memicu keyakinan pihak perguruan tinggi untuk merespon secara kelembagaan, misalnya dengan mendirikan prodi Pendidikan Jasmani Adaptif, atau minimal mendorong prodi-prodi yang ada untuk membuka konsentrasi Penjas Adaptif yang bersifat on-off. </w:t>
            </w:r>
          </w:p>
          <w:p w14:paraId="1B826635" w14:textId="77777777" w:rsidR="00F221E4" w:rsidRPr="00F221E4" w:rsidRDefault="00F221E4" w:rsidP="00F221E4">
            <w:pPr>
              <w:spacing w:beforeAutospacing="0" w:afterAutospacing="0"/>
              <w:ind w:left="0"/>
              <w:jc w:val="both"/>
              <w:rPr>
                <w:rFonts w:ascii="Times New Roman" w:hAnsi="Times New Roman" w:cs="Times New Roman"/>
                <w:lang w:val="id-ID"/>
              </w:rPr>
            </w:pPr>
          </w:p>
          <w:p w14:paraId="7497B9C5" w14:textId="77777777" w:rsidR="008346BF" w:rsidRPr="0075125E" w:rsidRDefault="00790659">
            <w:pPr>
              <w:pStyle w:val="AbstakIndo"/>
              <w:pBdr>
                <w:bottom w:val="single" w:sz="12" w:space="1" w:color="auto"/>
              </w:pBdr>
              <w:suppressAutoHyphens/>
              <w:spacing w:line="276" w:lineRule="auto"/>
              <w:rPr>
                <w:rFonts w:ascii="Calisto MT" w:hAnsi="Calisto MT" w:cs="Times New Roman"/>
                <w:iCs/>
                <w:position w:val="-14"/>
                <w:sz w:val="22"/>
                <w:szCs w:val="22"/>
              </w:rPr>
            </w:pPr>
            <w:r w:rsidRPr="0075125E">
              <w:rPr>
                <w:rFonts w:ascii="Calisto MT" w:hAnsi="Calisto MT" w:cs="Times New Roman"/>
                <w:b/>
                <w:bCs/>
                <w:iCs/>
                <w:position w:val="-14"/>
                <w:sz w:val="22"/>
                <w:szCs w:val="22"/>
              </w:rPr>
              <w:t>Abstract</w:t>
            </w:r>
          </w:p>
          <w:p w14:paraId="7BBEB572" w14:textId="39848A41" w:rsidR="00F221E4" w:rsidRDefault="00F221E4" w:rsidP="00283BE9">
            <w:pPr>
              <w:spacing w:beforeAutospacing="0" w:afterAutospacing="0"/>
              <w:ind w:left="0"/>
              <w:jc w:val="both"/>
              <w:rPr>
                <w:rFonts w:ascii="Times New Roman" w:hAnsi="Times New Roman" w:cs="Times New Roman"/>
                <w:sz w:val="20"/>
                <w:szCs w:val="20"/>
                <w:lang w:val="id-ID"/>
              </w:rPr>
            </w:pPr>
            <w:r w:rsidRPr="000F0D8C">
              <w:rPr>
                <w:rFonts w:ascii="Times New Roman" w:hAnsi="Times New Roman" w:cs="Times New Roman"/>
                <w:sz w:val="20"/>
                <w:szCs w:val="20"/>
                <w:lang w:val="id-ID"/>
              </w:rPr>
              <w:t xml:space="preserve">Concerns to children with disabilities in terms of their needs for moving and level of physical activity has not been supported by a teacher supply system that is appropriate for their field of study, namely adaptive physical education teachers. A search toward teachers’ profiles of Adaptive Physical Education in special schools reveals that the number of specialist teachers with physical education backgrounds is still meagre, which is only around 38 per cent, compared to those graduated from Special Education Program, which more than 60.5 per cent. The majority of the teachers have never been given a chance to improve their PE teaching competency in the form of training (86,4 per cent). It seems, there should be an openness from those working in special schools and the Ministry of Education and Culture of the urgent need for this adaptive physical education teacher.  The statement will encourage the evolve of national urgency and drive all the stakeholders to respond to it institutionally, for instance with opening the </w:t>
            </w:r>
            <w:r w:rsidRPr="000F0D8C">
              <w:rPr>
                <w:rFonts w:ascii="Times New Roman" w:hAnsi="Times New Roman" w:cs="Times New Roman"/>
                <w:sz w:val="20"/>
                <w:szCs w:val="20"/>
                <w:lang w:val="id-ID"/>
              </w:rPr>
              <w:lastRenderedPageBreak/>
              <w:t>program for adaptive physical education or at least to pave the way with initially offering concentration for this adaptive PE under the generic PE program.</w:t>
            </w:r>
          </w:p>
          <w:p w14:paraId="5E43D26B" w14:textId="77777777" w:rsidR="008346BF" w:rsidRDefault="00F221E4">
            <w:pPr>
              <w:pStyle w:val="BasicParagraph"/>
              <w:suppressAutoHyphens/>
              <w:spacing w:line="276" w:lineRule="auto"/>
              <w:jc w:val="right"/>
              <w:rPr>
                <w:rFonts w:cs="Times New Roman"/>
              </w:rPr>
            </w:pPr>
            <w:r>
              <w:rPr>
                <w:rFonts w:cs="Times New Roman"/>
              </w:rPr>
              <w:t>© 2020</w:t>
            </w:r>
            <w:r w:rsidR="00790659">
              <w:rPr>
                <w:rFonts w:cs="Times New Roman"/>
              </w:rPr>
              <w:t xml:space="preserve"> </w:t>
            </w:r>
            <w:proofErr w:type="spellStart"/>
            <w:r w:rsidR="00790659">
              <w:rPr>
                <w:rFonts w:cs="Times New Roman"/>
              </w:rPr>
              <w:t>Universitas</w:t>
            </w:r>
            <w:proofErr w:type="spellEnd"/>
            <w:r w:rsidR="00790659">
              <w:rPr>
                <w:rFonts w:cs="Times New Roman"/>
              </w:rPr>
              <w:t xml:space="preserve"> </w:t>
            </w:r>
            <w:proofErr w:type="spellStart"/>
            <w:r w:rsidR="00790659">
              <w:rPr>
                <w:rFonts w:cs="Times New Roman"/>
              </w:rPr>
              <w:t>Pendidikan</w:t>
            </w:r>
            <w:proofErr w:type="spellEnd"/>
            <w:r w:rsidR="00790659">
              <w:rPr>
                <w:rFonts w:cs="Times New Roman"/>
              </w:rPr>
              <w:t xml:space="preserve"> Indonesia</w:t>
            </w:r>
          </w:p>
          <w:p w14:paraId="6AEC4463" w14:textId="77777777" w:rsidR="00872AFE" w:rsidRPr="00872AFE" w:rsidRDefault="00872AFE" w:rsidP="00872AFE">
            <w:pPr>
              <w:pStyle w:val="BasicParagraph"/>
              <w:suppressAutoHyphens/>
              <w:spacing w:line="276" w:lineRule="auto"/>
              <w:rPr>
                <w:rFonts w:cs="Times New Roman"/>
                <w:lang w:val="id-ID"/>
              </w:rPr>
            </w:pPr>
          </w:p>
        </w:tc>
      </w:tr>
      <w:tr w:rsidR="008346BF" w14:paraId="3EA42591" w14:textId="77777777">
        <w:tc>
          <w:tcPr>
            <w:tcW w:w="5219" w:type="dxa"/>
            <w:gridSpan w:val="3"/>
            <w:tcBorders>
              <w:top w:val="single" w:sz="4" w:space="0" w:color="auto"/>
            </w:tcBorders>
          </w:tcPr>
          <w:p w14:paraId="2EFABB5F" w14:textId="77777777" w:rsidR="008346BF" w:rsidRDefault="0079065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Pr>
                <w:rFonts w:ascii="Wingdings" w:hAnsi="Wingdings" w:cs="Wingdings"/>
                <w:color w:val="000000"/>
                <w:sz w:val="16"/>
                <w:szCs w:val="16"/>
                <w:vertAlign w:val="superscript"/>
                <w:lang w:val="en-GB"/>
              </w:rPr>
              <w:lastRenderedPageBreak/>
              <w:t></w:t>
            </w:r>
            <w:r>
              <w:rPr>
                <w:rFonts w:ascii="Calisto MT" w:hAnsi="Calisto MT" w:cs="Calisto MT"/>
                <w:color w:val="000000"/>
                <w:sz w:val="16"/>
                <w:szCs w:val="16"/>
                <w:lang w:val="en-GB"/>
              </w:rPr>
              <w:t xml:space="preserve"> Alamat korespondensi: </w:t>
            </w:r>
          </w:p>
          <w:p w14:paraId="63F30AF8" w14:textId="77777777" w:rsidR="008346BF" w:rsidRDefault="00790659" w:rsidP="00F221E4">
            <w:pPr>
              <w:pStyle w:val="BasicParagraph"/>
              <w:rPr>
                <w:rFonts w:cs="Times New Roman"/>
                <w:sz w:val="16"/>
                <w:szCs w:val="16"/>
              </w:rPr>
            </w:pPr>
            <w:r>
              <w:rPr>
                <w:sz w:val="16"/>
                <w:szCs w:val="16"/>
              </w:rPr>
              <w:t xml:space="preserve">E-mail: </w:t>
            </w:r>
            <w:r w:rsidR="00F221E4">
              <w:rPr>
                <w:sz w:val="16"/>
                <w:szCs w:val="16"/>
                <w:lang w:val="id-ID"/>
              </w:rPr>
              <w:t>agus_mahendra@upi.edu</w:t>
            </w:r>
            <w:r>
              <w:rPr>
                <w:sz w:val="16"/>
                <w:szCs w:val="16"/>
              </w:rPr>
              <w:t xml:space="preserve"> </w:t>
            </w:r>
          </w:p>
        </w:tc>
        <w:tc>
          <w:tcPr>
            <w:tcW w:w="3780" w:type="dxa"/>
            <w:gridSpan w:val="2"/>
            <w:tcBorders>
              <w:top w:val="single" w:sz="4" w:space="0" w:color="auto"/>
            </w:tcBorders>
          </w:tcPr>
          <w:p w14:paraId="7DF8B5AA" w14:textId="77777777" w:rsidR="008346BF" w:rsidRDefault="00790659">
            <w:pPr>
              <w:pStyle w:val="BasicParagraph"/>
              <w:jc w:val="right"/>
              <w:rPr>
                <w:lang w:val="en-US"/>
              </w:rPr>
            </w:pPr>
            <w:r>
              <w:t xml:space="preserve">ISSN 2614-5626 </w:t>
            </w:r>
          </w:p>
          <w:p w14:paraId="495E3856" w14:textId="77777777" w:rsidR="008346BF" w:rsidRDefault="008346BF">
            <w:pPr>
              <w:pStyle w:val="BasicParagraph"/>
              <w:jc w:val="right"/>
              <w:rPr>
                <w:rFonts w:cs="Times New Roman"/>
                <w:bCs/>
                <w:position w:val="-18"/>
                <w:sz w:val="22"/>
                <w:szCs w:val="22"/>
              </w:rPr>
            </w:pPr>
          </w:p>
        </w:tc>
      </w:tr>
    </w:tbl>
    <w:p w14:paraId="3A41FBDA" w14:textId="77777777" w:rsidR="008346BF" w:rsidRPr="00872AFE" w:rsidRDefault="008346BF">
      <w:pPr>
        <w:spacing w:before="0" w:beforeAutospacing="0" w:after="0" w:afterAutospacing="0" w:line="276" w:lineRule="auto"/>
        <w:ind w:left="0"/>
        <w:jc w:val="both"/>
        <w:rPr>
          <w:rFonts w:ascii="Calisto MT" w:hAnsi="Calisto MT" w:cs="Times New Roman"/>
          <w:lang w:val="id-ID"/>
        </w:rPr>
      </w:pPr>
    </w:p>
    <w:p w14:paraId="10679B50" w14:textId="77777777" w:rsidR="008346BF" w:rsidRDefault="008346BF">
      <w:pPr>
        <w:spacing w:before="0" w:beforeAutospacing="0" w:after="0" w:afterAutospacing="0" w:line="276" w:lineRule="auto"/>
        <w:ind w:left="0"/>
        <w:jc w:val="both"/>
        <w:rPr>
          <w:rFonts w:ascii="Calisto MT" w:hAnsi="Calisto MT" w:cs="Times New Roman"/>
          <w:lang w:val="id-ID"/>
        </w:rPr>
      </w:pPr>
    </w:p>
    <w:p w14:paraId="71BDF99E" w14:textId="77777777" w:rsidR="00EF66DF" w:rsidRPr="00EF66DF" w:rsidRDefault="00EF66DF">
      <w:pPr>
        <w:spacing w:before="0" w:beforeAutospacing="0" w:after="0" w:afterAutospacing="0" w:line="276" w:lineRule="auto"/>
        <w:ind w:left="0"/>
        <w:jc w:val="both"/>
        <w:rPr>
          <w:rFonts w:ascii="Calisto MT" w:hAnsi="Calisto MT" w:cs="Times New Roman"/>
          <w:lang w:val="id-ID"/>
        </w:rPr>
        <w:sectPr w:rsidR="00EF66DF" w:rsidRPr="00EF66DF">
          <w:headerReference w:type="even" r:id="rId11"/>
          <w:headerReference w:type="default" r:id="rId12"/>
          <w:footerReference w:type="first" r:id="rId13"/>
          <w:type w:val="nextColumn"/>
          <w:pgSz w:w="11907" w:h="16839" w:code="9"/>
          <w:pgMar w:top="1701" w:right="1701" w:bottom="1701" w:left="1701" w:header="720" w:footer="720" w:gutter="0"/>
          <w:pgNumType w:start="54"/>
          <w:cols w:space="720"/>
          <w:titlePg/>
          <w:docGrid w:linePitch="360"/>
        </w:sectPr>
      </w:pPr>
    </w:p>
    <w:p w14:paraId="201E0D06" w14:textId="77777777" w:rsidR="008346BF" w:rsidRDefault="00790659" w:rsidP="003F0EFC">
      <w:pPr>
        <w:pStyle w:val="Heading2"/>
        <w:spacing w:line="240" w:lineRule="auto"/>
        <w:rPr>
          <w:i/>
          <w:lang w:val="id-ID"/>
        </w:rPr>
      </w:pPr>
      <w:r>
        <w:lastRenderedPageBreak/>
        <w:t xml:space="preserve">Pendahuluan </w:t>
      </w:r>
      <w:r>
        <w:rPr>
          <w:i/>
        </w:rPr>
        <w:t>(INTRODUCTION)</w:t>
      </w:r>
    </w:p>
    <w:p w14:paraId="10BB2927" w14:textId="77777777" w:rsidR="00F221E4" w:rsidRPr="00C22551" w:rsidRDefault="00F221E4" w:rsidP="003F0EFC">
      <w:pPr>
        <w:spacing w:before="0" w:beforeAutospacing="0" w:after="0" w:afterAutospacing="0"/>
        <w:ind w:left="0" w:right="0" w:firstLine="284"/>
        <w:jc w:val="both"/>
        <w:rPr>
          <w:rFonts w:ascii="Times New Roman" w:hAnsi="Times New Roman" w:cs="Times New Roman"/>
          <w:lang w:val="id-ID"/>
        </w:rPr>
      </w:pPr>
      <w:r w:rsidRPr="00C22551">
        <w:rPr>
          <w:rFonts w:ascii="Times New Roman" w:hAnsi="Times New Roman" w:cs="Times New Roman"/>
          <w:lang w:val="id-ID"/>
        </w:rPr>
        <w:t>Kepedulian dan keprihatinan terhadap tingkat dan kualitas akivitas jasmani di kalangan anak-anak dan remaja sudah mulai meningkat. Hal itu ditunjukkan oleh hadirnya berbagai organisasi non-profit di tingkat dunia yang memperjuangkan agar anak aktif dan sehat</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{"citationItems":[{"id":"ITEM-1","itemData":{"DOI":"10.1016/j.jesf.2020.01.002","ISSN":"1728869X","abstract":"Background/objective: Participation in the Active Healthy Kids Global Alliance (AHKGA) Global Matrix initiative represents a significant work and resource investment for Report Card teams. The objective of this paper was to evaluate the process and findings of the Global Matrix 3.0 and formulate recommendations for improvement. Methods: The evaluation of the Global Matrix 3.0 was planned prior to its development and a list of potential process, impact, and outcome indicators were pre-identified. These indicators were informed by online surveys, direct reports, MailChimp's statistics, Google Analytics of the AHKGA website, and emails sent to the AHKGA Board of Directors. Results: Five online surveys were completed by 88%–100% of the targeted respondents. High satisfaction ratings were observed for most of the Global Matrix 3.0 methods, key steps, concepts, and the resources (e-blasts and website) provided by the AHKGA. A total of 496 open-ended comments were provided in the five surveys, including 199 comments reporting issue(s), and 38 reporting both positive feedback and issue(s). The participating Report Card teams successfully assigned a grade to each physical activity indicator, produced a Report Card document, and wrote a short Report Card article. Conclusion: This evaluation process allowed for the identification of needed improvements and the formulation of recommendations for future Global Matrix initiatives. This work highlighted the need for the development of physical activity behavior assessment tools that would be internationally adopted and culturally adaptable to varying contexts to improve the standardization of physical activity surveillance at the global scale.","author":[{"dropping-particle":"","family":"Aubert","given":"Salomé","non-dropping-particle":"","parse-names":false,"suffix":""},{"dropping-particle":"","family":"Barnes","given":"Joel D.","non-dropping-particle":"","parse-names":false,"suffix":""},{"dropping-particle":"","family":"Tremblay","given":"Mark S.","non-dropping-particle":"","parse-names":false,"suffix":""}],"container-title":"Journal of Exercise Science and Fitness","id":"ITEM-1","issue":"xxxx","issued":{"date-parts":[["2020"]]},"title":"Evaluation of the process and outcomes of the Global Matrix 3.0 of physical activity grades for children and youth","type":"article-journal"},"uris":["http://www.mendeley.com/documents/?uuid=293ea119-5de8-4299-8774-a6d14b382007"]}],"mendeley":{"formattedCitation":"(Aubert, Barnes, &amp; Tremblay, 2020)","plainTextFormattedCitation":"(Aubert, Barnes, &amp; Tremblay, 2020)","previouslyFormattedCitation":"(Aubert, Barnes, &amp; Tremblay, 2020)"},"properties":{"noteIndex":0},"schema":"https://github.com/citation-style-language/schema/raw/master/csl-citation.json"}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(Aubert, Barnes, &amp; Tremblay, 2020)</w:t>
      </w:r>
      <w:r>
        <w:rPr>
          <w:rFonts w:ascii="Times New Roman" w:hAnsi="Times New Roman" w:cs="Times New Roman"/>
          <w:lang w:val="id-ID"/>
        </w:rPr>
        <w:fldChar w:fldCharType="end"/>
      </w:r>
      <w:r w:rsidRPr="00C22551">
        <w:rPr>
          <w:rFonts w:ascii="Times New Roman" w:hAnsi="Times New Roman" w:cs="Times New Roman"/>
          <w:lang w:val="id-ID"/>
        </w:rPr>
        <w:t>. Baik sendiri-sendiri maupun secara bersamaan, mereka berupaya keras mendorong agar anak aktif secara fisik, baik dengan penyelenggaraan webinar maupun menerbitkan petunjuk yang dap</w:t>
      </w:r>
      <w:r>
        <w:rPr>
          <w:rFonts w:ascii="Times New Roman" w:hAnsi="Times New Roman" w:cs="Times New Roman"/>
          <w:lang w:val="id-ID"/>
        </w:rPr>
        <w:t>at digunakan sebagai pedoman. Di</w:t>
      </w:r>
      <w:r w:rsidRPr="00C22551">
        <w:rPr>
          <w:rFonts w:ascii="Times New Roman" w:hAnsi="Times New Roman" w:cs="Times New Roman"/>
          <w:lang w:val="id-ID"/>
        </w:rPr>
        <w:t xml:space="preserve"> antaranya dengan menetapkan batas minimal aktif secara fisik, misalnya, minimal 30 – 60 menit dalam sehari, selama 24 jam, 7 hari dalam seminggu</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{"citationItems":[{"id":"ITEM-1","itemData":{"DOI":"10.1016/S2352-4642(19)30323-2","ISSN":"23524642","abstract":"Background: Physical activity has many health benefits for young people. In 2018, WHO launched More Active People for a Healthier World, a new global action on physical activity, including new targets of a 15% relative reduction of global prevalence of insufficient physical activity by 2030 among adolescents and adults. We describe current prevalence and trends of insufficient physical activity among school-going adolescents aged 11–17 years by country, region, and globally. Methods: We did a pooled analysis of cross-sectional survey data that were collected through random sampling with a sample size of at least 100 individuals, were representative of a national or defined subnational population, and reported prevalence of of insufficient physical activity by sex in adolescents. Prevalence had to be reported for at least three of the years of age within the 10–19-year age range. We estimated the prevalence of insufficient physical activity in school-going adolescents aged 11–17 years (combined and by sex) for individual countries, for four World Bank income groups, nine regions, and globally for the years 2001–16. To derive a standard definition of insufficient physical activity and to adjust for urban-only survey coverage, we used regression models. We estimated time trends using multilevel mixed-effects modelling. Findings: We used data from 298 school-based surveys from 146 countries, territories, and areas including 1·6 million students aged 11–17 years. Globally, in 2016, 81·0% (95% uncertainty interval 77·8–87·7) of students aged 11–17 years were insufficiently physically active (77·6% [76·1–80·4] of boys and 84·7% [83·0–88·2] of girls). Although prevalence of insufficient physical activity significantly decreased between 2001 and 2016 for boys (from 80·1% [78·3–81·6] in 2001), there was no significant change for girls (from 85·1% [83·1–88·0] in 2001). There was no clear pattern according to country income group: insufficient activity prevalence in 2016 was 84·9% (82·6–88·2) in low-income countries, 79·3% (77·2–87·5) in lower–middle-income countries, 83·9% (79·5–89·2) in upper–middle-income countries, and 79·4% (74·0–86·2) in high-income countries. The region with the highest prevalence of insufficient activity in 2016 was high-income Asia Pacific for both boys (89·0%, 62·8–92·2) and girls (95·6%, 73·7–97·9). The regions with the lowest prevalence were high-income western countries for boys (72·1%, 71·1–73·6), and south Asia for girls (77·5%, 72·8…","author":[{"dropping-particle":"","family":"Guthold","given":"Regina","non-dropping-particle":"","parse-names":false,"suffix":""},{"dropping-particle":"","family":"Stevens","given":"Gretchen A.","non-dropping-particle":"","parse-names":false,"suffix":""},{"dropping-particle":"","family":"Riley","given":"Leanne M.","non-dropping-particle":"","parse-names":false,"suffix":""},{"dropping-particle":"","family":"Bull","given":"Fiona C.","non-dropping-particle":"","parse-names":false,"suffix":""}],"container-title":"The Lancet Child and Adolescent Health","id":"ITEM-1","issue":"1","issued":{"date-parts":[["2020"]]},"page":"23-35","publisher":"World Health Organization","title":"Global trends in insufficient physical activity among adolescents: a pooled analysis of 298 population-based surveys with 1·6 million participants","type":"article-journal","volume":"4"},"uris":["http://www.mendeley.com/documents/?uuid=d71bb50d-f65b-4e82-bfca-1e088582983e"]},{"id":"ITEM-2","itemData":{"ISBN":"9789241550536","abstract":"Uno de cada cinco niños sufre obesidad, una enfermedad crónica que empeora notablemente la calidad de vida y aumenta el riesgo de padecer, entre otras, enfermedades cardiovasculares, hipertensión y diabetes. Sin embargo, aún hay poca consciencia en la sociedad de la gravedad de esta epidemia, cuyo tratamiento más eficaz es la prevención. Para ello, la primera infancia constituye, según los expertos, una etapa crucial para la instauración de hábitos saludables y evitar desarrollar una obesidad que en la mayoría de los casos persiste hasta la adolescencia. Tanto que la Organización Mundial de la Salud (OMS) ha publicado este miércoles por primera vez una guía sobre actividad física, sedentarismo y sueño para niños de cero a cuatro años. A partir del año, recomienda realizar al menos tres horas de actividad física al día; nada de tiempo de pantallas hasta los dos años, y a partir de esa edad, lo menos posible, con una hora diaria como máximo.","author":[{"dropping-particle":"","family":"WHO","given":"","non-dropping-particle":"","parse-names":false,"suffix":""}],"container-title":"World Health Organization","id":"ITEM-2","issued":{"date-parts":[["2019"]]},"number-of-pages":"4","title":"WHO Guidelines on physical activity, sedentary behaviour","type":"book"},"uris":["http://www.mendeley.com/documents/?uuid=cd83cdf5-125a-4435-b455-cb0e34b69947"]}],"mendeley":{"formattedCitation":"(Guthold, Stevens, Riley, &amp; Bull, 2020; WHO, 2019)","plainTextFormattedCitation":"(Guthold, Stevens, Riley, &amp; Bull, 2020; WHO, 2019)","previouslyFormattedCitation":"(Guthold, Stevens, Riley, &amp; Bull, 2020; WHO, 2019)"},"properties":{"noteIndex":0},"schema":"https://github.com/citation-style-language/schema/raw/master/csl-citation.json"}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(Guthold, Stevens, Riley, &amp; Bull, 2020; WHO, 2019)</w:t>
      </w:r>
      <w:r>
        <w:rPr>
          <w:rFonts w:ascii="Times New Roman" w:hAnsi="Times New Roman" w:cs="Times New Roman"/>
          <w:lang w:val="id-ID"/>
        </w:rPr>
        <w:fldChar w:fldCharType="end"/>
      </w:r>
      <w:r w:rsidRPr="00C22551">
        <w:rPr>
          <w:rFonts w:ascii="Times New Roman" w:hAnsi="Times New Roman" w:cs="Times New Roman"/>
          <w:lang w:val="id-ID"/>
        </w:rPr>
        <w:t xml:space="preserve">. </w:t>
      </w:r>
    </w:p>
    <w:p w14:paraId="77266819" w14:textId="77777777" w:rsidR="00F221E4" w:rsidRPr="00C22551" w:rsidRDefault="00F221E4" w:rsidP="003F0EFC">
      <w:pPr>
        <w:spacing w:before="0" w:beforeAutospacing="0" w:after="0" w:afterAutospacing="0"/>
        <w:ind w:left="0" w:right="0" w:firstLine="284"/>
        <w:jc w:val="both"/>
        <w:rPr>
          <w:rFonts w:ascii="Times New Roman" w:hAnsi="Times New Roman" w:cs="Times New Roman"/>
          <w:lang w:val="id-ID"/>
        </w:rPr>
      </w:pPr>
      <w:r w:rsidRPr="00C22551">
        <w:rPr>
          <w:rFonts w:ascii="Times New Roman" w:hAnsi="Times New Roman" w:cs="Times New Roman"/>
          <w:lang w:val="id-ID"/>
        </w:rPr>
        <w:t xml:space="preserve">Di antara badan dunia tersebut, WHO adalah salah satu organisasi dunia yang aktif mengkampanyekan guideline nya tentang hidup aktif tersebut, yang dihubungkan </w:t>
      </w:r>
      <w:r w:rsidRPr="00C22551">
        <w:rPr>
          <w:rFonts w:ascii="Times New Roman" w:hAnsi="Times New Roman" w:cs="Times New Roman"/>
          <w:lang w:val="id-ID"/>
        </w:rPr>
        <w:lastRenderedPageBreak/>
        <w:t>langsung dengan kesehatan anak</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{"citationItems":[{"id":"ITEM-1","itemData":{"author":[{"dropping-particle":"","family":"Evidence","given":"Draft","non-dropping-particle":"","parse-names":false,"suffix":""},{"dropping-particle":"","family":"Only","given":"F O R Consultation","non-dropping-particle":"","parse-names":false,"suffix":""}],"id":"ITEM-1","issued":{"date-parts":[["2020"]]},"title":"EVIDENCE PROFILES PREPARED FOR THE 2020 WHO GUIDELINES ON PHYSICAL ACITVITY A ND SEDENTARY BEHAVIOUR FOR CHILDREN AND ADOLESCENTS, ADULTS AND OLDER ADULTS DRAFT Evidence profile-FOR CONSULTATION ONLY 2 DRAFT Evidence profile prepared for the WHO Guideline","type":"article-journal"},"uris":["http://www.mendeley.com/documents/?uuid=83c93817-9d53-4c03-8cbc-418f9b6fc0c2"]}],"mendeley":{"formattedCitation":"(Evidence &amp; Only, 2020)","plainTextFormattedCitation":"(Evidence &amp; Only, 2020)","previouslyFormattedCitation":"(Evidence &amp; Only, 2020)"},"properties":{"noteIndex":0},"schema":"https://github.com/citation-style-language/schema/raw/master/csl-citation.json"}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(Evidence &amp; Only, 2020)</w:t>
      </w:r>
      <w:r>
        <w:rPr>
          <w:rFonts w:ascii="Times New Roman" w:hAnsi="Times New Roman" w:cs="Times New Roman"/>
          <w:lang w:val="id-ID"/>
        </w:rPr>
        <w:fldChar w:fldCharType="end"/>
      </w:r>
      <w:r w:rsidRPr="00C22551">
        <w:rPr>
          <w:rFonts w:ascii="Times New Roman" w:hAnsi="Times New Roman" w:cs="Times New Roman"/>
          <w:lang w:val="id-ID"/>
        </w:rPr>
        <w:t xml:space="preserve">. Di samping itu, kita juga mengenal </w:t>
      </w:r>
      <w:r w:rsidRPr="00C22551">
        <w:rPr>
          <w:rFonts w:ascii="Times New Roman" w:hAnsi="Times New Roman" w:cs="Times New Roman"/>
          <w:i/>
          <w:lang w:val="id-ID"/>
        </w:rPr>
        <w:t>Active Healthy Kids Global Alliance (AHKGA</w:t>
      </w:r>
      <w:r w:rsidRPr="00C22551">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{"citationItems":[{"id":"ITEM-1","itemData":{"DOI":"10.1123/jpah.2018-0472","ISSN":"15435476","PMID":"30475137","abstract":"Background: Accumulating sufficient moderate to vigorous physical activity is recognized as a key determinant of physical, physiological, developmental, mental, cognitive, and social health among children and youth (aged 5-17 y). The Global Matrix 3.0 of Report Card grades on physical activity was developed to achieve a better understanding of the global variation in child and youth physical activity and associated supports. Methods: Work groups from 49 countries followed harmonized procedures to develop their Report Cards by grading 10 common indicators using the best available data. The participating countries were divided into 3 categories using the United Nations' human development index (HDI) classification (low or medium, high, and very high HDI). Results: A total of 490 grades, including 369 letter grades and 121 incomplete grades, were assigned by the 49 work groups. Overall, an average grade of \"C-,\" \"D+,\" and \"C-\" was obtained for the low and medium HDI countries, high HDI countries, and very high HDI countries, respectively. Conclusions: The present study provides rich new evidence showing that the situation regarding the physical activity of children and youth is a concern worldwide. Strategic public investments to implement effective interventions to increase physical activity opportunities are needed.","author":[{"dropping-particle":"","family":"Aubert","given":"Salomé","non-dropping-particle":"","parse-names":false,"suffix":""},{"dropping-particle":"","family":"Barnes","given":"Joel D.","non-dropping-particle":"","parse-names":false,"suffix":""},{"dropping-particle":"","family":"Abdeta","given":"Chalchisa","non-dropping-particle":"","parse-names":false,"suffix":""},{"dropping-particle":"","family":"Nader","given":"Patrick Abi","non-dropping-particle":"","parse-names":false,"suffix":""},{"dropping-particle":"","family":"Adeniyi","given":"Ade F.","non-dropping-particle":"","parse-names":false,"suffix":""},{"dropping-particle":"","family":"Aguilar-Farias","given":"Nicolas","non-dropping-particle":"","parse-names":false,"suffix":""},{"dropping-particle":"","family":"Tenesaca","given":"Dolores S.Andrade","non-dropping-particle":"","parse-names":false,"suffix":""},{"dropping-particle":"","family":"Bhawra","given":"Jasmin","non-dropping-particle":"","parse-names":false,"suffix":""},{"dropping-particle":"","family":"Brazo-Sayavera","given":"Javier","non-dropping-particle":"","parse-names":false,"suffix":""},{"dropping-particle":"","family":"Cardon","given":"Greet","non-dropping-particle":"","parse-names":false,"suffix":""},{"dropping-particle":"","family":"Chang","given":"Chen Kang","non-dropping-particle":"","parse-names":false,"suffix":""},{"dropping-particle":"","family":"Delisle Nyström","given":"Christine","non-dropping-particle":"","parse-names":false,"suffix":""},{"dropping-particle":"","family":"Demetriou","given":"Yolanda","non-dropping-particle":"","parse-names":false,"suffix":""},{"dropping-particle":"","family":"Draper","given":"Catherine E.","non-dropping-particle":"","parse-names":false,"suffix":""},{"dropping-particle":"","family":"Edwards","given":"Lowri","non-dropping-particle":"","parse-names":false,"suffix":""},{"dropping-particle":"","family":"Emeljanovas","given":"Arunas","non-dropping-particle":"","parse-names":false,"suffix":""},{"dropping-particle":"","family":"Gába","given":"Aleš","non-dropping-particle":"","parse-names":false,"suffix":""},{"dropping-particle":"","family":"Galaviz","given":"Karla I.","non-dropping-particle":"","parse-names":false,"suffix":""},{"dropping-particle":"","family":"González","given":"Silvia A.","non-dropping-particle":"","parse-names":false,"suffix":""},{"dropping-particle":"","family":"Herrera-Cuenca","given":"Marianella","non-dropping-particle":"","parse-names":false,"suffix":""},{"dropping-particle":"","family":"Huang","given":"Wendy Y.","non-dropping-particle":"","parse-names":false,"suffix":""},{"dropping-particle":"","family":"Ibrahim","given":"Izzeldin A.E.","non-dropping-particle":"","parse-names":false,"suffix":""},{"dropping-particle":"","family":"Jürimäe","given":"Jaak","non-dropping-particle":"","parse-names":false,"suffix":""},{"dropping-particle":"","family":"Kämppi","given":"Katariina","non-dropping-particle":"","parse-names":false,"suffix":""},{"dropping-particle":"","family":"Katapally","given":"Tarun R.","non-dropping-particle":"","parse-names":false,"suffix":""},{"dropping-particle":"","family":"Katewongsa","given":"Piyawat","non-dropping-particle":"","parse-names":false,"suffix":""},{"dropping-particle":"","family":"Katzmarzyk","given":"Peter T.","non-dropping-particle":"","parse-names":false,"suffix":""},{"dropping-particle":"","family":"Khan","given":"Asaduzzaman","non-dropping-particle":"","parse-names":false,"suffix":""},{"dropping-particle":"","family":"Korcz","given":"Agata","non-dropping-particle":"","parse-names":false,"suffix":""},{"dropping-particle":"","family":"Kim","given":"Yeon Soo","non-dropping-particle":"","parse-names":false,"suffix":""},{"dropping-particle":"","family":"Lambert","given":"Estelle","non-dropping-particle":"","parse-names":false,"suffix":""},{"dropping-particle":"","family":"Lee","given":"Eun Young","non-dropping-particle":"","parse-names":false,"suffix":""},{"dropping-particle":"","family":"Löf","given":"Marie","non-dropping-particle":"","parse-names":false,"suffix":""},{"dropping-particle":"","family":"Loney","given":"Tom","non-dropping-particle":"","parse-names":false,"suffix":""},{"dropping-particle":"","family":"López-Taylor","given":"Juan","non-dropping-particle":"","parse-names":false,"suffix":""},{"dropping-particle":"","family":"Liu","given":"Yang","non-dropping-particle":"","parse-names":false,"suffix":""},{"dropping-particle":"","family":"Makaza","given":"Daga","non-dropping-particle":"","parse-names":false,"suffix":""},{"dropping-particle":"","family":"Manyanga","given":"Taru","non-dropping-particle":"","parse-names":false,"suffix":""},{"dropping-particle":"","family":"Mileva","given":"Bilyana","non-dropping-particle":"","parse-names":false,"suffix":""},{"dropping-particle":"","family":"Morrison","given":"Shawnda A.","non-dropping-particle":"","parse-names":false,"suffix":""},{"dropping-particle":"","family":"Mota","given":"Jorge","non-dropping-particle":"","parse-names":false,"suffix":""},{"dropping-particle":"","family":"Nyawornota","given":"Vida K.","non-dropping-particle":"","parse-names":false,"suffix":""},{"dropping-particle":"","family":"Ocansey","given":"Reginald","non-dropping-particle":"","parse-names":false,"suffix":""},{"dropping-particle":"","family":"Reilly","given":"John J.","non-dropping-particle":"","parse-names":false,"suffix":""},{"dropping-particle":"","family":"Roman-Viñas","given":"Blanca","non-dropping-particle":"","parse-names":false,"suffix":""},{"dropping-particle":"","family":"Silva","given":"Diego Augusto Santos","non-dropping-particle":"","parse-names":false,"suffix":""},{"dropping-particle":"","family":"Saonuam","given":"Pairoj","non-dropping-particle":"","parse-names":false,"suffix":""},{"dropping-particle":"","family":"Scriven","given":"John","non-dropping-particle":"","parse-names":false,"suffix":""},{"dropping-particle":"","family":"Seghers","given":"Jan","non-dropping-particle":"","parse-names":false,"suffix":""},{"dropping-particle":"","family":"Schranz","given":"Natasha","non-dropping-particle":"","parse-names":false,"suffix":""},{"dropping-particle":"","family":"Skovgaard","given":"Thomas","non-dropping-particle":"","parse-names":false,"suffix":""},{"dropping-particle":"","family":"Smith","given":"Melody","non-dropping-particle":"","parse-names":false,"suffix":""},{"dropping-particle":"","family":"Standage","given":"Martyn","non-dropping-particle":"","parse-names":false,"suffix":""},{"dropping-particle":"","family":"Starc","given":"Gregor","non-dropping-particle":"","parse-names":false,"suffix":""},{"dropping-particle":"","family":"Stratton","given":"Gareth","non-dropping-particle":"","parse-names":false,"suffix":""},{"dropping-particle":"","family":"Subedi","given":"Narayan","non-dropping-particle":"","parse-names":false,"suffix":""},{"dropping-particle":"","family":"Takken","given":"Tim","non-dropping-particle":"","parse-names":false,"suffix":""},{"dropping-particle":"","family":"Tammelin","given":"Tuija","non-dropping-particle":"","parse-names":false,"suffix":""},{"dropping-particle":"","family":"Tanaka","given":"Chiaki","non-dropping-particle":"","parse-names":false,"suffix":""},{"dropping-particle":"","family":"Thivel","given":"David","non-dropping-particle":"","parse-names":false,"suffix":""},{"dropping-particle":"","family":"Tladi","given":"Dawn","non-dropping-particle":"","parse-names":false,"suffix":""},{"dropping-particle":"","family":"Tyler","given":"Richard","non-dropping-particle":"","parse-names":false,"suffix":""},{"dropping-particle":"","family":"Uddin","given":"Riaz","non-dropping-particle":"","parse-names":false,"suffix":""},{"dropping-particle":"","family":"Williams","given":"Alun","non-dropping-particle":"","parse-names":false,"suffix":""},{"dropping-particle":"","family":"Wong","given":"Stephen H.S.","non-dropping-particle":"","parse-names":false,"suffix":""},{"dropping-particle":"","family":"Wu","given":"Ching Lin","non-dropping-particle":"","parse-names":false,"suffix":""},{"dropping-particle":"","family":"Zembura","given":"Paweł","non-dropping-particle":"","parse-names":false,"suffix":""},{"dropping-particle":"","family":"Tremblay","given":"Mark S.","non-dropping-particle":"","parse-names":false,"suffix":""}],"container-title":"Journal of Physical Activity and Health","id":"ITEM-1","issue":"Suppl 2","issued":{"date-parts":[["2018"]]},"page":"S251-S273","title":"Global Matrix 3.0 physical activity Report Card grades for children and youth: Results and analysis from 49 countries","type":"article-journal","volume":"15"},"uris":["http://www.mendeley.com/documents/?uuid=3ca0b374-009b-4e4f-9ddf-9ef8ce57585c"]}],"mendeley":{"formattedCitation":"(Aubert et al., 2018)","plainTextFormattedCitation":"(Aubert et al., 2018)","previouslyFormattedCitation":"(Aubert et al., 2018)"},"properties":{"noteIndex":0},"schema":"https://github.com/citation-style-language/schema/raw/master/csl-citation.json"}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(Aubert et al., 2018)</w:t>
      </w:r>
      <w:r>
        <w:rPr>
          <w:rFonts w:ascii="Times New Roman" w:hAnsi="Times New Roman" w:cs="Times New Roman"/>
          <w:lang w:val="id-ID"/>
        </w:rPr>
        <w:fldChar w:fldCharType="end"/>
      </w:r>
      <w:r>
        <w:rPr>
          <w:rFonts w:ascii="Times New Roman" w:hAnsi="Times New Roman" w:cs="Times New Roman"/>
          <w:lang w:val="id-ID"/>
        </w:rPr>
        <w:t xml:space="preserve"> </w:t>
      </w:r>
      <w:r w:rsidRPr="00C22551">
        <w:rPr>
          <w:rFonts w:ascii="Times New Roman" w:hAnsi="Times New Roman" w:cs="Times New Roman"/>
          <w:lang w:val="id-ID"/>
        </w:rPr>
        <w:t xml:space="preserve">yang dengan Negara anggotanya yang berjumlah sekitar 51 negara (dan masih terus bertambah) meluncurkan </w:t>
      </w:r>
      <w:r w:rsidRPr="00C22551">
        <w:rPr>
          <w:rFonts w:ascii="Times New Roman" w:hAnsi="Times New Roman" w:cs="Times New Roman"/>
          <w:i/>
          <w:lang w:val="id-ID"/>
        </w:rPr>
        <w:t xml:space="preserve">global matrix </w:t>
      </w:r>
      <w:r w:rsidRPr="00C22551">
        <w:rPr>
          <w:rFonts w:ascii="Times New Roman" w:hAnsi="Times New Roman" w:cs="Times New Roman"/>
          <w:lang w:val="id-ID"/>
        </w:rPr>
        <w:t xml:space="preserve">dan </w:t>
      </w:r>
      <w:r w:rsidRPr="00C22551">
        <w:rPr>
          <w:rFonts w:ascii="Times New Roman" w:hAnsi="Times New Roman" w:cs="Times New Roman"/>
          <w:i/>
          <w:lang w:val="id-ID"/>
        </w:rPr>
        <w:t>report card</w:t>
      </w:r>
      <w:r w:rsidRPr="00C22551">
        <w:rPr>
          <w:rFonts w:ascii="Times New Roman" w:hAnsi="Times New Roman" w:cs="Times New Roman"/>
          <w:lang w:val="id-ID"/>
        </w:rPr>
        <w:t xml:space="preserve">-nya. Kemudian tidak kalah pentingnya, organisasi yang menyebut diri sebagai </w:t>
      </w:r>
      <w:r w:rsidRPr="00C22551">
        <w:rPr>
          <w:rFonts w:ascii="Times New Roman" w:hAnsi="Times New Roman" w:cs="Times New Roman"/>
          <w:i/>
          <w:lang w:val="id-ID"/>
        </w:rPr>
        <w:t xml:space="preserve">Sport for Life </w:t>
      </w:r>
      <w:r w:rsidRPr="00C22551">
        <w:rPr>
          <w:rFonts w:ascii="Times New Roman" w:hAnsi="Times New Roman" w:cs="Times New Roman"/>
          <w:lang w:val="id-ID"/>
        </w:rPr>
        <w:t xml:space="preserve">dan </w:t>
      </w:r>
      <w:r w:rsidRPr="00C22551">
        <w:rPr>
          <w:rFonts w:ascii="Times New Roman" w:hAnsi="Times New Roman" w:cs="Times New Roman"/>
          <w:i/>
          <w:lang w:val="id-ID"/>
        </w:rPr>
        <w:t>International Physical Literacy Association</w:t>
      </w:r>
      <w:r w:rsidRPr="00C22551">
        <w:rPr>
          <w:rFonts w:ascii="Times New Roman" w:hAnsi="Times New Roman" w:cs="Times New Roman"/>
          <w:lang w:val="id-ID"/>
        </w:rPr>
        <w:t xml:space="preserve"> (IPLA), pun aktif menyerukan perlu dan pentingnya aktivitas jasmani bagi anak</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{"citationItems":[{"id":"ITEM-1","itemData":{"DOI":"10.1123/jtpe.2018-0131","ISBN":"9781138571556","ISSN":"15432769","abstract":"This study considers the implications for teachers of physical education of adopting physical literacy as the focus of their work. These implications arise from the philosophical underpinning of the concept, from the definition of physical literacy and are in line with the mission of the International Physical Literacy Association. In the first section of this study, recommendations stemming from the philosophical roots of the concept will be outlined in brief. The other three sections will demonstrate how this philosophical basis and the definition of physical literacy should inform, first, lesson and unit content; second, teaching approaches; and, finally, curriculum planning. Unpacking the implications and what physical literacy looks like in practice is essential if teachers are to begin to incorporate physical literacy within their practice.","author":[{"dropping-particle":"","family":"Durden-Myers","given":"Elizabeth J.","non-dropping-particle":"","parse-names":false,"suffix":""},{"dropping-particle":"","family":"Green","given":"Nigel R.","non-dropping-particle":"","parse-names":false,"suffix":""},{"dropping-particle":"","family":"Whitehead","given":"Margaret E.","non-dropping-particle":"","parse-names":false,"suffix":""}],"container-title":"Journal of Teaching in Physical Education","id":"ITEM-1","issue":"3","issued":{"date-parts":[["2018"]]},"page":"262-271","title":"Implications for promoting physical literacy","type":"article-journal","volume":"37"},"uris":["http://www.mendeley.com/documents/?uuid=641aa0b2-65bd-40e6-a246-3c00bb3a78d1"]},{"id":"ITEM-2","itemData":{"DOI":"10.1007/s40279-016-0560-7","ISSN":"11792035","PMID":"27365029","abstract":"Background: The concept of physical literacy has stimulated increased research attention in recent years—being deployed in physical education, sport participation, and the promotion of physical activity. Independent research groups currently operationalize the construct differently. Objective: The purpose of this systematic review was to conduct a systematic review of the physical literacy construct, as reflected in contemporary research literature. Methods: Five databases were searched using the preferred reporting items for systematic reviews and meta-analyses (PRISMA) guidelines for systematic reviews. Inclusion criteria were English language, peer reviewed, published by March 2016, and seeking to conceptualize physical literacy. Articles that met these criteria were analyzed in relation to three core areas: properties/attributes, philosophical foundations and theoretical associations with other constructs. A total of 50 published articles met the inclusion criteria and were analyzed qualitatively using inductive thematic analysis. Results: The thematic analysis addressed the three core areas. Under definitions, core attributes that define physical literacy were identified, as well as areas of conflict between different approaches currently being adopted. One relatively clear philosophical approach was prominent in approximately half of the papers, based on a monist/holistic ontology and phenomenological epistemology. Finally, the analysis identified a number of theoretical associations, including health, physical activity and academic performance. Conclusions: Current literature contains different representations of the physical literacy construct. The costs and benefits of adopting an exclusive approach versus pluralism are considered. Recommendations for both researchers and practitioners focus on identifying and clearly articulating the definitions, philosophical assumptions and expected outcomes prior to evaluating the effectiveness of this emerging concept.","author":[{"dropping-particle":"","family":"Edwards","given":"Lowri C.","non-dropping-particle":"","parse-names":false,"suffix":""},{"dropping-particle":"","family":"Bryant","given":"Anna S.","non-dropping-particle":"","parse-names":false,"suffix":""},{"dropping-particle":"","family":"Keegan","given":"Richard J.","non-dropping-particle":"","parse-names":false,"suffix":""},{"dropping-particle":"","family":"Morgan","given":"Kevin","non-dropping-particle":"","parse-names":false,"suffix":""},{"dropping-particle":"","family":"Jones","given":"Anwen M.","non-dropping-particle":"","parse-names":false,"suffix":""}],"container-title":"Sports Medicine","id":"ITEM-2","issue":"1","issued":{"date-parts":[["2017"]]},"page":"113-126","publisher":"Springer International Publishing","title":"Definitions, Foundations and Associations of Physical Literacy: A Systematic Review","type":"article-journal","volume":"47"},"uris":["http://www.mendeley.com/documents/?uuid=5a3df3ee-2f12-4d08-987d-1f6b0a7a24c1"]}],"mendeley":{"formattedCitation":"(Durden-Myers, Green, &amp; Whitehead, 2018; Edwards, Bryant, Keegan, Morgan, &amp; Jones, 2017)","plainTextFormattedCitation":"(Durden-Myers, Green, &amp; Whitehead, 2018; Edwards, Bryant, Keegan, Morgan, &amp; Jones, 2017)","previouslyFormattedCitation":"(Durden-Myers, Green, &amp; Whitehead, 2018; Edwards, Bryant, Keegan, Morgan, &amp; Jones, 2017)"},"properties":{"noteIndex":0},"schema":"https://github.com/citation-style-language/schema/raw/master/csl-citation.json"}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(Durden-Myers, Green, &amp; Whitehead, 2018; Edwards, Bryant, Keegan, Morgan, &amp; Jones, 2017)</w:t>
      </w:r>
      <w:r>
        <w:rPr>
          <w:rFonts w:ascii="Times New Roman" w:hAnsi="Times New Roman" w:cs="Times New Roman"/>
          <w:lang w:val="id-ID"/>
        </w:rPr>
        <w:fldChar w:fldCharType="end"/>
      </w:r>
      <w:r w:rsidRPr="00C22551">
        <w:rPr>
          <w:rFonts w:ascii="Times New Roman" w:hAnsi="Times New Roman" w:cs="Times New Roman"/>
          <w:lang w:val="id-ID"/>
        </w:rPr>
        <w:t>.</w:t>
      </w:r>
    </w:p>
    <w:p w14:paraId="17748A5C" w14:textId="77777777" w:rsidR="00F221E4" w:rsidRPr="00C22551" w:rsidRDefault="00F221E4" w:rsidP="003F0EFC">
      <w:pPr>
        <w:spacing w:before="0" w:beforeAutospacing="0" w:after="0" w:afterAutospacing="0"/>
        <w:ind w:left="0" w:right="0" w:firstLine="284"/>
        <w:jc w:val="both"/>
        <w:rPr>
          <w:rFonts w:ascii="Times New Roman" w:eastAsia="Calibri" w:hAnsi="Times New Roman" w:cs="Times New Roman"/>
          <w:lang w:val="id-ID"/>
        </w:rPr>
      </w:pPr>
      <w:r w:rsidRPr="00C22551">
        <w:rPr>
          <w:rFonts w:ascii="Times New Roman" w:hAnsi="Times New Roman" w:cs="Times New Roman"/>
          <w:lang w:val="id-ID"/>
        </w:rPr>
        <w:t>Di Indonesia kondisinya agak berbeda. Gema keprihatinan tersebut kurang terasa, karena baik instansi pemerintah dan organisasi lainnya s</w:t>
      </w:r>
      <w:r>
        <w:rPr>
          <w:rFonts w:ascii="Times New Roman" w:hAnsi="Times New Roman" w:cs="Times New Roman"/>
          <w:lang w:val="id-ID"/>
        </w:rPr>
        <w:t>e</w:t>
      </w:r>
      <w:r w:rsidRPr="00C22551">
        <w:rPr>
          <w:rFonts w:ascii="Times New Roman" w:hAnsi="Times New Roman" w:cs="Times New Roman"/>
          <w:lang w:val="id-ID"/>
        </w:rPr>
        <w:t>perti tidak menyadari hal tersebut. Seperti tidak ada kekhawatiran sama sekali bahwa rendahnya keaktifan fisik dari anak-anak akan berakibat pada menurunnya berbagai kapasitas anak</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{"citationItems":[{"id":"ITEM-1","itemData":{"DOI":"10.1093/her/cyr107","ISSN":"14653648","abstract":"Process evaluation is an assessment of the implementation of an intervention. A process evaluation component was embedded in the HEALTHY study, a primary prevention trial for Type 2 diabetes implemented over 3 years in 21 middle schools across the United States. The HEALTHY physical education (PE) intervention aimed at maximizing student engagement in moderate-to-vigorous physical activity through delivery of structured lesson plans by PE teachers. Process evaluation data collected via class observations and interventionist interviews assessed fidelity, dose delivered, implementor participation, dose received and barriers. Process evaluation results indicate a high level of fidelity in implementing HEALTHY PE activities and offering 225 min of PE every 10 school days. Concerning dose delivered, students were active for approximately 33 min of class, representing an average of 61% of the class time. Results also indicate that PE teachers were generally engaged in implementing the HEALTHY PE curriculum. Data on dose received showed that students were highly engaged with the PE intervention; however, student misbehavior was the most common barrier observed during classes. Other barriers included teacher disengagement, large classes, limited gym space and poor classroom management. Findings suggest that the PE intervention was generally implemented and received as intended despite several barriers.","author":[{"dropping-particle":"","family":"Hall","given":"William J.","non-dropping-particle":"","parse-names":false,"suffix":""},{"dropping-particle":"","family":"Zeveloff","given":"Abigail","non-dropping-particle":"","parse-names":false,"suffix":""},{"dropping-particle":"","family":"Steckler","given":"Allan","non-dropping-particle":"","parse-names":false,"suffix":""},{"dropping-particle":"","family":"Schneider","given":"Margaret","non-dropping-particle":"","parse-names":false,"suffix":""},{"dropping-particle":"","family":"Thompson","given":"Deborah","non-dropping-particle":"","parse-names":false,"suffix":""},{"dropping-particle":"","family":"Pham","given":"Trang","non-dropping-particle":"","parse-names":false,"suffix":""},{"dropping-particle":"","family":"Volpe","given":"Stella L.","non-dropping-particle":"","parse-names":false,"suffix":""},{"dropping-particle":"","family":"Hindes","given":"Katie","non-dropping-particle":"","parse-names":false,"suffix":""},{"dropping-particle":"","family":"Sleigh","given":"Adriana","non-dropping-particle":"","parse-names":false,"suffix":""},{"dropping-particle":"","family":"McMurray","given":"Robert G.","non-dropping-particle":"","parse-names":false,"suffix":""},{"dropping-particle":"","family":"HEALTHY Study Group","given":"","non-dropping-particle":"","parse-names":false,"suffix":""}],"container-title":"Health education research","id":"ITEM-1","issue":"2","issued":{"date-parts":[["2012"]]},"page":"307-318","title":"Process evaluation results from the HEALTHY physical education intervention.","type":"article-journal","volume":"27"},"uris":["http://www.mendeley.com/documents/?uuid=775b94ff-abc3-4f7f-9012-a1dee74cab64"]},{"id":"ITEM-2","itemData":{"DOI":"10.1093/geronb/56.6.S335","ISSN":"10795014","abstract":"Objectives. This research examined whether engagement with life, defined as involvement in social, leisure, and productive activities, produced a survival advantage among oldest old persons in Sweden. Survival was investigated with respect to activities that involved (a) social integration, (b) physical mobility, and (c) neither social nor physical aspects. The authors also investigated the degree to which any observed survival benefits were related to prior health differences that select older adults into active roles. Methods. Baseline data derived from the Swedish Panel Study of Living Conditions of the Oldest Old, a nationally representative sample of persons aged 77 years and older living in Sweden in 1992. The authors used factor analysis to apply a simplifying measurement structure to frequency of participation in 10 leisure activities. They used Cox proportional hazard regression to estimate the relative effects of activity factors and other independent variables on the logged hazard rate of mortality up to 1996. Results. Analyses revealed 4 domains of activities that lie along 2 basic dimensions: solitary-social and sedentary-active. Among men, only participation in activities that were both solitary and active was significantly associated with reduced mortality risk when health variables were controlled. Among women, none of the activity domains was significant when health variables were controlled. For the entire sample, greater participation in solitary-active activities significantly reduced risk of mortality when all other activity domains and health factors were controlled. Discussion. Although most of the observed associations between activity involvement and survival are a byproduct of the confound between poor initial health and low activity levels, solitary activities have a positive influence on the survival of very old individuals, especially men, suggesting that nonsocial aspects of activities may promote health and longevity in late old age. © 2001 The Gerontological Society of America .","author":[{"dropping-particle":"","family":"Lennartsson","given":"C.","non-dropping-particle":"","parse-names":false,"suffix":""},{"dropping-particle":"","family":"Silverstein","given":"M.","non-dropping-particle":"","parse-names":false,"suffix":""}],"container-title":"Journals of Gerontology - Series B Psychological Sciences and Social Sciences","id":"ITEM-2","issue":"6","issued":{"date-parts":[["2001"]]},"page":"335-342","title":"Does engagement with life enhance survival of elderly people in sweden? The role of social and leisure activities","type":"article-journal","volume":"56"},"uris":["http://www.mendeley.com/documents/?uuid=ad3b7f96-076e-493c-a649-59addd7bf573"]}],"mendeley":{"formattedCitation":"(Hall et al., 2012; Lennartsson &amp; Silverstein, 2001)","plainTextFormattedCitation":"(Hall et al., 2012; Lennartsson &amp; Silverstein, 2001)","previouslyFormattedCitation":"(Hall et al., 2012; Lennartsson &amp; Silverstein, 2001)"},"properties":{"noteIndex":0},"schema":"https://github.com/citation-style-language/schema/raw/master/csl-citation.json"}</w:instrText>
      </w:r>
      <w:r>
        <w:rPr>
          <w:rFonts w:ascii="Times New Roman" w:hAnsi="Times New Roman" w:cs="Times New Roman"/>
          <w:lang w:val="id-ID"/>
        </w:rPr>
        <w:fldChar w:fldCharType="separate"/>
      </w:r>
      <w:r w:rsidRPr="00E141D5">
        <w:rPr>
          <w:rFonts w:ascii="Times New Roman" w:hAnsi="Times New Roman" w:cs="Times New Roman"/>
          <w:noProof/>
          <w:lang w:val="id-ID"/>
        </w:rPr>
        <w:t xml:space="preserve">(Hall et </w:t>
      </w:r>
      <w:r w:rsidRPr="00E141D5">
        <w:rPr>
          <w:rFonts w:ascii="Times New Roman" w:hAnsi="Times New Roman" w:cs="Times New Roman"/>
          <w:noProof/>
          <w:lang w:val="id-ID"/>
        </w:rPr>
        <w:lastRenderedPageBreak/>
        <w:t>al., 2012; Lennartsson &amp; Silverstein, 2001)</w:t>
      </w:r>
      <w:r>
        <w:rPr>
          <w:rFonts w:ascii="Times New Roman" w:hAnsi="Times New Roman" w:cs="Times New Roman"/>
          <w:lang w:val="id-ID"/>
        </w:rPr>
        <w:fldChar w:fldCharType="end"/>
      </w:r>
      <w:r w:rsidRPr="00C22551">
        <w:rPr>
          <w:rFonts w:ascii="Times New Roman" w:hAnsi="Times New Roman" w:cs="Times New Roman"/>
          <w:lang w:val="id-ID"/>
        </w:rPr>
        <w:t xml:space="preserve">, baik secara fisik maupun secara kognitif dan bahkan juga mental. </w:t>
      </w:r>
      <w:r w:rsidRPr="00C22551">
        <w:rPr>
          <w:rFonts w:ascii="Times New Roman" w:eastAsia="Times New Roman" w:hAnsi="Times New Roman" w:cs="Times New Roman"/>
          <w:lang w:val="id-ID"/>
        </w:rPr>
        <w:t>Para ahli menghubungkan perilaku sedenter dengan berbagai resiko kesehatan seperti</w:t>
      </w:r>
      <w:r w:rsidRPr="00C22551">
        <w:rPr>
          <w:rFonts w:ascii="Times New Roman" w:eastAsia="Calibri" w:hAnsi="Times New Roman" w:cs="Times New Roman"/>
          <w:lang w:val="id-ID"/>
        </w:rPr>
        <w:t xml:space="preserve"> kegemukan, kesehatan metabolik jantung, termasuk berpengaruh pada perilaku </w:t>
      </w:r>
      <w:r w:rsidRPr="00C22551">
        <w:rPr>
          <w:rFonts w:ascii="Times New Roman" w:eastAsia="Calibri" w:hAnsi="Times New Roman" w:cs="Times New Roman"/>
          <w:i/>
          <w:lang w:val="id-ID"/>
        </w:rPr>
        <w:t>anti-social</w:t>
      </w:r>
      <w:r w:rsidRPr="00C22551">
        <w:rPr>
          <w:rFonts w:ascii="Times New Roman" w:eastAsia="Calibri" w:hAnsi="Times New Roman" w:cs="Times New Roman"/>
          <w:lang w:val="id-ID"/>
        </w:rPr>
        <w:t xml:space="preserve"> dan </w:t>
      </w:r>
      <w:r w:rsidRPr="00C22551">
        <w:rPr>
          <w:rFonts w:ascii="Times New Roman" w:eastAsia="Calibri" w:hAnsi="Times New Roman" w:cs="Times New Roman"/>
          <w:i/>
          <w:lang w:val="id-ID"/>
        </w:rPr>
        <w:t>self-esteem</w:t>
      </w:r>
      <w:r>
        <w:rPr>
          <w:rFonts w:ascii="Times New Roman" w:eastAsia="Calibri" w:hAnsi="Times New Roman" w:cs="Times New Roman"/>
          <w:i/>
          <w:lang w:val="id-ID"/>
        </w:rPr>
        <w:t xml:space="preserve"> </w:t>
      </w:r>
      <w:r>
        <w:rPr>
          <w:rFonts w:ascii="Times New Roman" w:eastAsia="Calibri" w:hAnsi="Times New Roman" w:cs="Times New Roman"/>
          <w:i/>
          <w:lang w:val="id-ID"/>
        </w:rPr>
        <w:fldChar w:fldCharType="begin" w:fldLock="1"/>
      </w:r>
      <w:r>
        <w:rPr>
          <w:rFonts w:ascii="Times New Roman" w:eastAsia="Calibri" w:hAnsi="Times New Roman" w:cs="Times New Roman"/>
          <w:i/>
          <w:lang w:val="id-ID"/>
        </w:rPr>
        <w:instrText>ADDIN CSL_CITATION {"citationItems":[{"id":"ITEM-1","itemData":{"DOI":"10.1186/s12887-020-02036-6","ISSN":"14712431","PMID":"32241269","abstract":"Background: Between-person differences in sedentary patterns should be considered to understand the role of sedentary behavior (SB) in the development of childhood obesity. This study took a novel approach based on compositional data analysis to examine associations between SB patterns and adiposity and investigate differences in adiposity associated with time reallocation between time spent in sedentary bouts of different duration and physical activity. Methods: An analysis of cross-sectional data was performed in 425 children aged 7-12 years (58% girls). Waking behaviors were assessed using ActiGraph GT3X accelerometer for seven consecutive days. Multi-frequency bioimpedance measurement was used to determine adiposity. Compositional regression models with robust estimators were used to analyze associations between sedentary patterns and adiposity markers. To examine differences in adiposity associated with time reallocation, we used the compositional isotemporal substitution model. Results: Significantly higher fat mass percentage (FM%; β ilr1 = 0.18; 95% CI: 0.01, 0.34; p = 0.040) and visceral adipose tissue (VAT; β ilr1 = 0.37; 95% CI: 0.03, 0.71; p = 0.034) were associated with time spent in middle sedentary bouts in duration of 10-29 min (relative to remaining behaviors). No significant associations were found for short (&lt; 10 min) and long sedentary bouts (≥30 min). Substituting the time spent in total SB with moderate-to-vigorous physical activity (MVPA) was associated with a decrease in VAT. Substituting 1 h/week of the time spent in middle sedentary bouts with MVPA was associated with 2.9% (95% CI: 1.2, 4.6), 3.4% (95% CI: 1.2, 5.5), and 6.1% (95% CI: 2.9, 9.2) lower FM%, fat mass index, and VAT, respectively. Moreover, substituting 2 h/week of time spent in middle sedentary bouts with short sedentary bouts was associated with 3.5% (95% CI: 0.02, 6.9) lower FM%. Conclusions: Our findings suggest that adiposity status could be improved by increasing MVPA at the expense of time spent in middle sedentary bouts. Some benefits to adiposity may also be expected from replacing middle sedentary bouts with short sedentary bouts, that is, by taking standing or activity breaks more often. These findings may help design more effective interventions to prevent and control childhood obesity.","author":[{"dropping-particle":"","family":"Gába","given":"Aleš","non-dropping-particle":"","parse-names":false,"suffix":""},{"dropping-particle":"","family":"Pedišić","given":"Željko","non-dropping-particle":"","parse-names":false,"suffix":""},{"dropping-particle":"","family":"Štefelová","given":"Nikola","non-dropping-particle":"","parse-names":false,"suffix":""},{"dropping-particle":"","family":"Dygrýn","given":"Jan","non-dropping-particle":"","parse-names":false,"suffix":""},{"dropping-particle":"","family":"Hron","given":"Karel","non-dropping-particle":"","parse-names":false,"suffix":""},{"dropping-particle":"","family":"Dumuid","given":"Dorothea","non-dropping-particle":"","parse-names":false,"suffix":""},{"dropping-particle":"","family":"Tremblay","given":"Mark","non-dropping-particle":"","parse-names":false,"suffix":""}],"container-title":"BMC Pediatrics","id":"ITEM-1","issue":"1","issued":{"date-parts":[["2020"]]},"page":"1-11","title":"Sedentary behavior patterns and adiposity in children: A study based on compositional data analysis","type":"article-journal","volume":"20"},"uris":["http://www.mendeley.com/documents/?uuid=4d4bcab9-a62e-4296-83db-a7c6da631763"]}],"mendeley":{"formattedCitation":"(Gába et al., 2020)","plainTextFormattedCitation":"(Gába et al., 2020)","previouslyFormattedCitation":"(Gába et al., 2020)"},"properties":{"noteIndex":0},"schema":"https://github.com/citation-style-language/schema/raw/master/csl-citation.json"}</w:instrText>
      </w:r>
      <w:r>
        <w:rPr>
          <w:rFonts w:ascii="Times New Roman" w:eastAsia="Calibri" w:hAnsi="Times New Roman" w:cs="Times New Roman"/>
          <w:i/>
          <w:lang w:val="id-ID"/>
        </w:rPr>
        <w:fldChar w:fldCharType="separate"/>
      </w:r>
      <w:r w:rsidRPr="00E141D5">
        <w:rPr>
          <w:rFonts w:ascii="Times New Roman" w:eastAsia="Calibri" w:hAnsi="Times New Roman" w:cs="Times New Roman"/>
          <w:noProof/>
          <w:lang w:val="id-ID"/>
        </w:rPr>
        <w:t>(Gába et al., 2020)</w:t>
      </w:r>
      <w:r>
        <w:rPr>
          <w:rFonts w:ascii="Times New Roman" w:eastAsia="Calibri" w:hAnsi="Times New Roman" w:cs="Times New Roman"/>
          <w:i/>
          <w:lang w:val="id-ID"/>
        </w:rPr>
        <w:fldChar w:fldCharType="end"/>
      </w:r>
      <w:r w:rsidRPr="00C22551">
        <w:rPr>
          <w:rFonts w:ascii="Times New Roman" w:eastAsia="Calibri" w:hAnsi="Times New Roman" w:cs="Times New Roman"/>
          <w:lang w:val="id-ID"/>
        </w:rPr>
        <w:t>. Sedenter juga menggejala dalam ancaman diabetes mellitus dan kanker</w:t>
      </w:r>
      <w:r>
        <w:rPr>
          <w:rFonts w:ascii="Times New Roman" w:eastAsia="Calibri" w:hAnsi="Times New Roman" w:cs="Times New Roman"/>
          <w:lang w:val="id-ID"/>
        </w:rPr>
        <w:t xml:space="preserve"> </w:t>
      </w:r>
      <w:r>
        <w:rPr>
          <w:rFonts w:ascii="Times New Roman" w:eastAsia="Calibri" w:hAnsi="Times New Roman" w:cs="Times New Roman"/>
          <w:lang w:val="id-ID"/>
        </w:rPr>
        <w:fldChar w:fldCharType="begin" w:fldLock="1"/>
      </w:r>
      <w:r>
        <w:rPr>
          <w:rFonts w:ascii="Times New Roman" w:eastAsia="Calibri" w:hAnsi="Times New Roman" w:cs="Times New Roman"/>
          <w:lang w:val="id-ID"/>
        </w:rPr>
        <w:instrText>ADDIN CSL_CITATION {"citationItems":[{"id":"ITEM-1","itemData":{"DOI":"10.5402/2012/718789","ISSN":"2090-5599","abstract":"A plethora of epidemiologic evidence from large studies supports unequivocally an inverse, independent, and graded association between volume of physical activity, health, and cardiovascular and overall mortality. This association is evident in apparently healthy individuals, patients with hypertension, type 2 diabetes mellitus, and cardiovascular disease, regardless of body weight. Moreover, the degree of risk associated with physical inactivity is similar to, and in some cases even stronger than, the more traditional cardiovascular risk factors. The exercise-induced health benefits are in part related to favorable modulations of cardiovascular risk factors observed by increased physical activity or structured exercise programs. Although the independent contribution of the exercise components, intensity, duration, and frequency to the reduction of mortality risk is not clear, it is well accepted that an exercise volume threshold defined at caloric expenditure of approximately 1,000 Kcal per week appears to be necessary for significant reduction in mortality risk. Further reductions in risk are observed with higher volumes of energy expenditure. Physical exertion is also associated with a relatively low and transient increase in risk for cardiac events. This risk is significantly higher for older and sedentary individuals. Therefore, such individuals should consult their physician prior to engaging in exercise.","author":[{"dropping-particle":"","family":"Kokkinos","given":"Peter","non-dropping-particle":"","parse-names":false,"suffix":""}],"container-title":"ISRN Cardiology","id":"ITEM-1","issued":{"date-parts":[["2012"]]},"page":"1-14","title":"Physical Activity, Health Benefits, and Mortality Risk","type":"article-journal","volume":"2012"},"uris":["http://www.mendeley.com/documents/?uuid=8f543253-fd5f-468a-8e7d-3c3f69791e47"]},{"id":"ITEM-2","itemData":{"ISBN":"9789241550536","abstract":"Uno de cada cinco niños sufre obesidad, una enfermedad crónica que empeora notablemente la calidad de vida y aumenta el riesgo de padecer, entre otras, enfermedades cardiovasculares, hipertensión y diabetes. Sin embargo, aún hay poca consciencia en la sociedad de la gravedad de esta epidemia, cuyo tratamiento más eficaz es la prevención. Para ello, la primera infancia constituye, según los expertos, una etapa crucial para la instauración de hábitos saludables y evitar desarrollar una obesidad que en la mayoría de los casos persiste hasta la adolescencia. Tanto que la Organización Mundial de la Salud (OMS) ha publicado este miércoles por primera vez una guía sobre actividad física, sedentarismo y sueño para niños de cero a cuatro años. A partir del año, recomienda realizar al menos tres horas de actividad física al día; nada de tiempo de pantallas hasta los dos años, y a partir de esa edad, lo menos posible, con una hora diaria como máximo.","author":[{"dropping-particle":"","family":"WHO","given":"","non-dropping-particle":"","parse-names":false,"suffix":""}],"container-title":"World Health Organization","id":"ITEM-2","issued":{"date-parts":[["2019"]]},"number-of-pages":"4","title":"WHO Guidelines on physical activity, sedentary behaviour","type":"book"},"uris":["http://www.mendeley.com/documents/?uuid=cd83cdf5-125a-4435-b455-cb0e34b69947"]}],"mendeley":{"formattedCitation":"(Kokkinos, 2012; WHO, 2019)","plainTextFormattedCitation":"(Kokkinos, 2012; WHO, 2019)","previouslyFormattedCitation":"(Kokkinos, 2012; WHO, 2019)"},"properties":{"noteIndex":0},"schema":"https://github.com/citation-style-language/schema/raw/master/csl-citation.json"}</w:instrText>
      </w:r>
      <w:r>
        <w:rPr>
          <w:rFonts w:ascii="Times New Roman" w:eastAsia="Calibri" w:hAnsi="Times New Roman" w:cs="Times New Roman"/>
          <w:lang w:val="id-ID"/>
        </w:rPr>
        <w:fldChar w:fldCharType="separate"/>
      </w:r>
      <w:r w:rsidRPr="00E141D5">
        <w:rPr>
          <w:rFonts w:ascii="Times New Roman" w:eastAsia="Calibri" w:hAnsi="Times New Roman" w:cs="Times New Roman"/>
          <w:noProof/>
          <w:lang w:val="id-ID"/>
        </w:rPr>
        <w:t>(Kokkinos, 2012; WHO, 2019)</w:t>
      </w:r>
      <w:r>
        <w:rPr>
          <w:rFonts w:ascii="Times New Roman" w:eastAsia="Calibri" w:hAnsi="Times New Roman" w:cs="Times New Roman"/>
          <w:lang w:val="id-ID"/>
        </w:rPr>
        <w:fldChar w:fldCharType="end"/>
      </w:r>
      <w:r w:rsidRPr="00C22551">
        <w:rPr>
          <w:rFonts w:ascii="Times New Roman" w:eastAsia="Calibri" w:hAnsi="Times New Roman" w:cs="Times New Roman"/>
          <w:lang w:val="id-ID"/>
        </w:rPr>
        <w:t xml:space="preserve">. </w:t>
      </w:r>
    </w:p>
    <w:p w14:paraId="6CECA7E3" w14:textId="77777777" w:rsidR="00F221E4" w:rsidRPr="00C22551" w:rsidRDefault="00F221E4" w:rsidP="003F0EFC">
      <w:pPr>
        <w:spacing w:before="0" w:beforeAutospacing="0" w:after="0" w:afterAutospacing="0"/>
        <w:ind w:left="0" w:right="0" w:firstLine="284"/>
        <w:jc w:val="both"/>
        <w:rPr>
          <w:rFonts w:ascii="Times New Roman" w:hAnsi="Times New Roman" w:cs="Times New Roman"/>
          <w:lang w:val="id-ID"/>
        </w:rPr>
      </w:pPr>
      <w:r w:rsidRPr="00C22551">
        <w:rPr>
          <w:rFonts w:ascii="Times New Roman" w:hAnsi="Times New Roman" w:cs="Times New Roman"/>
          <w:lang w:val="id-ID"/>
        </w:rPr>
        <w:t>Mahendra dalam artikelnya mengungkapkan bahwa akibat kurang gerak, f</w:t>
      </w:r>
      <w:r w:rsidRPr="00C22551">
        <w:rPr>
          <w:rFonts w:ascii="Times New Roman" w:eastAsia="Times New Roman" w:hAnsi="Times New Roman" w:cs="Times New Roman"/>
          <w:lang w:val="id-ID"/>
        </w:rPr>
        <w:t xml:space="preserve">ungsi cardiovaskular dan </w:t>
      </w:r>
      <w:r w:rsidRPr="00C22551">
        <w:rPr>
          <w:rFonts w:ascii="Times New Roman" w:eastAsia="Times New Roman" w:hAnsi="Times New Roman" w:cs="Times New Roman"/>
          <w:i/>
          <w:lang w:val="id-ID"/>
        </w:rPr>
        <w:t>ergosystem</w:t>
      </w:r>
      <w:r w:rsidRPr="00C22551">
        <w:rPr>
          <w:rFonts w:ascii="Times New Roman" w:eastAsia="Times New Roman" w:hAnsi="Times New Roman" w:cs="Times New Roman"/>
          <w:lang w:val="id-ID"/>
        </w:rPr>
        <w:t xml:space="preserve"> menjadi terhambat, sehingga potensi fisikal dan motorik anak turut tersendat. Anak-anak akan mengalami penyusutan potensi sebagai akibat anak lebih banyak duduk, membaca, mengerjakan tugas, nonton TV, asyik dengan gadget</w:t>
      </w:r>
      <w:r>
        <w:rPr>
          <w:rFonts w:ascii="Times New Roman" w:eastAsia="Times New Roman" w:hAnsi="Times New Roman" w:cs="Times New Roman"/>
          <w:lang w:val="id-ID"/>
        </w:rPr>
        <w:t xml:space="preserve"> (Mahendra, 2020)</w:t>
      </w:r>
      <w:r w:rsidRPr="00C22551">
        <w:rPr>
          <w:rFonts w:ascii="Times New Roman" w:eastAsia="Times New Roman" w:hAnsi="Times New Roman" w:cs="Times New Roman"/>
          <w:lang w:val="id-ID"/>
        </w:rPr>
        <w:t xml:space="preserve">. </w:t>
      </w:r>
    </w:p>
    <w:p w14:paraId="4DF19FB5" w14:textId="77777777" w:rsidR="00F221E4" w:rsidRPr="00C22551" w:rsidRDefault="00F221E4" w:rsidP="003F0EFC">
      <w:pPr>
        <w:spacing w:before="0" w:beforeAutospacing="0" w:after="0" w:afterAutospacing="0"/>
        <w:ind w:left="0" w:firstLine="284"/>
        <w:jc w:val="both"/>
        <w:rPr>
          <w:rFonts w:ascii="Times New Roman" w:hAnsi="Times New Roman" w:cs="Times New Roman"/>
          <w:lang w:val="id-ID"/>
        </w:rPr>
      </w:pPr>
      <w:r w:rsidRPr="00C22551">
        <w:rPr>
          <w:rFonts w:ascii="Times New Roman" w:hAnsi="Times New Roman" w:cs="Times New Roman"/>
          <w:lang w:val="id-ID"/>
        </w:rPr>
        <w:t>Disinyalir bahwa dewasa ini, semakin banyak anak-anak yang lebih memilih tinggal dan betah duduk di rumahnya, sambil main game atau sekedar menonton TV dan bermain HP</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{"citationItems":[{"id":"ITEM-1","itemData":{"DOI":"10.1016/j.ijcard.2016.08.328","ISSN":"18741754","author":[{"dropping-particle":"","family":"Kawada","given":"Tomoyuki","non-dropping-particle":"","parse-names":false,"suffix":""}],"container-title":"International Journal of Cardiology","id":"ITEM-1","issued":{"date-parts":[["2016"]]},"page":"764-765","publisher":"Elsevier Ireland Ltd","title":"Long TV watching time and the risk of physical, mental and psychiatric disorders","type":"article-journal","volume":"223"},"uris":["http://www.mendeley.com/documents/?uuid=bbf40b67-cdd6-4002-9e2d-8c654cefe6a3"]}],"mendeley":{"formattedCitation":"(Kawada, 2016)","plainTextFormattedCitation":"(Kawada, 2016)","previouslyFormattedCitation":"(Kawada, 2016)"},"properties":{"noteIndex":0},"schema":"https://github.com/citation-style-language/schema/raw/master/csl-citation.json"}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(Kawada, 2016)</w:t>
      </w:r>
      <w:r>
        <w:rPr>
          <w:rFonts w:ascii="Times New Roman" w:hAnsi="Times New Roman" w:cs="Times New Roman"/>
          <w:lang w:val="id-ID"/>
        </w:rPr>
        <w:fldChar w:fldCharType="end"/>
      </w:r>
      <w:r w:rsidRPr="00C22551">
        <w:rPr>
          <w:rFonts w:ascii="Times New Roman" w:hAnsi="Times New Roman" w:cs="Times New Roman"/>
          <w:lang w:val="id-ID"/>
        </w:rPr>
        <w:t xml:space="preserve">. Aktivitas jasmani yang memicu denyut jantung dan paru-paru menjadi pilihan terakhir, karena belakangan semakin banyak ruang </w:t>
      </w:r>
      <w:r w:rsidRPr="00C22551">
        <w:rPr>
          <w:rFonts w:ascii="Times New Roman" w:hAnsi="Times New Roman" w:cs="Times New Roman"/>
          <w:i/>
          <w:lang w:val="id-ID"/>
        </w:rPr>
        <w:t>public</w:t>
      </w:r>
      <w:r w:rsidRPr="00C22551">
        <w:rPr>
          <w:rFonts w:ascii="Times New Roman" w:hAnsi="Times New Roman" w:cs="Times New Roman"/>
          <w:lang w:val="id-ID"/>
        </w:rPr>
        <w:t xml:space="preserve"> yang berubah fungsi, sehingga semakin membatasi gerak dan keaktifan anak di luar rumah. Hal ini diperparah oleh merebaknya wabah Covid-19, yang memaksa semua orang untuk memperlama durasi waktunya tinggal dan diam di rumah</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{"citationItems":[{"id":"ITEM-1","itemData":{"DOI":"10.3390/nu12061699","ISSN":"20726643","PMID":"32517210","abstract":"COVID-19, a Public Health Emergency of International Concern, has imposed enormous challenges on the health system, economy, and food supply and has substantially modified people’s lifestyles. This study aimed to (1) explore the dietary diversity during the lockdown time in China and (2) examine factors associated with dietary diversity including socio-economic characteristics, sources for food and food purchases, and specific dietary behaviors responding to COVID-19 and isolation. A cross-sectional questionnaire-based survey was conducted online in March 2020. Multi-stage sampling was used to recruit participants living in Hubei Province and other parts of China. Dietary diversity was assessed using the Household Dietary Diversity Score (HDDS) and clustering analysis was used to categorize people with different propensities of methods for purchasing or obtaining foods. Logistic regression was used to model the associations among HDDS, participants’ characteristics, approaches to purchase or obtain food, and behaviors adopted to cope with COVID-19. Results: A total of 1938 participants were included in the analysis. The overall mean HDDS was 9.7 ± 2.1, and the median (25th, 75th) was 10 (8, 12). There were relatively low consumptions of fish, legumes, and miscellaneous foods (e.g., processed food like snacks and beverages). After adjusting for age, family income, and geographic regions, people living in places where laboratory confirmed COVID-19 cases were above 500 (ORadjusted = 0.79, 95%CI 0.65, 0.96), or living in Hubei Province (ORadjusted = 0.60, 95%CI 0.39, 0.93) had a lower HDDS. During isolation time, the most common sources for food and food purchases were in-house storage and in person grocery shopping. More than half of the participants (55.9%) purchased food at least once via online ordering and delivery services. There was no significant difference in HDDS among people with distinct dependences on different ways to obtain or purchase food (i.e., dependence on in-person grocery shopping, dependence on both in-house storage and in-person grocery shopping, or dependence on online food purchasing). We also identified a total of 37.7% participants who consumed certain foods or nutritional supplements to cope with COVID-19, which included vitamin C, probiotics, other dietary supplements, alcohol, and vinegar. People who reported these specific dietary behaviors had a significantly higher HDDS (ORadjusted = 1.23, 95%CI 1.02, 1.45) than those who d…","author":[{"dropping-particle":"","family":"Zhao","given":"Ai","non-dropping-particle":"","parse-names":false,"suffix":""},{"dropping-particle":"","family":"Li","given":"Zhongyu","non-dropping-particle":"","parse-names":false,"suffix":""},{"dropping-particle":"","family":"Ke","given":"Yalei","non-dropping-particle":"","parse-names":false,"suffix":""},{"dropping-particle":"","family":"Huo","given":"Shanshan","non-dropping-particle":"","parse-names":false,"suffix":""},{"dropping-particle":"","family":"Ma","given":"Yidi","non-dropping-particle":"","parse-names":false,"suffix":""},{"dropping-particle":"","family":"Zhang","given":"Yumei","non-dropping-particle":"","parse-names":false,"suffix":""},{"dropping-particle":"","family":"Zhang","given":"Jian","non-dropping-particle":"","parse-names":false,"suffix":""},{"dropping-particle":"","family":"Ren","given":"Zhongxia","non-dropping-particle":"","parse-names":false,"suffix":""}],"container-title":"Nutrients","id":"ITEM-1","issue":"6","issued":{"date-parts":[["2020"]]},"page":"1-13","title":"Dietary diversity among chinese residents during the COVID-19 outbreak and its associated factors","type":"article-journal","volume":"12"},"uris":["http://www.mendeley.com/documents/?uuid=bb6b73c8-a15d-40c9-a7ff-020419a2012e"]}],"mendeley":{"formattedCitation":"(Zhao et al., 2020)","plainTextFormattedCitation":"(Zhao et al., 2020)","previouslyFormattedCitation":"(Zhao et al., 2020)"},"properties":{"noteIndex":0},"schema":"https://github.com/citation-style-language/schema/raw/master/csl-citation.json"}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(Zhao et al., 2020)</w:t>
      </w:r>
      <w:r>
        <w:rPr>
          <w:rFonts w:ascii="Times New Roman" w:hAnsi="Times New Roman" w:cs="Times New Roman"/>
          <w:lang w:val="id-ID"/>
        </w:rPr>
        <w:fldChar w:fldCharType="end"/>
      </w:r>
      <w:r w:rsidRPr="00C22551">
        <w:rPr>
          <w:rFonts w:ascii="Times New Roman" w:hAnsi="Times New Roman" w:cs="Times New Roman"/>
          <w:lang w:val="id-ID"/>
        </w:rPr>
        <w:t>.</w:t>
      </w:r>
    </w:p>
    <w:p w14:paraId="4988C07D" w14:textId="77777777" w:rsidR="00F221E4" w:rsidRPr="00C22551" w:rsidRDefault="00F221E4" w:rsidP="003F0EFC">
      <w:pPr>
        <w:spacing w:before="0" w:beforeAutospacing="0" w:after="0" w:afterAutospacing="0"/>
        <w:ind w:left="0" w:right="0" w:firstLine="284"/>
        <w:jc w:val="both"/>
        <w:rPr>
          <w:rFonts w:ascii="Times New Roman" w:hAnsi="Times New Roman" w:cs="Times New Roman"/>
          <w:lang w:val="id-ID"/>
        </w:rPr>
      </w:pPr>
      <w:r w:rsidRPr="00C22551">
        <w:rPr>
          <w:rFonts w:ascii="Times New Roman" w:hAnsi="Times New Roman" w:cs="Times New Roman"/>
          <w:lang w:val="id-ID"/>
        </w:rPr>
        <w:t>Keprihatinan terhadap kecenderungan makin maraknya perilaku dan gaya hidup sedenter di kalangan anak-anak menjadi semakin berakumulasi ketika titik perhatian kita alihkan kepada anak-anak penyandang disabilitas</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{"citationItems":[{"id":"ITEM-1","itemData":{"DOI":"10.1177/1356336X19890365","author":[{"dropping-particle":"","family":"Maher","given":"Anthony J","non-dropping-particle":"","parse-names":false,"suffix":""}],"id":"ITEM-1","issued":{"date-parts":[["2019"]]},"page":"1-17","title":"The Self stepping into the shoes of the Other : Understanding and developing self-perceptions of empathy among prospective physical education teachers through a special school placement","type":"article-journal"},"uris":["http://www.mendeley.com/documents/?uuid=6511133a-3ef8-444c-ae91-bb52cc92c178"]}],"mendeley":{"formattedCitation":"(Maher, 2019)","plainTextFormattedCitation":"(Maher, 2019)","previouslyFormattedCitation":"(Maher, 2019)"},"properties":{"noteIndex":0},"schema":"https://github.com/citation-style-language/schema/raw/master/csl-citation.json"}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(Maher, 2019)</w:t>
      </w:r>
      <w:r>
        <w:rPr>
          <w:rFonts w:ascii="Times New Roman" w:hAnsi="Times New Roman" w:cs="Times New Roman"/>
          <w:lang w:val="id-ID"/>
        </w:rPr>
        <w:fldChar w:fldCharType="end"/>
      </w:r>
      <w:r w:rsidRPr="00C22551">
        <w:rPr>
          <w:rFonts w:ascii="Times New Roman" w:hAnsi="Times New Roman" w:cs="Times New Roman"/>
          <w:lang w:val="id-ID"/>
        </w:rPr>
        <w:t>. Bagi kelompok ini, kecenderungan non-aktif dan kurang gerak menjadi semakin nyata karena perhatian dari pihak-pihak tertentu belum mengarah kepada mereka. Hal ini tentu bisa terjadi, baik di rumah maupun di sekolah</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{"citationItems":[{"id":"ITEM-1","itemData":{"DOI":"10.1016/j.ridd.2016.01.003","ISSN":"18733379","abstract":"The aims of this cross-sectional study were to examine the developmental characteristics (biological maturation and body size) associated with gross motor coordination problems in 5193 Peruvian children (2787 girls) aged 6-14 years from different geographical locations, and to investigate how the probability that children suffer with gross motor coordination problems varies with physical fitness. Children with gross motor coordination problems were more likely to have lower flexibility and explosive strength levels, having adjusted for age, sex, maturation and study site. Older children were more likely to suffer from gross motor coordination problems, as were those with greater body mass index. However, more mature children were less likely to have gross motor coordination problems, although children who live at sea level or at high altitude were more likely to suffer from gross motor coordination problems than children living in the jungle. Our results provide evidence that children and adolescents with lower physical fitness are more likely to have gross motor coordination difficulties. The identification of youths with gross motor coordination problems and providing them with effective intervention programs is an important priority in order to overcome such developmental problems, and help to improve their general health status.","author":[{"dropping-particle":"","family":"Chaves","given":"Raquel Nichele","non-dropping-particle":"de","parse-names":false,"suffix":""},{"dropping-particle":"","family":"Bustamante Valdívia","given":"Alcibíades","non-dropping-particle":"","parse-names":false,"suffix":""},{"dropping-particle":"","family":"Nevill","given":"Alan","non-dropping-particle":"","parse-names":false,"suffix":""},{"dropping-particle":"","family":"Freitas","given":"Duarte","non-dropping-particle":"","parse-names":false,"suffix":""},{"dropping-particle":"","family":"Tani","given":"Go","non-dropping-particle":"","parse-names":false,"suffix":""},{"dropping-particle":"","family":"Katzmarzyk","given":"Peter T.","non-dropping-particle":"","parse-names":false,"suffix":""},{"dropping-particle":"","family":"Maia","given":"José António Ribeiro","non-dropping-particle":"","parse-names":false,"suffix":""}],"container-title":"Research in Developmental Disabilities","id":"ITEM-1","issued":{"date-parts":[["2016"]]},"page":"107-114","title":"Developmental and physical-fitness associations with gross motor coordination problems in Peruvian children","type":"article-journal","volume":"53-54"},"uris":["http://www.mendeley.com/documents/?uuid=6f45b40b-9efe-4513-b553-fb539093770a"]}],"mendeley":{"formattedCitation":"(de Chaves et al., 2016)","plainTextFormattedCitation":"(de Chaves et al., 2016)","previouslyFormattedCitation":"(de Chaves et al., 2016)"},"properties":{"noteIndex":0},"schema":"https://github.com/citation-style-language/schema/raw/master/csl-citation.json"}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(de Chaves et al., 2016)</w:t>
      </w:r>
      <w:r>
        <w:rPr>
          <w:rFonts w:ascii="Times New Roman" w:hAnsi="Times New Roman" w:cs="Times New Roman"/>
          <w:lang w:val="id-ID"/>
        </w:rPr>
        <w:fldChar w:fldCharType="end"/>
      </w:r>
      <w:r w:rsidRPr="00C22551">
        <w:rPr>
          <w:rFonts w:ascii="Times New Roman" w:hAnsi="Times New Roman" w:cs="Times New Roman"/>
          <w:lang w:val="id-ID"/>
        </w:rPr>
        <w:t>. Di rumah, kondisi mereka benar-benar terbatasi karena mereka hakikatnya orang yang terbatas kemampuan fisik atau kognitifnya, di sekolah tidak jauh berbeda karena kondisi sekolah pun masih belum disediakan untuk bisa merangsang mereka banyak bergerak secara aktif.</w:t>
      </w:r>
    </w:p>
    <w:p w14:paraId="1E4D5E2B" w14:textId="77777777" w:rsidR="00F221E4" w:rsidRPr="00C22551" w:rsidRDefault="00F221E4" w:rsidP="003F0EFC">
      <w:pPr>
        <w:spacing w:before="0" w:beforeAutospacing="0" w:after="0" w:afterAutospacing="0"/>
        <w:ind w:left="0" w:right="0" w:firstLine="341"/>
        <w:jc w:val="both"/>
        <w:rPr>
          <w:rFonts w:ascii="Times New Roman" w:hAnsi="Times New Roman" w:cs="Times New Roman"/>
          <w:lang w:val="id-ID"/>
        </w:rPr>
      </w:pPr>
      <w:r w:rsidRPr="00C22551">
        <w:rPr>
          <w:rFonts w:ascii="Times New Roman" w:hAnsi="Times New Roman" w:cs="Times New Roman"/>
          <w:lang w:val="id-ID"/>
        </w:rPr>
        <w:lastRenderedPageBreak/>
        <w:t>Keprihatinan yang diberikan kepada kelompok anak disabilitas ini kemudian mencetuskan keinginan untuk mengetahui salah satu faktor pendukung aktif atau tidaknya anak di sekolah yaitu faktor peranan guru. Guru, apalagi guru Penjas Adaptif</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{"citationItems":[{"id":"ITEM-1","itemData":{"DOI":"10.1016/j.ridd.2017.07.020","ISSN":"18733379","abstract":"Background One in three children in North America are considered overweight or obese. Children with intellectual and developmental disabilities (IDD) are at an increased risk for obesity than their typically developing peers. Decreased physical activity (PA) and low physical fitness may be contributing factors to this rise in obesity. Aim Because children with IDD are at an increased risk of diseases related to inactivity, it is important to improve health-related physical fitness to complete activities of daily living and improve health. Methods and procedures The focus of this research is on improving the performance of physical fitness components through physical activity programming among a group of children with IDD, ages 7–12 years. The Brockport Physical Fitness Test was used assess levels of physical fitness of 35 children with IDD (25 boys, 10 girls) before and after participation in a 10-week program. Outcomes and results The results of paired sampled t-tests showed participation in 15-h PA program can significantly increase aerobic capacity and muscular strength and endurance in children with IDD. Conclusions and implications This study is aimed at understanding the role of PA in helping children with IDD to develop the fitness capacities essential to participation in a wide variety of activities.","author":[{"dropping-particle":"","family":"Collins","given":"Kyla","non-dropping-particle":"","parse-names":false,"suffix":""},{"dropping-particle":"","family":"Staples","given":"Kerri","non-dropping-particle":"","parse-names":false,"suffix":""}],"container-title":"Research in Developmental Disabilities","id":"ITEM-1","issue":"September 2016","issued":{"date-parts":[["2017"]]},"page":"49-60","publisher":"Elsevier","title":"The role of physical activity in improving physical fitness in children with intellectual and developmental disabilities","type":"article-journal","volume":"69"},"uris":["http://www.mendeley.com/documents/?uuid=a0db9c8b-379e-4e33-9da0-b9541b5b7387"]}],"mendeley":{"formattedCitation":"(Collins &amp; Staples, 2017)","plainTextFormattedCitation":"(Collins &amp; Staples, 2017)","previouslyFormattedCitation":"(Collins &amp; Staples, 2017)"},"properties":{"noteIndex":0},"schema":"https://github.com/citation-style-language/schema/raw/master/csl-citation.json"}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(Collins &amp; Staples, 2017)</w:t>
      </w:r>
      <w:r>
        <w:rPr>
          <w:rFonts w:ascii="Times New Roman" w:hAnsi="Times New Roman" w:cs="Times New Roman"/>
          <w:lang w:val="id-ID"/>
        </w:rPr>
        <w:fldChar w:fldCharType="end"/>
      </w:r>
      <w:r w:rsidRPr="00C22551">
        <w:rPr>
          <w:rFonts w:ascii="Times New Roman" w:hAnsi="Times New Roman" w:cs="Times New Roman"/>
          <w:lang w:val="id-ID"/>
        </w:rPr>
        <w:t>, merupakan kelompok yang bertanggung jawab terhadap tingkat keaktifan anak secara fisik, termasuk bertanggung jawab dalam menyediakan wahana lingkungan yang merangsang anak untuk banyak bergerak</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{"citationItems":[{"id":"ITEM-1","itemData":{"DOI":"10.1080/17408980902729347","ISSN":"1740-8989","abstract":"Background: A lack of physical activity (PA) and the occurrence of overweight and obesity among school-aged youth have become a major societal problem. Arising from the general concern about the future generations' health, schools have been found to be potentially important settings to promote positive health behaviour, since all pupils can be reached spending large amounts of time in the school environment. Moreover, it is beyond doubt that physical education (PE) has a key role to play. As in other European countries, the Flemish PE goals identify the importance of PA in the development and maintenance of good health. However, the discrepancy between the important role attributed to PE with regard to the development of a healthy and physically active lifestyle and the currently observed increasing sedentary and unhealthy behaviour of children and youth, is one of the reasons to question the efficiency of the current PE curricula. Aims: Within the framework of the Flemish education system, this paper aims to document on the pathways by which PE and schools can contribute to establish lifetime adherence to sport and physical activity in order to enhance and maintain young people's health later in life. From a public health perspective, this is one of the main challenges for PE in the forthcoming decades. Methods: The current PE curriculum requirements and implementation in Flemish schools are described as a starting point. Then, evidence-based recommendations are formulated in order to optimise the content and delivery of the PE curriculum towards its health-related goals. Conclusions: School PE has been recognised as the foundation base of the PA participation pyramid. Nevertheless, there is a need to move beyond the PE and school curriculum. Especially, schools, parents and the community should work together to encourage children and youth to be physically active. As a consequence, the PE teachers' role should not be restricted to the education of pupils during PE lessons, but should be expanded to include guiding youths in the process of becoming physically active both inside and outside school and for life. PE teachers have to accept this responsibility and this effort has to be recognised by the school board. ABSTRACT FROM AUTHOR","author":[{"dropping-particle":"","family":"Seghers","given":"Jan","non-dropping-particle":"","parse-names":false,"suffix":""},{"dropping-particle":"","family":"Martelaer","given":"Kristine","non-dropping-particle":"de","parse-names":false,"suffix":""},{"dropping-particle":"","family":"Cardon","given":"Greet","non-dropping-particle":"","parse-names":false,"suffix":""}],"container-title":"Physical Education &amp; Sport Pedagogy","id":"ITEM-1","issue":"4","issued":{"date-parts":[["2009"]]},"page":"407-420","title":"Young people's health as a challenge for physical education in schools in the twenty-first century: the case of Flanders (Belgium)","type":"article-journal","volume":"14"},"uris":["http://www.mendeley.com/documents/?uuid=4ebd2f41-cdae-4172-a64c-8939165aeb01"]}],"mendeley":{"formattedCitation":"(Seghers, de Martelaer, &amp; Cardon, 2009)","plainTextFormattedCitation":"(Seghers, de Martelaer, &amp; Cardon, 2009)","previouslyFormattedCitation":"(Seghers, de Martelaer, &amp; Cardon, 2009)"},"properties":{"noteIndex":0},"schema":"https://github.com/citation-style-language/schema/raw/master/csl-citation.json"}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(Seghers, de Martelaer, &amp; Cardon, 2009)</w:t>
      </w:r>
      <w:r>
        <w:rPr>
          <w:rFonts w:ascii="Times New Roman" w:hAnsi="Times New Roman" w:cs="Times New Roman"/>
          <w:lang w:val="id-ID"/>
        </w:rPr>
        <w:fldChar w:fldCharType="end"/>
      </w:r>
      <w:r w:rsidRPr="00C22551">
        <w:rPr>
          <w:rFonts w:ascii="Times New Roman" w:hAnsi="Times New Roman" w:cs="Times New Roman"/>
          <w:lang w:val="id-ID"/>
        </w:rPr>
        <w:t>.</w:t>
      </w:r>
    </w:p>
    <w:p w14:paraId="19225A89" w14:textId="77777777" w:rsidR="00F221E4" w:rsidRPr="00C22551" w:rsidRDefault="00F221E4" w:rsidP="003F0EFC">
      <w:pPr>
        <w:spacing w:before="0" w:beforeAutospacing="0" w:after="0" w:afterAutospacing="0"/>
        <w:ind w:left="0" w:right="0" w:firstLine="426"/>
        <w:jc w:val="both"/>
        <w:rPr>
          <w:rFonts w:ascii="Times New Roman" w:hAnsi="Times New Roman" w:cs="Times New Roman"/>
          <w:lang w:val="id-ID"/>
        </w:rPr>
      </w:pPr>
      <w:r w:rsidRPr="00C22551">
        <w:rPr>
          <w:rFonts w:ascii="Times New Roman" w:hAnsi="Times New Roman" w:cs="Times New Roman"/>
          <w:lang w:val="id-ID"/>
        </w:rPr>
        <w:t xml:space="preserve">Persoalannya, sudahkah guru di sekolah luar biasa (SLB) berperan dan berkiprah dengan baik dalam meningkatkan keaktifan dan kesehatan anak? Itu semua adalah titik pusat perhatian utama naskah ini, karena posisi dan tanggung jawab guru yang strategis tersebut merupakan </w:t>
      </w:r>
      <w:r w:rsidRPr="00C22551">
        <w:rPr>
          <w:rFonts w:ascii="Times New Roman" w:hAnsi="Times New Roman" w:cs="Times New Roman"/>
          <w:i/>
          <w:lang w:val="id-ID"/>
        </w:rPr>
        <w:t xml:space="preserve">corner stone </w:t>
      </w:r>
      <w:r w:rsidRPr="00C22551">
        <w:rPr>
          <w:rFonts w:ascii="Times New Roman" w:hAnsi="Times New Roman" w:cs="Times New Roman"/>
          <w:lang w:val="id-ID"/>
        </w:rPr>
        <w:t xml:space="preserve">dari profesi dan tanggung jawab professional yang disandangnya. Untuk menyelidiki aspek tersebut, bersamaan dengan pelaksanaan Pelatihan Guru Penjas Adaptif yang dilaksanakan oleh Prodi PGSD Penjas melalui program Pengabdian pada Masyarakat, telah dilaksanakan pengukuran profil guru Penjas Adaptif di SLB seluruh Indonesia, untuk menetukan profesionalitasnya. </w:t>
      </w:r>
    </w:p>
    <w:p w14:paraId="55F7F51D" w14:textId="17F004A5" w:rsidR="00F221E4" w:rsidRPr="00C22551" w:rsidRDefault="00F221E4" w:rsidP="003F0EFC">
      <w:pPr>
        <w:spacing w:before="0" w:beforeAutospacing="0" w:after="0" w:afterAutospacing="0"/>
        <w:ind w:left="0" w:right="0" w:firstLine="426"/>
        <w:jc w:val="both"/>
        <w:rPr>
          <w:rFonts w:ascii="Times New Roman" w:hAnsi="Times New Roman" w:cs="Times New Roman"/>
          <w:lang w:val="id-ID"/>
        </w:rPr>
      </w:pPr>
      <w:r w:rsidRPr="00C22551">
        <w:rPr>
          <w:rFonts w:ascii="Times New Roman" w:hAnsi="Times New Roman" w:cs="Times New Roman"/>
          <w:lang w:val="id-ID"/>
        </w:rPr>
        <w:t>Tujuan dari studi ini untuk mengukur profesionalitas guru dikaitkan dengan latar belakang pendidikan guru di SLB, sebagai salah satu penentu apakah perhatian terhadap keaktifan anak secara fisik di lingkungan sekolah sudah dipandang memadai atau belum. Adapun pertanyaan penelitian ini diarahkan kepada pertanyaan-pertanyaan berikut:</w:t>
      </w:r>
    </w:p>
    <w:p w14:paraId="24832DFB" w14:textId="77777777" w:rsidR="00F221E4" w:rsidRDefault="00F221E4" w:rsidP="003F0EFC">
      <w:pPr>
        <w:pStyle w:val="ListParagraph"/>
        <w:ind w:left="426" w:right="0" w:hanging="426"/>
        <w:jc w:val="both"/>
        <w:rPr>
          <w:rFonts w:ascii="Times New Roman" w:hAnsi="Times New Roman" w:cs="Times New Roman"/>
          <w:lang w:val="id-ID"/>
        </w:rPr>
      </w:pPr>
      <w:r>
        <w:rPr>
          <w:rFonts w:ascii="Times New Roman" w:hAnsi="Times New Roman" w:cs="Times New Roman"/>
          <w:lang w:val="id-ID"/>
        </w:rPr>
        <w:t xml:space="preserve">1) </w:t>
      </w:r>
      <w:r>
        <w:rPr>
          <w:rFonts w:ascii="Times New Roman" w:hAnsi="Times New Roman" w:cs="Times New Roman"/>
          <w:lang w:val="id-ID"/>
        </w:rPr>
        <w:tab/>
        <w:t>Apakah</w:t>
      </w:r>
      <w:r w:rsidRPr="00C22551">
        <w:rPr>
          <w:rFonts w:ascii="Times New Roman" w:hAnsi="Times New Roman" w:cs="Times New Roman"/>
          <w:lang w:val="id-ID"/>
        </w:rPr>
        <w:t xml:space="preserve"> guru Penjas Adaptif berlatar belakang pendidikan yang </w:t>
      </w:r>
      <w:r>
        <w:rPr>
          <w:rFonts w:ascii="Times New Roman" w:hAnsi="Times New Roman" w:cs="Times New Roman"/>
          <w:lang w:val="id-ID"/>
        </w:rPr>
        <w:t xml:space="preserve">sesuai dengan bidang keilmuan yang mendukungnya?, </w:t>
      </w:r>
    </w:p>
    <w:p w14:paraId="5787C4DB" w14:textId="77777777" w:rsidR="00F221E4" w:rsidRDefault="00F221E4" w:rsidP="003F0EFC">
      <w:pPr>
        <w:pStyle w:val="ListParagraph"/>
        <w:ind w:left="426" w:right="0" w:hanging="426"/>
        <w:jc w:val="both"/>
        <w:rPr>
          <w:rFonts w:ascii="Times New Roman" w:hAnsi="Times New Roman" w:cs="Times New Roman"/>
          <w:lang w:val="id-ID"/>
        </w:rPr>
      </w:pPr>
      <w:r>
        <w:rPr>
          <w:rFonts w:ascii="Times New Roman" w:hAnsi="Times New Roman" w:cs="Times New Roman"/>
          <w:lang w:val="id-ID"/>
        </w:rPr>
        <w:t xml:space="preserve">2) </w:t>
      </w:r>
      <w:r>
        <w:rPr>
          <w:rFonts w:ascii="Times New Roman" w:hAnsi="Times New Roman" w:cs="Times New Roman"/>
          <w:lang w:val="id-ID"/>
        </w:rPr>
        <w:tab/>
        <w:t xml:space="preserve">Apakah program Pendidikan jasmani adaptif sudah menjadi program yang memenuhi kebutuhan anak akan gerak? </w:t>
      </w:r>
    </w:p>
    <w:p w14:paraId="0E97FB20" w14:textId="77777777" w:rsidR="00F221E4" w:rsidRDefault="00F221E4" w:rsidP="003F0EFC">
      <w:pPr>
        <w:pStyle w:val="ListParagraph"/>
        <w:ind w:left="426" w:right="0" w:hanging="426"/>
        <w:jc w:val="both"/>
        <w:rPr>
          <w:rFonts w:ascii="Times New Roman" w:hAnsi="Times New Roman" w:cs="Times New Roman"/>
          <w:lang w:val="id-ID"/>
        </w:rPr>
      </w:pPr>
      <w:r>
        <w:rPr>
          <w:rFonts w:ascii="Times New Roman" w:hAnsi="Times New Roman" w:cs="Times New Roman"/>
          <w:lang w:val="id-ID"/>
        </w:rPr>
        <w:t xml:space="preserve">3) </w:t>
      </w:r>
      <w:r>
        <w:rPr>
          <w:rFonts w:ascii="Times New Roman" w:hAnsi="Times New Roman" w:cs="Times New Roman"/>
          <w:lang w:val="id-ID"/>
        </w:rPr>
        <w:tab/>
        <w:t xml:space="preserve">Apakah program Penjas Adaptif sudah dipandang sebagai kebutuhan yang diprioritaskan di SLB di Indonesia dan menjadi salah satu pelajaran bidang studi khusus? </w:t>
      </w:r>
    </w:p>
    <w:p w14:paraId="7789ADDF" w14:textId="7F565989" w:rsidR="00F221E4" w:rsidRPr="00F221E4" w:rsidRDefault="00F221E4" w:rsidP="003F0EFC">
      <w:pPr>
        <w:pStyle w:val="ListParagraph"/>
        <w:ind w:left="284" w:right="0" w:hanging="284"/>
        <w:jc w:val="both"/>
        <w:rPr>
          <w:rFonts w:ascii="Times New Roman" w:hAnsi="Times New Roman" w:cs="Times New Roman"/>
          <w:lang w:val="id-ID"/>
        </w:rPr>
      </w:pPr>
      <w:r>
        <w:rPr>
          <w:rFonts w:ascii="Times New Roman" w:hAnsi="Times New Roman" w:cs="Times New Roman"/>
          <w:lang w:val="id-ID"/>
        </w:rPr>
        <w:lastRenderedPageBreak/>
        <w:t>4)</w:t>
      </w:r>
      <w:r w:rsidR="003F0EFC">
        <w:rPr>
          <w:rFonts w:ascii="Times New Roman" w:hAnsi="Times New Roman" w:cs="Times New Roman"/>
          <w:lang w:val="id-ID"/>
        </w:rPr>
        <w:tab/>
      </w:r>
      <w:r w:rsidRPr="00F221E4">
        <w:rPr>
          <w:rFonts w:ascii="Times New Roman" w:hAnsi="Times New Roman" w:cs="Times New Roman"/>
          <w:caps/>
          <w:lang w:val="id-ID"/>
        </w:rPr>
        <w:t>S</w:t>
      </w:r>
      <w:r w:rsidRPr="00F221E4">
        <w:rPr>
          <w:rFonts w:ascii="Times New Roman" w:hAnsi="Times New Roman" w:cs="Times New Roman"/>
          <w:lang w:val="id-ID"/>
        </w:rPr>
        <w:t>udahkah kebutuhan guru pendidikan jasmani adaptif disiapkan secara tersistem oleh sistem pendidikan di perguruan tinggi di indonesia?</w:t>
      </w:r>
    </w:p>
    <w:p w14:paraId="730A33B0" w14:textId="77777777" w:rsidR="008346BF" w:rsidRPr="00606A6A" w:rsidRDefault="00790659" w:rsidP="003F0EFC">
      <w:pPr>
        <w:pStyle w:val="Heading2"/>
        <w:spacing w:line="240" w:lineRule="auto"/>
        <w:rPr>
          <w:i/>
          <w:lang w:val="id-ID"/>
        </w:rPr>
      </w:pPr>
      <w:r>
        <w:t xml:space="preserve">METODE </w:t>
      </w:r>
      <w:r>
        <w:rPr>
          <w:i/>
        </w:rPr>
        <w:t>(mETHOD)</w:t>
      </w:r>
    </w:p>
    <w:p w14:paraId="696DE171" w14:textId="77777777" w:rsidR="00F221E4" w:rsidRDefault="00F221E4" w:rsidP="003F0EFC">
      <w:pPr>
        <w:spacing w:before="0" w:beforeAutospacing="0" w:after="0" w:afterAutospacing="0"/>
        <w:ind w:left="0" w:right="0" w:firstLine="284"/>
        <w:jc w:val="both"/>
        <w:rPr>
          <w:rFonts w:ascii="Times New Roman" w:hAnsi="Times New Roman" w:cs="Times New Roman"/>
          <w:lang w:val="id-ID"/>
        </w:rPr>
      </w:pPr>
      <w:r w:rsidRPr="00C22551">
        <w:rPr>
          <w:rFonts w:ascii="Times New Roman" w:hAnsi="Times New Roman" w:cs="Times New Roman"/>
          <w:lang w:val="id-ID"/>
        </w:rPr>
        <w:t xml:space="preserve">Penelitian ini memilih pendekatan deskriptif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{"citationItems":[{"id":"ITEM-1","itemData":{"DOI":"10.1123/jtpe.2016-0182","ISSN":"15432769","abstract":"Purpose: The purpose of this paper was to review the research literature in physical education to establish what is currently known about the extent to which the national outcome goals have been achieved. Method: Papers were selected through an initial search of the EBSCO database, with main identifiers included being physical education, physical activity, and physical fitness, combined with the descriptors that represented the key idea of each of the give content standards. Further journal articles were then obtained through the citations and references in the original documents. Results: While there is a dearth of results that directly accounts for the accomplishment of the standards, the research suggests that the expectations of performance, as outlined in the standards, are being realized by less than half of all students participating in physical education. Discussion: The discussion presents a model for moving research in the field forward, and suggests there is a need for descriptive studies which provide rich details of the contexts where highly effective, as well as sophisticated interventions whose goal is to produce significant change in selected student outcomes.","author":[{"dropping-particle":"","family":"Hastie","given":"Peter A","non-dropping-particle":"","parse-names":false,"suffix":""}],"container-title":"Journal of Teaching in Physical Education","id":"ITEM-1","issue":"1","issued":{"date-parts":[["2017"]]},"page":"3-19","title":"Revisiting the national physical education content standards: What do we really know about our achievement of the physically educated/literate person?","type":"article-journal","volume":"36"},"uris":["http://www.mendeley.com/documents/?uuid=851395fa-ba46-47ba-8780-0974b0cfee27"]}],"mendeley":{"formattedCitation":"(Hastie, 2017)","plainTextFormattedCitation":"(Hastie, 2017)","previouslyFormattedCitation":"(Hastie, 2017)"},"properties":{"noteIndex":0},"schema":"https://github.com/citation-style-language/schema/raw/master/csl-citation.json"}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(Hastie, 2017)</w:t>
      </w:r>
      <w:r>
        <w:rPr>
          <w:rFonts w:ascii="Times New Roman" w:hAnsi="Times New Roman" w:cs="Times New Roman"/>
          <w:lang w:val="id-ID"/>
        </w:rPr>
        <w:fldChar w:fldCharType="end"/>
      </w:r>
      <w:r>
        <w:rPr>
          <w:rFonts w:ascii="Times New Roman" w:hAnsi="Times New Roman" w:cs="Times New Roman"/>
          <w:lang w:val="id-ID"/>
        </w:rPr>
        <w:t xml:space="preserve"> </w:t>
      </w:r>
      <w:r w:rsidRPr="00C22551">
        <w:rPr>
          <w:rFonts w:ascii="Times New Roman" w:hAnsi="Times New Roman" w:cs="Times New Roman"/>
          <w:lang w:val="id-ID"/>
        </w:rPr>
        <w:t>dan berkepentingan untuk menggambarkan profil guru Pendidikan Jasmani Adaptif di sekolah Luar Biasa, dengan mempelajari minimal tiga aspek terkait, yaitu aspek latar belakang pendidikan, tingkat kesiapan dalam mengemban tugas dikaitkan dengan pengalaman mengajar di sekolah, dan terkait aspek peningkatan keterampilan dan penguasaan bidang keahliannya dikaitkan dengan keikutsertaan mereka dalam pelatihan atau penataran yang terkait dengan disiplin keilmuan yang diajarkannya.</w:t>
      </w:r>
    </w:p>
    <w:p w14:paraId="2BBC0C52" w14:textId="77777777" w:rsidR="00F221E4" w:rsidRPr="005A30B6" w:rsidRDefault="00F221E4" w:rsidP="00F221E4">
      <w:pPr>
        <w:pStyle w:val="ListParagraph"/>
        <w:numPr>
          <w:ilvl w:val="0"/>
          <w:numId w:val="22"/>
        </w:numPr>
        <w:spacing w:before="0" w:beforeAutospacing="0" w:after="0" w:afterAutospacing="0"/>
        <w:ind w:left="360" w:right="0"/>
        <w:jc w:val="both"/>
        <w:rPr>
          <w:rFonts w:ascii="Times New Roman" w:hAnsi="Times New Roman" w:cs="Times New Roman"/>
          <w:i/>
          <w:lang w:val="id-ID"/>
        </w:rPr>
      </w:pPr>
      <w:r w:rsidRPr="005A30B6">
        <w:rPr>
          <w:rFonts w:ascii="Times New Roman" w:hAnsi="Times New Roman" w:cs="Times New Roman"/>
          <w:i/>
          <w:lang w:val="id-ID"/>
        </w:rPr>
        <w:t>Tempat dan waktu</w:t>
      </w:r>
    </w:p>
    <w:p w14:paraId="683179C8" w14:textId="77777777" w:rsidR="00F221E4" w:rsidRDefault="00F221E4" w:rsidP="004B4D38">
      <w:pPr>
        <w:pStyle w:val="ListParagraph"/>
        <w:ind w:left="0" w:firstLine="360"/>
        <w:jc w:val="both"/>
        <w:rPr>
          <w:rFonts w:ascii="Times New Roman" w:hAnsi="Times New Roman" w:cs="Times New Roman"/>
          <w:lang w:val="id-ID"/>
        </w:rPr>
      </w:pPr>
      <w:r w:rsidRPr="00C22551">
        <w:rPr>
          <w:rFonts w:ascii="Times New Roman" w:hAnsi="Times New Roman" w:cs="Times New Roman"/>
          <w:lang w:val="id-ID"/>
        </w:rPr>
        <w:t>Penelitian ini dilaksanakan di kota Bandung dengan menyebar angket kepada seluruh peserta yang mendaftar pada Pelatihan Pendidikan Jasmani Adaptif bagi Guru Sekolah Luar Biasa Indonesia. Oleh karna itu, meskipun lokasi peneliti berada di kota Bandung dan sekitarnya, penelitian ini sebenarnya mencakup seluruh guru Penjas Adaptif di wilayah Indonesia. Pelatihan berlangsung pada tanggal 25 Juni 2020, sehingga penelitian ini berlangsung selama rentang waktu satu bulan setelahnya dan dua bulan setelahnya.</w:t>
      </w:r>
    </w:p>
    <w:p w14:paraId="4D19DF3F" w14:textId="77777777" w:rsidR="00F221E4" w:rsidRPr="00C22551" w:rsidRDefault="00F221E4" w:rsidP="00F221E4">
      <w:pPr>
        <w:pStyle w:val="ListParagraph"/>
        <w:ind w:left="360"/>
        <w:jc w:val="both"/>
        <w:rPr>
          <w:rFonts w:ascii="Times New Roman" w:hAnsi="Times New Roman" w:cs="Times New Roman"/>
          <w:lang w:val="id-ID"/>
        </w:rPr>
      </w:pPr>
    </w:p>
    <w:p w14:paraId="74965BCF" w14:textId="77777777" w:rsidR="00F221E4" w:rsidRPr="005A30B6" w:rsidRDefault="00F221E4" w:rsidP="00F221E4">
      <w:pPr>
        <w:pStyle w:val="ListParagraph"/>
        <w:numPr>
          <w:ilvl w:val="0"/>
          <w:numId w:val="22"/>
        </w:numPr>
        <w:spacing w:before="0" w:beforeAutospacing="0" w:after="0" w:afterAutospacing="0"/>
        <w:ind w:left="360" w:right="0"/>
        <w:jc w:val="both"/>
        <w:rPr>
          <w:rFonts w:ascii="Times New Roman" w:hAnsi="Times New Roman" w:cs="Times New Roman"/>
          <w:i/>
          <w:lang w:val="id-ID"/>
        </w:rPr>
      </w:pPr>
      <w:r w:rsidRPr="005A30B6">
        <w:rPr>
          <w:rFonts w:ascii="Times New Roman" w:hAnsi="Times New Roman" w:cs="Times New Roman"/>
          <w:i/>
          <w:lang w:val="id-ID"/>
        </w:rPr>
        <w:t>Partisipan penelitian,</w:t>
      </w:r>
    </w:p>
    <w:p w14:paraId="474D11EE" w14:textId="77777777" w:rsidR="00F221E4" w:rsidRPr="00C22551" w:rsidRDefault="00F221E4" w:rsidP="003F0EFC">
      <w:pPr>
        <w:pStyle w:val="ListParagraph"/>
        <w:ind w:left="0" w:right="0" w:firstLine="360"/>
        <w:jc w:val="both"/>
        <w:rPr>
          <w:rFonts w:ascii="Times New Roman" w:hAnsi="Times New Roman" w:cs="Times New Roman"/>
          <w:lang w:val="id-ID"/>
        </w:rPr>
      </w:pPr>
      <w:r w:rsidRPr="00C22551">
        <w:rPr>
          <w:rFonts w:ascii="Times New Roman" w:hAnsi="Times New Roman" w:cs="Times New Roman"/>
          <w:lang w:val="id-ID"/>
        </w:rPr>
        <w:t>Partisipan penelitian ini adalah guru Penjas Adaptif yang bertugas di Sekolah Luar Biasa dari berbagai tipe ketunaan, dan kemungkinan dari sekolah Inklusi. Tidak ada batasan jenjang atau tingkat satuan pendidikan, merangkum semua tingkat dari tingkat Sekolah Dasar, SMP, hingga SMA. Apalagi umumnya sekolah SLB di Indonesia dapat berentang sangat luas sehingga menerima siswa dari mulai SD hingga sekolah menengah.</w:t>
      </w:r>
    </w:p>
    <w:p w14:paraId="72B5A981" w14:textId="77777777" w:rsidR="00F221E4" w:rsidRPr="00C22551" w:rsidRDefault="00F221E4" w:rsidP="004B4D38">
      <w:pPr>
        <w:pStyle w:val="ListParagraph"/>
        <w:ind w:left="0" w:firstLine="360"/>
        <w:jc w:val="both"/>
        <w:rPr>
          <w:rFonts w:ascii="Times New Roman" w:hAnsi="Times New Roman" w:cs="Times New Roman"/>
          <w:lang w:val="id-ID"/>
        </w:rPr>
      </w:pPr>
      <w:r w:rsidRPr="00C22551">
        <w:rPr>
          <w:rFonts w:ascii="Times New Roman" w:hAnsi="Times New Roman" w:cs="Times New Roman"/>
          <w:lang w:val="id-ID"/>
        </w:rPr>
        <w:t xml:space="preserve">Jumlah guru yang terjaring jumlahnya 345 orang, yang terdiri dari 119 orang berjenis kelamin laki-laki dan sebanyak 226 guru berjenis kelamin perempuan. Rentang usia guru yang menjadi partisipan berawal dari yang berusia 22 hingga yang berusia 56 </w:t>
      </w:r>
      <w:r w:rsidRPr="00C22551">
        <w:rPr>
          <w:rFonts w:ascii="Times New Roman" w:hAnsi="Times New Roman" w:cs="Times New Roman"/>
          <w:lang w:val="id-ID"/>
        </w:rPr>
        <w:lastRenderedPageBreak/>
        <w:t>Tahun, dengan rentang penngalaman mengajar dari o tahun hingga di atas 34 tahun.</w:t>
      </w:r>
    </w:p>
    <w:p w14:paraId="3E34B618" w14:textId="77777777" w:rsidR="00F221E4" w:rsidRPr="00C22551" w:rsidRDefault="00F221E4" w:rsidP="00F221E4">
      <w:pPr>
        <w:pStyle w:val="ListParagraph"/>
        <w:ind w:left="360"/>
        <w:jc w:val="both"/>
        <w:rPr>
          <w:rFonts w:ascii="Times New Roman" w:hAnsi="Times New Roman" w:cs="Times New Roman"/>
          <w:lang w:val="id-ID"/>
        </w:rPr>
      </w:pPr>
    </w:p>
    <w:p w14:paraId="073A96DB" w14:textId="77777777" w:rsidR="00F221E4" w:rsidRPr="005A30B6" w:rsidRDefault="00F221E4" w:rsidP="00F221E4">
      <w:pPr>
        <w:pStyle w:val="ListParagraph"/>
        <w:numPr>
          <w:ilvl w:val="0"/>
          <w:numId w:val="22"/>
        </w:numPr>
        <w:spacing w:before="0" w:beforeAutospacing="0" w:after="0" w:afterAutospacing="0"/>
        <w:ind w:left="360" w:right="0"/>
        <w:jc w:val="both"/>
        <w:rPr>
          <w:rFonts w:ascii="Times New Roman" w:hAnsi="Times New Roman" w:cs="Times New Roman"/>
          <w:i/>
          <w:lang w:val="id-ID"/>
        </w:rPr>
      </w:pPr>
      <w:r w:rsidRPr="005A30B6">
        <w:rPr>
          <w:rFonts w:ascii="Times New Roman" w:hAnsi="Times New Roman" w:cs="Times New Roman"/>
          <w:i/>
          <w:lang w:val="id-ID"/>
        </w:rPr>
        <w:t>Metode pengumpulan dan pengolahan data</w:t>
      </w:r>
    </w:p>
    <w:p w14:paraId="6DBA04C1" w14:textId="77777777" w:rsidR="00F221E4" w:rsidRPr="00C22551" w:rsidRDefault="00F221E4" w:rsidP="004B4D38">
      <w:pPr>
        <w:pStyle w:val="ListParagraph"/>
        <w:ind w:left="0" w:firstLine="360"/>
        <w:jc w:val="both"/>
        <w:rPr>
          <w:rFonts w:ascii="Times New Roman" w:hAnsi="Times New Roman" w:cs="Times New Roman"/>
          <w:lang w:val="id-ID"/>
        </w:rPr>
      </w:pPr>
      <w:r w:rsidRPr="00C22551">
        <w:rPr>
          <w:rFonts w:ascii="Times New Roman" w:hAnsi="Times New Roman" w:cs="Times New Roman"/>
          <w:lang w:val="id-ID"/>
        </w:rPr>
        <w:t>Data dikumpulkan melalui pengisian google form yang telah disiapkan dan dipasang di awal proses pendaftaran pelatihan, sehingga peserta seolah diwajibkan mengisi formulir atau angket yang disediakan, sehingga seluruh peserta dikondisikan untuk mengisi.</w:t>
      </w:r>
    </w:p>
    <w:p w14:paraId="2A291781" w14:textId="77777777" w:rsidR="00F221E4" w:rsidRPr="00C22551" w:rsidRDefault="00F221E4" w:rsidP="003F0EFC">
      <w:pPr>
        <w:pStyle w:val="ListParagraph"/>
        <w:ind w:left="0" w:right="0" w:firstLine="360"/>
        <w:jc w:val="both"/>
        <w:rPr>
          <w:rFonts w:ascii="Times New Roman" w:hAnsi="Times New Roman" w:cs="Times New Roman"/>
          <w:lang w:val="id-ID"/>
        </w:rPr>
      </w:pPr>
      <w:r w:rsidRPr="00C22551">
        <w:rPr>
          <w:rFonts w:ascii="Times New Roman" w:hAnsi="Times New Roman" w:cs="Times New Roman"/>
          <w:lang w:val="id-ID"/>
        </w:rPr>
        <w:t>Setelah data ditabulasi, disort</w:t>
      </w:r>
      <w:r>
        <w:rPr>
          <w:rFonts w:ascii="Times New Roman" w:hAnsi="Times New Roman" w:cs="Times New Roman"/>
          <w:lang w:val="id-ID"/>
        </w:rPr>
        <w:t>ir</w:t>
      </w:r>
      <w:r w:rsidRPr="00C22551">
        <w:rPr>
          <w:rFonts w:ascii="Times New Roman" w:hAnsi="Times New Roman" w:cs="Times New Roman"/>
          <w:lang w:val="id-ID"/>
        </w:rPr>
        <w:t xml:space="preserve"> dalam aplikasi Excel Microsift Word dan disisihkan secara manual untuk menghindari peserta yang mendaftar dua kali atau lebih. Melalui sort format dalam Excel pula, data peserta dipisahkan dalam sheet yang berbeda, berdasarkan jenis kelamin, jenis sekolah, lama mengajar, tingkat pendidikan, latar belakang pendidikan, pernah tidaknya mengikuti pelatihan, penyelenggara pelatihan, hinga aktif tidaknya dalam organisasi ketunaan seperti BPOC, IPC, Asosiadsi Penjas Adaptif (di Indonesia di sebut ISAPE (</w:t>
      </w:r>
      <w:r w:rsidRPr="005A30B6">
        <w:rPr>
          <w:rFonts w:ascii="Times New Roman" w:hAnsi="Times New Roman" w:cs="Times New Roman"/>
          <w:i/>
          <w:lang w:val="id-ID"/>
        </w:rPr>
        <w:t>Indonesian Society of Adaptive Physical Education</w:t>
      </w:r>
      <w:r w:rsidRPr="00C22551">
        <w:rPr>
          <w:rFonts w:ascii="Times New Roman" w:hAnsi="Times New Roman" w:cs="Times New Roman"/>
          <w:lang w:val="id-ID"/>
        </w:rPr>
        <w:t>), atau sejenis lainnya.</w:t>
      </w:r>
    </w:p>
    <w:p w14:paraId="50C32B6C" w14:textId="77777777" w:rsidR="00F221E4" w:rsidRPr="00C22551" w:rsidRDefault="00F221E4" w:rsidP="003F0EFC">
      <w:pPr>
        <w:pStyle w:val="ListParagraph"/>
        <w:ind w:left="0" w:right="0" w:firstLine="360"/>
        <w:jc w:val="both"/>
        <w:rPr>
          <w:rFonts w:ascii="Times New Roman" w:hAnsi="Times New Roman" w:cs="Times New Roman"/>
          <w:lang w:val="id-ID"/>
        </w:rPr>
      </w:pPr>
      <w:r w:rsidRPr="00C22551">
        <w:rPr>
          <w:rFonts w:ascii="Times New Roman" w:hAnsi="Times New Roman" w:cs="Times New Roman"/>
          <w:lang w:val="id-ID"/>
        </w:rPr>
        <w:t>Data yang tertampil dalam setiap masing-masing kemudian ditabulasi dalam satu table dan dihitung prosentasenya, untuk kemudian mendapatkan analisis dan penyimpulan.</w:t>
      </w:r>
    </w:p>
    <w:p w14:paraId="6A65B363" w14:textId="77777777" w:rsidR="00F221E4" w:rsidRPr="00C22551" w:rsidRDefault="00F221E4" w:rsidP="00F221E4">
      <w:pPr>
        <w:pStyle w:val="ListParagraph"/>
        <w:ind w:left="360"/>
        <w:jc w:val="both"/>
        <w:rPr>
          <w:rFonts w:ascii="Times New Roman" w:hAnsi="Times New Roman" w:cs="Times New Roman"/>
          <w:lang w:val="id-ID"/>
        </w:rPr>
      </w:pPr>
    </w:p>
    <w:p w14:paraId="5A9FBF0B" w14:textId="77777777" w:rsidR="00F221E4" w:rsidRPr="005A30B6" w:rsidRDefault="00F221E4" w:rsidP="00F221E4">
      <w:pPr>
        <w:pStyle w:val="ListParagraph"/>
        <w:numPr>
          <w:ilvl w:val="0"/>
          <w:numId w:val="22"/>
        </w:numPr>
        <w:spacing w:before="0" w:beforeAutospacing="0" w:after="0" w:afterAutospacing="0"/>
        <w:ind w:left="360" w:right="0"/>
        <w:jc w:val="both"/>
        <w:rPr>
          <w:rFonts w:ascii="Times New Roman" w:hAnsi="Times New Roman" w:cs="Times New Roman"/>
          <w:i/>
          <w:lang w:val="id-ID"/>
        </w:rPr>
      </w:pPr>
      <w:r w:rsidRPr="005A30B6">
        <w:rPr>
          <w:rFonts w:ascii="Times New Roman" w:hAnsi="Times New Roman" w:cs="Times New Roman"/>
          <w:i/>
          <w:lang w:val="id-ID"/>
        </w:rPr>
        <w:t>Teknik analisis dan penyimpulan.</w:t>
      </w:r>
    </w:p>
    <w:p w14:paraId="3D710048" w14:textId="77777777" w:rsidR="00F221E4" w:rsidRPr="00C22551" w:rsidRDefault="00F221E4" w:rsidP="003F0EFC">
      <w:pPr>
        <w:pStyle w:val="ListParagraph"/>
        <w:ind w:left="0" w:right="0" w:firstLine="360"/>
        <w:jc w:val="both"/>
        <w:rPr>
          <w:rFonts w:ascii="Times New Roman" w:hAnsi="Times New Roman" w:cs="Times New Roman"/>
          <w:lang w:val="id-ID"/>
        </w:rPr>
      </w:pPr>
      <w:r w:rsidRPr="00C22551">
        <w:rPr>
          <w:rFonts w:ascii="Times New Roman" w:hAnsi="Times New Roman" w:cs="Times New Roman"/>
          <w:lang w:val="id-ID"/>
        </w:rPr>
        <w:t>Data yang diperoleh berupa angka-angka dari setiap kategori dikelompokkan dalam table dan sekaligus dihitung prosentasenya. Besaran prosentase inilah yang kemudian disimpulkan atau diinterpretasikan melalui memberi makna untuk menjawab pertanyaan penelitian serta melihat kecenderungannya dengan pemberian pemaknaan berdasarkan interpretasi fenomenologis</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{"citationItems":[{"id":"ITEM-1","itemData":{"DOI":"10.1080/14780887.2014.955224","ISSN":"14780895","PMID":"27499705","abstract":"Thematic analysis is widely used in qualitative psychology research, and in this article, we present a particular style of thematic analysis known as Template Analysis. We outline the technique and consider its epistemological position, then describe three case studies of research projects which employed Template Analysis to illustrate the diverse ways it can be used. Our first case study illustrates how the technique was employed in data analysis undertaken by a team of researchers in a large-scale qualitative research project. Our second example demonstrates how a qualitative study that set out to build on mainstream theory made use of the a priori themes (themes determined in advance of coding) permitted in Template Analysis. Our final case study shows how Template Analysis can be used from an interpretative phenomenological stance. We highlight the distinctive features of this style of thematic analysis, discuss the kind of research where it may be particularly appropriate, and consider possible limitations of the technique. We conclude that Template Analysis is a flexible form of thematic analysis with real utility in qualitative psychology research.","author":[{"dropping-particle":"","family":"Brooks","given":"Joanna","non-dropping-particle":"","parse-names":false,"suffix":""},{"dropping-particle":"","family":"McCluskey","given":"Serena","non-dropping-particle":"","parse-names":false,"suffix":""},{"dropping-particle":"","family":"Turley","given":"Emma","non-dropping-particle":"","parse-names":false,"suffix":""},{"dropping-particle":"","family":"King","given":"Nigel","non-dropping-particle":"","parse-names":false,"suffix":""}],"container-title":"Qualitative Research in Psychology","id":"ITEM-1","issue":"2","issued":{"date-parts":[["2015"]]},"page":"202-222","title":"The Utility of Template Analysis in Qualitative Psychology Research","type":"article-journal","volume":"12"},"uris":["http://www.mendeley.com/documents/?uuid=27da5211-0716-4262-bfbf-de719f44bbbe"]}],"mendeley":{"formattedCitation":"(Brooks, McCluskey, Turley, &amp; King, 2015)","plainTextFormattedCitation":"(Brooks, McCluskey, Turley, &amp; King, 2015)","previouslyFormattedCitation":"(Brooks, McCluskey, Turley, &amp; King, 2015)"},"properties":{"noteIndex":0},"schema":"https://github.com/citation-style-language/schema/raw/master/csl-citation.json"}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(Brooks, McCluskey, Turley, &amp; King, 2015)</w:t>
      </w:r>
      <w:r>
        <w:rPr>
          <w:rFonts w:ascii="Times New Roman" w:hAnsi="Times New Roman" w:cs="Times New Roman"/>
          <w:lang w:val="id-ID"/>
        </w:rPr>
        <w:fldChar w:fldCharType="end"/>
      </w:r>
      <w:r w:rsidRPr="00C22551">
        <w:rPr>
          <w:rFonts w:ascii="Times New Roman" w:hAnsi="Times New Roman" w:cs="Times New Roman"/>
          <w:lang w:val="id-ID"/>
        </w:rPr>
        <w:t xml:space="preserve">. </w:t>
      </w:r>
    </w:p>
    <w:p w14:paraId="20B133EE" w14:textId="25287ABE" w:rsidR="008346BF" w:rsidRDefault="00790659">
      <w:pPr>
        <w:pStyle w:val="Heading2"/>
        <w:rPr>
          <w:i/>
        </w:rPr>
      </w:pPr>
      <w:r>
        <w:t xml:space="preserve">HASIL </w:t>
      </w:r>
      <w:r>
        <w:rPr>
          <w:i/>
        </w:rPr>
        <w:t>(RESULT)</w:t>
      </w:r>
    </w:p>
    <w:p w14:paraId="376C396D" w14:textId="77777777" w:rsidR="00F221E4" w:rsidRDefault="00F221E4" w:rsidP="003F0EFC">
      <w:pPr>
        <w:ind w:left="0" w:right="0" w:firstLine="284"/>
        <w:jc w:val="both"/>
        <w:rPr>
          <w:rFonts w:ascii="Times New Roman" w:hAnsi="Times New Roman" w:cs="Times New Roman"/>
          <w:lang w:val="id-ID"/>
        </w:rPr>
      </w:pPr>
      <w:r w:rsidRPr="00C22551">
        <w:rPr>
          <w:rFonts w:ascii="Times New Roman" w:hAnsi="Times New Roman" w:cs="Times New Roman"/>
          <w:lang w:val="id-ID"/>
        </w:rPr>
        <w:t>Hasil tabulasi data dan prosentasinya adalah sebagai berikut:</w:t>
      </w:r>
    </w:p>
    <w:p w14:paraId="38300BD9" w14:textId="77777777" w:rsidR="00F221E4" w:rsidRPr="006452E5" w:rsidRDefault="00F221E4" w:rsidP="003F0EFC">
      <w:pPr>
        <w:pStyle w:val="ListParagraph"/>
        <w:numPr>
          <w:ilvl w:val="0"/>
          <w:numId w:val="23"/>
        </w:numPr>
        <w:spacing w:before="0" w:beforeAutospacing="0" w:after="0" w:afterAutospacing="0"/>
        <w:ind w:left="0" w:right="0"/>
        <w:jc w:val="both"/>
        <w:rPr>
          <w:rFonts w:ascii="Times New Roman" w:hAnsi="Times New Roman" w:cs="Times New Roman"/>
          <w:i/>
          <w:lang w:val="id-ID"/>
        </w:rPr>
      </w:pPr>
      <w:r w:rsidRPr="006452E5">
        <w:rPr>
          <w:rFonts w:ascii="Times New Roman" w:hAnsi="Times New Roman" w:cs="Times New Roman"/>
          <w:i/>
          <w:lang w:val="id-ID"/>
        </w:rPr>
        <w:lastRenderedPageBreak/>
        <w:t>Berdasarkan jenis kelamin:</w:t>
      </w:r>
    </w:p>
    <w:p w14:paraId="264349BE" w14:textId="77777777" w:rsidR="00F221E4" w:rsidRDefault="00F221E4" w:rsidP="003F0EFC">
      <w:pPr>
        <w:pStyle w:val="ListParagraph"/>
        <w:ind w:left="0" w:right="0" w:firstLine="360"/>
        <w:jc w:val="both"/>
        <w:rPr>
          <w:rFonts w:ascii="Times New Roman" w:hAnsi="Times New Roman" w:cs="Times New Roman"/>
          <w:lang w:val="id-ID"/>
        </w:rPr>
      </w:pPr>
      <w:r>
        <w:rPr>
          <w:rFonts w:ascii="Times New Roman" w:hAnsi="Times New Roman" w:cs="Times New Roman"/>
          <w:lang w:val="id-ID"/>
        </w:rPr>
        <w:t>Dari sisi gender, kita dapat melihat bahwa guru Penjas Adaptif yang bertugas di SLB, masih menunjukkan data seperti berikut:</w:t>
      </w:r>
    </w:p>
    <w:p w14:paraId="7E70C38E" w14:textId="77777777" w:rsidR="00F221E4" w:rsidRDefault="00F221E4" w:rsidP="003F0EFC">
      <w:pPr>
        <w:pStyle w:val="ListParagraph"/>
        <w:ind w:left="0" w:right="0"/>
        <w:jc w:val="both"/>
        <w:rPr>
          <w:rFonts w:ascii="Times New Roman" w:hAnsi="Times New Roman" w:cs="Times New Roman"/>
          <w:lang w:val="id-ID"/>
        </w:rPr>
      </w:pPr>
    </w:p>
    <w:p w14:paraId="470B0E01" w14:textId="77777777" w:rsidR="00F221E4" w:rsidRPr="00202604" w:rsidRDefault="00F221E4" w:rsidP="003F0EFC">
      <w:pPr>
        <w:pStyle w:val="ListParagraph"/>
        <w:ind w:left="0" w:right="0"/>
        <w:rPr>
          <w:rFonts w:ascii="Times New Roman" w:hAnsi="Times New Roman" w:cs="Times New Roman"/>
          <w:sz w:val="20"/>
          <w:szCs w:val="20"/>
          <w:lang w:val="id-ID"/>
        </w:rPr>
      </w:pPr>
      <w:r w:rsidRPr="00202604">
        <w:rPr>
          <w:rFonts w:ascii="Times New Roman" w:hAnsi="Times New Roman" w:cs="Times New Roman"/>
          <w:sz w:val="20"/>
          <w:szCs w:val="20"/>
          <w:lang w:val="id-ID"/>
        </w:rPr>
        <w:t>Tabel 1.a</w:t>
      </w:r>
    </w:p>
    <w:p w14:paraId="0E251A1A" w14:textId="77777777" w:rsidR="00F221E4" w:rsidRDefault="00F221E4" w:rsidP="003F0EFC">
      <w:pPr>
        <w:pStyle w:val="ListParagraph"/>
        <w:ind w:left="0" w:right="0"/>
        <w:rPr>
          <w:rFonts w:ascii="Times New Roman" w:hAnsi="Times New Roman" w:cs="Times New Roman"/>
          <w:lang w:val="id-ID"/>
        </w:rPr>
      </w:pPr>
      <w:r w:rsidRPr="00202604">
        <w:rPr>
          <w:rFonts w:ascii="Times New Roman" w:hAnsi="Times New Roman" w:cs="Times New Roman"/>
          <w:sz w:val="20"/>
          <w:szCs w:val="20"/>
          <w:lang w:val="id-ID"/>
        </w:rPr>
        <w:t>Profil Guru Penjas Adaptif Berdasarkan Jenis Kelamin</w:t>
      </w:r>
    </w:p>
    <w:p w14:paraId="4D70E204" w14:textId="536B0B88" w:rsidR="00F221E4" w:rsidRPr="004B4D38" w:rsidRDefault="004B4D38" w:rsidP="003F0EFC">
      <w:pPr>
        <w:tabs>
          <w:tab w:val="left" w:pos="2127"/>
          <w:tab w:val="left" w:pos="3402"/>
        </w:tabs>
        <w:ind w:left="0" w:right="0"/>
        <w:jc w:val="both"/>
        <w:rPr>
          <w:rFonts w:ascii="Times New Roman" w:hAnsi="Times New Roman" w:cs="Times New Roman"/>
          <w:b/>
          <w:i/>
          <w:sz w:val="20"/>
          <w:szCs w:val="20"/>
          <w:u w:val="single"/>
          <w:lang w:val="id-ID"/>
        </w:rPr>
      </w:pPr>
      <w:r w:rsidRPr="004B4D38">
        <w:rPr>
          <w:rFonts w:ascii="Times New Roman" w:hAnsi="Times New Roman" w:cs="Times New Roman"/>
          <w:b/>
          <w:i/>
          <w:sz w:val="20"/>
          <w:szCs w:val="20"/>
          <w:u w:val="single"/>
          <w:lang w:val="id-ID"/>
        </w:rPr>
        <w:t xml:space="preserve">Jenis Kelamin </w:t>
      </w:r>
      <w:r w:rsidRPr="004B4D38">
        <w:rPr>
          <w:rFonts w:ascii="Times New Roman" w:hAnsi="Times New Roman" w:cs="Times New Roman"/>
          <w:b/>
          <w:i/>
          <w:sz w:val="20"/>
          <w:szCs w:val="20"/>
          <w:u w:val="single"/>
          <w:lang w:val="id-ID"/>
        </w:rPr>
        <w:tab/>
      </w:r>
      <w:r w:rsidR="003F0EFC">
        <w:rPr>
          <w:rFonts w:ascii="Times New Roman" w:hAnsi="Times New Roman" w:cs="Times New Roman"/>
          <w:b/>
          <w:i/>
          <w:sz w:val="20"/>
          <w:szCs w:val="20"/>
          <w:u w:val="single"/>
          <w:lang w:val="id-ID"/>
        </w:rPr>
        <w:t>Jumlah</w:t>
      </w:r>
      <w:r w:rsidR="003F0EFC">
        <w:rPr>
          <w:rFonts w:ascii="Times New Roman" w:hAnsi="Times New Roman" w:cs="Times New Roman"/>
          <w:b/>
          <w:i/>
          <w:sz w:val="20"/>
          <w:szCs w:val="20"/>
          <w:u w:val="single"/>
          <w:lang w:val="id-ID"/>
        </w:rPr>
        <w:tab/>
      </w:r>
      <w:r w:rsidR="00F221E4" w:rsidRPr="004B4D38">
        <w:rPr>
          <w:rFonts w:ascii="Times New Roman" w:hAnsi="Times New Roman" w:cs="Times New Roman"/>
          <w:b/>
          <w:i/>
          <w:sz w:val="20"/>
          <w:szCs w:val="20"/>
          <w:u w:val="single"/>
          <w:lang w:val="id-ID"/>
        </w:rPr>
        <w:t>%</w:t>
      </w:r>
    </w:p>
    <w:p w14:paraId="29509A02" w14:textId="22E78C82" w:rsidR="004B4D38" w:rsidRPr="004B4D38" w:rsidRDefault="003F0EFC" w:rsidP="003F0EFC">
      <w:pPr>
        <w:tabs>
          <w:tab w:val="left" w:pos="2127"/>
          <w:tab w:val="left" w:pos="3402"/>
        </w:tabs>
        <w:spacing w:before="0" w:beforeAutospacing="0" w:after="0" w:afterAutospacing="0"/>
        <w:ind w:left="0" w:right="0"/>
        <w:jc w:val="both"/>
        <w:rPr>
          <w:rFonts w:ascii="Times New Roman" w:hAnsi="Times New Roman" w:cs="Times New Roman"/>
          <w:i/>
          <w:lang w:val="id-ID"/>
        </w:rPr>
      </w:pPr>
      <w:r>
        <w:rPr>
          <w:rFonts w:ascii="Times New Roman" w:hAnsi="Times New Roman" w:cs="Times New Roman"/>
          <w:i/>
          <w:lang w:val="id-ID"/>
        </w:rPr>
        <w:t>Guru Laki-laki</w:t>
      </w:r>
      <w:r>
        <w:rPr>
          <w:rFonts w:ascii="Times New Roman" w:hAnsi="Times New Roman" w:cs="Times New Roman"/>
          <w:i/>
          <w:lang w:val="id-ID"/>
        </w:rPr>
        <w:tab/>
        <w:t>119</w:t>
      </w:r>
      <w:r>
        <w:rPr>
          <w:rFonts w:ascii="Times New Roman" w:hAnsi="Times New Roman" w:cs="Times New Roman"/>
          <w:i/>
          <w:lang w:val="id-ID"/>
        </w:rPr>
        <w:tab/>
      </w:r>
      <w:r w:rsidR="00F221E4" w:rsidRPr="004B4D38">
        <w:rPr>
          <w:rFonts w:ascii="Times New Roman" w:hAnsi="Times New Roman" w:cs="Times New Roman"/>
          <w:i/>
          <w:lang w:val="id-ID"/>
        </w:rPr>
        <w:t>33,6</w:t>
      </w:r>
    </w:p>
    <w:p w14:paraId="31B61A57" w14:textId="0EF45D9A" w:rsidR="00F221E4" w:rsidRPr="004B4D38" w:rsidRDefault="00F221E4" w:rsidP="003F0EFC">
      <w:pPr>
        <w:tabs>
          <w:tab w:val="left" w:pos="2127"/>
          <w:tab w:val="left" w:pos="3402"/>
        </w:tabs>
        <w:spacing w:before="0" w:beforeAutospacing="0" w:after="0" w:afterAutospacing="0"/>
        <w:ind w:left="0" w:right="0"/>
        <w:jc w:val="both"/>
        <w:rPr>
          <w:rFonts w:ascii="Times New Roman" w:hAnsi="Times New Roman" w:cs="Times New Roman"/>
          <w:i/>
          <w:lang w:val="id-ID"/>
        </w:rPr>
      </w:pPr>
      <w:r w:rsidRPr="004B4D38">
        <w:rPr>
          <w:rFonts w:ascii="Times New Roman" w:hAnsi="Times New Roman" w:cs="Times New Roman"/>
          <w:i/>
          <w:lang w:val="id-ID"/>
        </w:rPr>
        <w:t>Guru Perempuan</w:t>
      </w:r>
      <w:r w:rsidRPr="004B4D38">
        <w:rPr>
          <w:rFonts w:ascii="Times New Roman" w:hAnsi="Times New Roman" w:cs="Times New Roman"/>
          <w:i/>
          <w:lang w:val="id-ID"/>
        </w:rPr>
        <w:tab/>
      </w:r>
      <w:r w:rsidR="003F0EFC">
        <w:rPr>
          <w:rFonts w:ascii="Times New Roman" w:hAnsi="Times New Roman" w:cs="Times New Roman"/>
          <w:i/>
          <w:lang w:val="id-ID"/>
        </w:rPr>
        <w:t>226</w:t>
      </w:r>
      <w:r w:rsidR="003F0EFC">
        <w:rPr>
          <w:rFonts w:ascii="Times New Roman" w:hAnsi="Times New Roman" w:cs="Times New Roman"/>
          <w:i/>
          <w:lang w:val="id-ID"/>
        </w:rPr>
        <w:tab/>
      </w:r>
      <w:r w:rsidRPr="004B4D38">
        <w:rPr>
          <w:rFonts w:ascii="Times New Roman" w:hAnsi="Times New Roman" w:cs="Times New Roman"/>
          <w:i/>
          <w:lang w:val="id-ID"/>
        </w:rPr>
        <w:t>65,5</w:t>
      </w:r>
    </w:p>
    <w:p w14:paraId="28BA5B3A" w14:textId="74760C29" w:rsidR="00F221E4" w:rsidRPr="00C22551" w:rsidRDefault="00F221E4" w:rsidP="003F0EFC">
      <w:pPr>
        <w:ind w:left="0" w:right="0" w:firstLine="341"/>
        <w:jc w:val="both"/>
        <w:rPr>
          <w:rFonts w:ascii="Times New Roman" w:hAnsi="Times New Roman" w:cs="Times New Roman"/>
          <w:lang w:val="id-ID"/>
        </w:rPr>
      </w:pPr>
      <w:r w:rsidRPr="00C22551">
        <w:rPr>
          <w:rFonts w:ascii="Times New Roman" w:hAnsi="Times New Roman" w:cs="Times New Roman"/>
          <w:lang w:val="id-ID"/>
        </w:rPr>
        <w:t xml:space="preserve">Berdasarkan data di atas, dapat disimpulkan bahwa minat untuk menjadi guru Penjas Adaptif di PLB masih didominasi oleh perempuan, yang kemungkinan besar karena mereka tidak melihat kepada bidang studi penjasnya, tetapi lebih didasari pilihan untuk menjadi guru PLB secara umum. Namun, karena di SLB tidak tersedia guru bidang studi penjas adaptif, maka mereka yang sudah terlanjur menjadi guru di SLB tersebut harus bersedia juga menjadi guru Penjas Adaptif. Hal ini berbanding terbalik dengan kecenderungan dominasi </w:t>
      </w:r>
      <w:r>
        <w:rPr>
          <w:rFonts w:ascii="Times New Roman" w:hAnsi="Times New Roman" w:cs="Times New Roman"/>
          <w:lang w:val="id-ID"/>
        </w:rPr>
        <w:t>gender pada</w:t>
      </w:r>
      <w:r w:rsidRPr="00C22551">
        <w:rPr>
          <w:rFonts w:ascii="Times New Roman" w:hAnsi="Times New Roman" w:cs="Times New Roman"/>
          <w:lang w:val="id-ID"/>
        </w:rPr>
        <w:t xml:space="preserve"> guru Penjas umum, di mana guru Penjas umum masih sangat kuat didominasi oleh guru laki-laki.</w:t>
      </w:r>
      <w:r>
        <w:rPr>
          <w:rFonts w:ascii="Times New Roman" w:hAnsi="Times New Roman" w:cs="Times New Roman"/>
          <w:lang w:val="id-ID"/>
        </w:rPr>
        <w:t xml:space="preserve"> Kondisi ini menjelaskan mengapa Penjas di Indonesia masih diwarnai secara mencolok oleh nuansa olahraga, yaitu karena Penjas masih dikuasai oleh laki-laki yang mayoritas masih memegang teguh kepercayaan bahwa Penjas identik dengan olahraga.</w:t>
      </w:r>
    </w:p>
    <w:p w14:paraId="185898D2" w14:textId="77777777" w:rsidR="00F221E4" w:rsidRPr="006452E5" w:rsidRDefault="00F221E4" w:rsidP="003F0EFC">
      <w:pPr>
        <w:pStyle w:val="ListParagraph"/>
        <w:numPr>
          <w:ilvl w:val="0"/>
          <w:numId w:val="23"/>
        </w:numPr>
        <w:spacing w:before="0" w:beforeAutospacing="0" w:after="0" w:afterAutospacing="0"/>
        <w:ind w:left="0" w:right="0" w:hanging="284"/>
        <w:jc w:val="both"/>
        <w:rPr>
          <w:rFonts w:ascii="Times New Roman" w:hAnsi="Times New Roman" w:cs="Times New Roman"/>
          <w:i/>
          <w:lang w:val="id-ID"/>
        </w:rPr>
      </w:pPr>
      <w:r w:rsidRPr="006452E5">
        <w:rPr>
          <w:rFonts w:ascii="Times New Roman" w:hAnsi="Times New Roman" w:cs="Times New Roman"/>
          <w:i/>
          <w:lang w:val="id-ID"/>
        </w:rPr>
        <w:t>Berdasarkan pengalaman mengajar</w:t>
      </w:r>
    </w:p>
    <w:p w14:paraId="77A11963" w14:textId="77777777" w:rsidR="00F221E4" w:rsidRDefault="00F221E4" w:rsidP="003F0EFC">
      <w:pPr>
        <w:spacing w:before="0" w:beforeAutospacing="0" w:after="0" w:afterAutospacing="0"/>
        <w:ind w:left="0" w:right="0" w:firstLine="341"/>
        <w:jc w:val="both"/>
        <w:rPr>
          <w:rFonts w:ascii="Times New Roman" w:hAnsi="Times New Roman" w:cs="Times New Roman"/>
          <w:lang w:val="id-ID"/>
        </w:rPr>
      </w:pPr>
      <w:r>
        <w:rPr>
          <w:rFonts w:ascii="Times New Roman" w:hAnsi="Times New Roman" w:cs="Times New Roman"/>
          <w:lang w:val="id-ID"/>
        </w:rPr>
        <w:t>Dari sisi pengalaman mengajar yang menunjukkan lamanya seseorang  bertugas mengajar di mata pelajaran yang diampu, data yang berhasil di frame adalah sebagai berikut:</w:t>
      </w:r>
    </w:p>
    <w:p w14:paraId="7F65C566" w14:textId="77777777" w:rsidR="004B4D38" w:rsidRDefault="004B4D38" w:rsidP="003F0EFC">
      <w:pPr>
        <w:pStyle w:val="ListParagraph"/>
        <w:spacing w:before="0" w:beforeAutospacing="0" w:after="0" w:afterAutospacing="0"/>
        <w:ind w:left="0" w:right="0"/>
        <w:rPr>
          <w:rFonts w:ascii="Times New Roman" w:hAnsi="Times New Roman" w:cs="Times New Roman"/>
          <w:sz w:val="20"/>
          <w:szCs w:val="20"/>
          <w:lang w:val="id-ID"/>
        </w:rPr>
      </w:pPr>
    </w:p>
    <w:p w14:paraId="19A66537" w14:textId="77777777" w:rsidR="00F221E4" w:rsidRPr="00202604" w:rsidRDefault="00F221E4" w:rsidP="003F0EFC">
      <w:pPr>
        <w:pStyle w:val="ListParagraph"/>
        <w:spacing w:before="0" w:beforeAutospacing="0" w:after="0" w:afterAutospacing="0"/>
        <w:ind w:left="0" w:right="0"/>
        <w:rPr>
          <w:rFonts w:ascii="Times New Roman" w:hAnsi="Times New Roman" w:cs="Times New Roman"/>
          <w:sz w:val="20"/>
          <w:szCs w:val="20"/>
          <w:lang w:val="id-ID"/>
        </w:rPr>
      </w:pPr>
      <w:r w:rsidRPr="00202604">
        <w:rPr>
          <w:rFonts w:ascii="Times New Roman" w:hAnsi="Times New Roman" w:cs="Times New Roman"/>
          <w:sz w:val="20"/>
          <w:szCs w:val="20"/>
          <w:lang w:val="id-ID"/>
        </w:rPr>
        <w:t>Tabel 1.b</w:t>
      </w:r>
    </w:p>
    <w:p w14:paraId="1F85B6FD" w14:textId="77777777" w:rsidR="00F221E4" w:rsidRDefault="00F221E4" w:rsidP="003F0EFC">
      <w:pPr>
        <w:spacing w:before="0" w:beforeAutospacing="0" w:after="0" w:afterAutospacing="0"/>
        <w:ind w:left="0" w:right="0" w:firstLine="720"/>
        <w:rPr>
          <w:rFonts w:ascii="Times New Roman" w:hAnsi="Times New Roman" w:cs="Times New Roman"/>
          <w:lang w:val="id-ID"/>
        </w:rPr>
      </w:pPr>
      <w:r w:rsidRPr="00202604">
        <w:rPr>
          <w:rFonts w:ascii="Times New Roman" w:hAnsi="Times New Roman" w:cs="Times New Roman"/>
          <w:sz w:val="20"/>
          <w:szCs w:val="20"/>
          <w:lang w:val="id-ID"/>
        </w:rPr>
        <w:t>Profil Guru Penjas Adaptif Berdasarkan Lama Mengajar</w:t>
      </w:r>
    </w:p>
    <w:p w14:paraId="4459D1C7" w14:textId="0303EE8B" w:rsidR="00F221E4" w:rsidRPr="004B4D38" w:rsidRDefault="004B4D38" w:rsidP="003F0EFC">
      <w:pPr>
        <w:tabs>
          <w:tab w:val="left" w:pos="2268"/>
          <w:tab w:val="left" w:pos="3261"/>
        </w:tabs>
        <w:ind w:left="0" w:right="0"/>
        <w:jc w:val="both"/>
        <w:rPr>
          <w:rFonts w:ascii="Times New Roman" w:hAnsi="Times New Roman" w:cs="Times New Roman"/>
          <w:b/>
          <w:i/>
          <w:sz w:val="20"/>
          <w:szCs w:val="20"/>
          <w:u w:val="single"/>
          <w:lang w:val="id-ID"/>
        </w:rPr>
      </w:pPr>
      <w:r w:rsidRPr="004B4D38">
        <w:rPr>
          <w:rFonts w:ascii="Times New Roman" w:hAnsi="Times New Roman" w:cs="Times New Roman"/>
          <w:b/>
          <w:i/>
          <w:sz w:val="20"/>
          <w:szCs w:val="20"/>
          <w:u w:val="single"/>
          <w:lang w:val="id-ID"/>
        </w:rPr>
        <w:t xml:space="preserve">Pengalaman Mengajar </w:t>
      </w:r>
      <w:r w:rsidRPr="004B4D38">
        <w:rPr>
          <w:rFonts w:ascii="Times New Roman" w:hAnsi="Times New Roman" w:cs="Times New Roman"/>
          <w:b/>
          <w:i/>
          <w:sz w:val="20"/>
          <w:szCs w:val="20"/>
          <w:u w:val="single"/>
          <w:lang w:val="id-ID"/>
        </w:rPr>
        <w:tab/>
      </w:r>
      <w:r w:rsidR="00F221E4" w:rsidRPr="004B4D38">
        <w:rPr>
          <w:rFonts w:ascii="Times New Roman" w:hAnsi="Times New Roman" w:cs="Times New Roman"/>
          <w:b/>
          <w:i/>
          <w:sz w:val="20"/>
          <w:szCs w:val="20"/>
          <w:u w:val="single"/>
          <w:lang w:val="id-ID"/>
        </w:rPr>
        <w:t xml:space="preserve">Jumlah   </w:t>
      </w:r>
      <w:r w:rsidR="00F221E4" w:rsidRPr="004B4D38">
        <w:rPr>
          <w:rFonts w:ascii="Times New Roman" w:hAnsi="Times New Roman" w:cs="Times New Roman"/>
          <w:b/>
          <w:i/>
          <w:sz w:val="20"/>
          <w:szCs w:val="20"/>
          <w:u w:val="single"/>
          <w:lang w:val="id-ID"/>
        </w:rPr>
        <w:tab/>
        <w:t>%</w:t>
      </w:r>
    </w:p>
    <w:p w14:paraId="44D1A771" w14:textId="356C842C" w:rsidR="00F221E4" w:rsidRPr="00C22551" w:rsidRDefault="004B4D38" w:rsidP="003F0EFC">
      <w:pPr>
        <w:pStyle w:val="ListParagraph"/>
        <w:tabs>
          <w:tab w:val="left" w:pos="2268"/>
          <w:tab w:val="left" w:pos="3261"/>
        </w:tabs>
        <w:ind w:left="0" w:right="0"/>
        <w:jc w:val="both"/>
        <w:rPr>
          <w:rFonts w:ascii="Times New Roman" w:hAnsi="Times New Roman" w:cs="Times New Roman"/>
          <w:lang w:val="id-ID"/>
        </w:rPr>
      </w:pPr>
      <w:r>
        <w:rPr>
          <w:rFonts w:ascii="Times New Roman" w:hAnsi="Times New Roman" w:cs="Times New Roman"/>
          <w:lang w:val="id-ID"/>
        </w:rPr>
        <w:t>Antara 0 – 5 Tahun</w:t>
      </w:r>
      <w:r>
        <w:rPr>
          <w:rFonts w:ascii="Times New Roman" w:hAnsi="Times New Roman" w:cs="Times New Roman"/>
          <w:lang w:val="id-ID"/>
        </w:rPr>
        <w:tab/>
        <w:t>82</w:t>
      </w:r>
      <w:r>
        <w:rPr>
          <w:rFonts w:ascii="Times New Roman" w:hAnsi="Times New Roman" w:cs="Times New Roman"/>
          <w:lang w:val="id-ID"/>
        </w:rPr>
        <w:tab/>
      </w:r>
      <w:r w:rsidR="00F221E4" w:rsidRPr="00C22551">
        <w:rPr>
          <w:rFonts w:ascii="Times New Roman" w:hAnsi="Times New Roman" w:cs="Times New Roman"/>
          <w:lang w:val="id-ID"/>
        </w:rPr>
        <w:t>23,7</w:t>
      </w:r>
    </w:p>
    <w:p w14:paraId="3A118653" w14:textId="69684B2B" w:rsidR="00F221E4" w:rsidRPr="00C22551" w:rsidRDefault="004B4D38" w:rsidP="003F0EFC">
      <w:pPr>
        <w:pStyle w:val="ListParagraph"/>
        <w:tabs>
          <w:tab w:val="left" w:pos="2268"/>
          <w:tab w:val="left" w:pos="3261"/>
        </w:tabs>
        <w:ind w:left="0" w:right="0"/>
        <w:jc w:val="both"/>
        <w:rPr>
          <w:rFonts w:ascii="Times New Roman" w:hAnsi="Times New Roman" w:cs="Times New Roman"/>
          <w:lang w:val="id-ID"/>
        </w:rPr>
      </w:pPr>
      <w:r>
        <w:rPr>
          <w:rFonts w:ascii="Times New Roman" w:hAnsi="Times New Roman" w:cs="Times New Roman"/>
          <w:lang w:val="id-ID"/>
        </w:rPr>
        <w:t>Antara 6 – 10 Tahun</w:t>
      </w:r>
      <w:r>
        <w:rPr>
          <w:rFonts w:ascii="Times New Roman" w:hAnsi="Times New Roman" w:cs="Times New Roman"/>
          <w:lang w:val="id-ID"/>
        </w:rPr>
        <w:tab/>
      </w:r>
      <w:r w:rsidR="00F221E4" w:rsidRPr="00C22551">
        <w:rPr>
          <w:rFonts w:ascii="Times New Roman" w:hAnsi="Times New Roman" w:cs="Times New Roman"/>
          <w:lang w:val="id-ID"/>
        </w:rPr>
        <w:t>85</w:t>
      </w:r>
      <w:r w:rsidR="00F221E4" w:rsidRPr="00C22551">
        <w:rPr>
          <w:rFonts w:ascii="Times New Roman" w:hAnsi="Times New Roman" w:cs="Times New Roman"/>
          <w:lang w:val="id-ID"/>
        </w:rPr>
        <w:tab/>
        <w:t>24,6</w:t>
      </w:r>
    </w:p>
    <w:p w14:paraId="4D5AE3AF" w14:textId="06C15B9E" w:rsidR="00F221E4" w:rsidRPr="00C22551" w:rsidRDefault="004B4D38" w:rsidP="003F0EFC">
      <w:pPr>
        <w:pStyle w:val="ListParagraph"/>
        <w:tabs>
          <w:tab w:val="left" w:pos="2268"/>
          <w:tab w:val="left" w:pos="3261"/>
        </w:tabs>
        <w:ind w:left="0" w:right="0"/>
        <w:jc w:val="both"/>
        <w:rPr>
          <w:rFonts w:ascii="Times New Roman" w:hAnsi="Times New Roman" w:cs="Times New Roman"/>
          <w:lang w:val="id-ID"/>
        </w:rPr>
      </w:pPr>
      <w:r>
        <w:rPr>
          <w:rFonts w:ascii="Times New Roman" w:hAnsi="Times New Roman" w:cs="Times New Roman"/>
          <w:lang w:val="id-ID"/>
        </w:rPr>
        <w:lastRenderedPageBreak/>
        <w:t>Antara 11 – 15 tahun</w:t>
      </w:r>
      <w:r>
        <w:rPr>
          <w:rFonts w:ascii="Times New Roman" w:hAnsi="Times New Roman" w:cs="Times New Roman"/>
          <w:lang w:val="id-ID"/>
        </w:rPr>
        <w:tab/>
      </w:r>
      <w:r w:rsidR="00F221E4" w:rsidRPr="00C22551">
        <w:rPr>
          <w:rFonts w:ascii="Times New Roman" w:hAnsi="Times New Roman" w:cs="Times New Roman"/>
          <w:lang w:val="id-ID"/>
        </w:rPr>
        <w:t>79</w:t>
      </w:r>
      <w:r w:rsidR="00F221E4" w:rsidRPr="00C22551">
        <w:rPr>
          <w:rFonts w:ascii="Times New Roman" w:hAnsi="Times New Roman" w:cs="Times New Roman"/>
          <w:lang w:val="id-ID"/>
        </w:rPr>
        <w:tab/>
        <w:t xml:space="preserve">22,8 </w:t>
      </w:r>
    </w:p>
    <w:p w14:paraId="32DD9FFE" w14:textId="12C4311A" w:rsidR="00F221E4" w:rsidRPr="00C22551" w:rsidRDefault="00F221E4" w:rsidP="003F0EFC">
      <w:pPr>
        <w:pStyle w:val="ListParagraph"/>
        <w:tabs>
          <w:tab w:val="left" w:pos="2268"/>
          <w:tab w:val="left" w:pos="3261"/>
        </w:tabs>
        <w:ind w:left="0" w:right="0"/>
        <w:jc w:val="both"/>
        <w:rPr>
          <w:rFonts w:ascii="Times New Roman" w:hAnsi="Times New Roman" w:cs="Times New Roman"/>
          <w:lang w:val="id-ID"/>
        </w:rPr>
      </w:pPr>
      <w:r w:rsidRPr="00C22551">
        <w:rPr>
          <w:rFonts w:ascii="Times New Roman" w:hAnsi="Times New Roman" w:cs="Times New Roman"/>
          <w:lang w:val="id-ID"/>
        </w:rPr>
        <w:t>Antara 16 – 20 Tahun</w:t>
      </w:r>
      <w:r w:rsidRPr="00C22551">
        <w:rPr>
          <w:rFonts w:ascii="Times New Roman" w:hAnsi="Times New Roman" w:cs="Times New Roman"/>
          <w:lang w:val="id-ID"/>
        </w:rPr>
        <w:tab/>
        <w:t>53</w:t>
      </w:r>
      <w:r w:rsidRPr="00C22551">
        <w:rPr>
          <w:rFonts w:ascii="Times New Roman" w:hAnsi="Times New Roman" w:cs="Times New Roman"/>
          <w:lang w:val="id-ID"/>
        </w:rPr>
        <w:tab/>
        <w:t>15,3</w:t>
      </w:r>
    </w:p>
    <w:p w14:paraId="7B4FB0EE" w14:textId="6F67FE79" w:rsidR="00F221E4" w:rsidRPr="00C22551" w:rsidRDefault="004B4D38" w:rsidP="003F0EFC">
      <w:pPr>
        <w:pStyle w:val="ListParagraph"/>
        <w:tabs>
          <w:tab w:val="left" w:pos="2268"/>
          <w:tab w:val="left" w:pos="3261"/>
        </w:tabs>
        <w:ind w:left="0" w:right="0"/>
        <w:jc w:val="both"/>
        <w:rPr>
          <w:rFonts w:ascii="Times New Roman" w:hAnsi="Times New Roman" w:cs="Times New Roman"/>
          <w:lang w:val="id-ID"/>
        </w:rPr>
      </w:pPr>
      <w:r>
        <w:rPr>
          <w:rFonts w:ascii="Times New Roman" w:hAnsi="Times New Roman" w:cs="Times New Roman"/>
          <w:lang w:val="id-ID"/>
        </w:rPr>
        <w:t>Antara 21 – 25 Tahun</w:t>
      </w:r>
      <w:r>
        <w:rPr>
          <w:rFonts w:ascii="Times New Roman" w:hAnsi="Times New Roman" w:cs="Times New Roman"/>
          <w:lang w:val="id-ID"/>
        </w:rPr>
        <w:tab/>
        <w:t>19</w:t>
      </w:r>
      <w:r>
        <w:rPr>
          <w:rFonts w:ascii="Times New Roman" w:hAnsi="Times New Roman" w:cs="Times New Roman"/>
          <w:lang w:val="id-ID"/>
        </w:rPr>
        <w:tab/>
      </w:r>
      <w:r w:rsidR="00F221E4" w:rsidRPr="00C22551">
        <w:rPr>
          <w:rFonts w:ascii="Times New Roman" w:hAnsi="Times New Roman" w:cs="Times New Roman"/>
          <w:lang w:val="id-ID"/>
        </w:rPr>
        <w:t>5,5</w:t>
      </w:r>
    </w:p>
    <w:p w14:paraId="3B439C9D" w14:textId="6BCF1921" w:rsidR="00F221E4" w:rsidRPr="00C22551" w:rsidRDefault="004B4D38" w:rsidP="003F0EFC">
      <w:pPr>
        <w:pStyle w:val="ListParagraph"/>
        <w:tabs>
          <w:tab w:val="left" w:pos="2268"/>
          <w:tab w:val="left" w:pos="3261"/>
        </w:tabs>
        <w:ind w:left="0" w:right="0"/>
        <w:jc w:val="both"/>
        <w:rPr>
          <w:rFonts w:ascii="Times New Roman" w:hAnsi="Times New Roman" w:cs="Times New Roman"/>
          <w:lang w:val="id-ID"/>
        </w:rPr>
      </w:pPr>
      <w:r>
        <w:rPr>
          <w:rFonts w:ascii="Times New Roman" w:hAnsi="Times New Roman" w:cs="Times New Roman"/>
          <w:lang w:val="id-ID"/>
        </w:rPr>
        <w:t>Antara 26 – 30 tahun</w:t>
      </w:r>
      <w:r>
        <w:rPr>
          <w:rFonts w:ascii="Times New Roman" w:hAnsi="Times New Roman" w:cs="Times New Roman"/>
          <w:lang w:val="id-ID"/>
        </w:rPr>
        <w:tab/>
        <w:t>33</w:t>
      </w:r>
      <w:r>
        <w:rPr>
          <w:rFonts w:ascii="Times New Roman" w:hAnsi="Times New Roman" w:cs="Times New Roman"/>
          <w:lang w:val="id-ID"/>
        </w:rPr>
        <w:tab/>
      </w:r>
      <w:r w:rsidR="00F221E4" w:rsidRPr="00C22551">
        <w:rPr>
          <w:rFonts w:ascii="Times New Roman" w:hAnsi="Times New Roman" w:cs="Times New Roman"/>
          <w:lang w:val="id-ID"/>
        </w:rPr>
        <w:t xml:space="preserve">9,5 </w:t>
      </w:r>
    </w:p>
    <w:p w14:paraId="2BDBFA25" w14:textId="77777777" w:rsidR="00F221E4" w:rsidRDefault="00F221E4" w:rsidP="004B4D38">
      <w:pPr>
        <w:pStyle w:val="ListParagraph"/>
        <w:spacing w:before="0" w:beforeAutospacing="0" w:after="0" w:afterAutospacing="0"/>
        <w:jc w:val="both"/>
        <w:rPr>
          <w:rFonts w:ascii="Times New Roman" w:hAnsi="Times New Roman" w:cs="Times New Roman"/>
          <w:lang w:val="id-ID"/>
        </w:rPr>
      </w:pPr>
    </w:p>
    <w:p w14:paraId="31181F61" w14:textId="77777777" w:rsidR="00F221E4" w:rsidRDefault="00F221E4" w:rsidP="000D7D79">
      <w:pPr>
        <w:spacing w:before="0" w:beforeAutospacing="0" w:after="0" w:afterAutospacing="0"/>
        <w:ind w:left="0" w:right="0" w:firstLine="341"/>
        <w:jc w:val="both"/>
        <w:rPr>
          <w:rFonts w:ascii="Times New Roman" w:hAnsi="Times New Roman" w:cs="Times New Roman"/>
          <w:lang w:val="id-ID"/>
        </w:rPr>
      </w:pPr>
      <w:r w:rsidRPr="00C22551">
        <w:rPr>
          <w:rFonts w:ascii="Times New Roman" w:hAnsi="Times New Roman" w:cs="Times New Roman"/>
          <w:lang w:val="id-ID"/>
        </w:rPr>
        <w:t>Data tersebut menunjukkan bahwa tenaga guru di SLB/SDLB</w:t>
      </w:r>
      <w:r>
        <w:rPr>
          <w:rFonts w:ascii="Times New Roman" w:hAnsi="Times New Roman" w:cs="Times New Roman"/>
          <w:lang w:val="id-ID"/>
        </w:rPr>
        <w:t>/SMPLB/SMALB</w:t>
      </w:r>
      <w:r w:rsidRPr="00C22551">
        <w:rPr>
          <w:rFonts w:ascii="Times New Roman" w:hAnsi="Times New Roman" w:cs="Times New Roman"/>
          <w:lang w:val="id-ID"/>
        </w:rPr>
        <w:t xml:space="preserve"> masih didukung oleh barisan guru-guru yang berusia muda, sehingga masih mampu dengan semangat menjalankan tugas sebagai guru yang memimpin anak berolahraga. </w:t>
      </w:r>
      <w:r>
        <w:rPr>
          <w:rFonts w:ascii="Times New Roman" w:hAnsi="Times New Roman" w:cs="Times New Roman"/>
          <w:lang w:val="id-ID"/>
        </w:rPr>
        <w:t>Mereka yang masih gress berkisar di hampir 24 persen, disusul oleh yang berpengalaman 6 – 10 tahun sebesar 24,6 persen. Sedangkan yang senior dengan pengalaman kerja di antara 21-25 tahun hanya terdiri dari 5,5 persen, dan di atasnya berjumlah sekitar 9,5 persen.</w:t>
      </w:r>
    </w:p>
    <w:p w14:paraId="0578A016" w14:textId="77777777" w:rsidR="00F221E4" w:rsidRDefault="00F221E4" w:rsidP="000D7D79">
      <w:pPr>
        <w:spacing w:before="0" w:beforeAutospacing="0" w:after="0" w:afterAutospacing="0"/>
        <w:ind w:left="0" w:right="0" w:firstLine="284"/>
        <w:jc w:val="both"/>
        <w:rPr>
          <w:rFonts w:ascii="Open Sans" w:eastAsia="Times New Roman" w:hAnsi="Open Sans" w:cs="Times New Roman"/>
          <w:color w:val="333333"/>
          <w:lang w:val="en-ID"/>
        </w:rPr>
      </w:pPr>
      <w:r w:rsidRPr="00C22551">
        <w:rPr>
          <w:rFonts w:ascii="Times New Roman" w:hAnsi="Times New Roman" w:cs="Times New Roman"/>
          <w:lang w:val="id-ID"/>
        </w:rPr>
        <w:t xml:space="preserve">Persoalannya, Penjas Adaptif tidak selalu identik dengan olahraga, melainkan harusnya dipandang sebagai alat untuk </w:t>
      </w:r>
      <w:r w:rsidRPr="00C22551">
        <w:rPr>
          <w:rFonts w:ascii="Open Sans" w:eastAsia="Times New Roman" w:hAnsi="Open Sans" w:cs="Times New Roman"/>
          <w:color w:val="333333"/>
          <w:lang w:val="en-ID"/>
        </w:rPr>
        <w:t xml:space="preserve"> membuka dan memberi kesempatan yang menyebabkannya mampu berpartisipasi dalam aktivitas fisk yang mereka sukai dan nikmati. </w:t>
      </w:r>
      <w:r w:rsidRPr="00C22551">
        <w:rPr>
          <w:rFonts w:ascii="Open Sans" w:eastAsia="Times New Roman" w:hAnsi="Open Sans" w:cs="Times New Roman" w:hint="eastAsia"/>
          <w:color w:val="333333"/>
          <w:lang w:val="en-ID"/>
        </w:rPr>
        <w:t>“</w:t>
      </w:r>
      <w:r w:rsidRPr="00C22551">
        <w:rPr>
          <w:rFonts w:ascii="Open Sans" w:eastAsia="Times New Roman" w:hAnsi="Open Sans" w:cs="Times New Roman"/>
          <w:color w:val="333333"/>
          <w:lang w:val="en-ID"/>
        </w:rPr>
        <w:t xml:space="preserve">Quality Health and Physical Education opens a world of sport, physical activity, recreation and lifelong health to our children. It is not about creating champions </w:t>
      </w:r>
      <w:r>
        <w:rPr>
          <w:rFonts w:ascii="Open Sans" w:eastAsia="Times New Roman" w:hAnsi="Open Sans" w:cs="Times New Roman"/>
          <w:color w:val="333333"/>
          <w:lang w:val="en-ID"/>
        </w:rPr>
        <w:t>and elite level athletes (</w:t>
      </w:r>
      <w:r w:rsidRPr="005A30B6">
        <w:rPr>
          <w:rFonts w:ascii="Open Sans" w:eastAsia="Times New Roman" w:hAnsi="Open Sans" w:cs="Times New Roman"/>
          <w:color w:val="333333"/>
          <w:lang w:val="en-ID"/>
        </w:rPr>
        <w:t>Shelton</w:t>
      </w:r>
      <w:r>
        <w:rPr>
          <w:rFonts w:ascii="Open Sans" w:eastAsia="Times New Roman" w:hAnsi="Open Sans" w:cs="Times New Roman"/>
          <w:color w:val="333333"/>
          <w:lang w:val="en-ID"/>
        </w:rPr>
        <w:t>, 2020). Semakin senior seorang guru, semakin ia menghindar dari tugas mengajar Penjas, dan memilih untuk memerankan tugas dan fungsi yang lebih non-fisikal. Hal tersebut dapat terlihat dari semakin mengecilnya proporsi guru yang senior.</w:t>
      </w:r>
      <w:r w:rsidRPr="00C22551">
        <w:rPr>
          <w:rFonts w:ascii="Open Sans" w:eastAsia="Times New Roman" w:hAnsi="Open Sans" w:cs="Times New Roman"/>
          <w:color w:val="333333"/>
          <w:lang w:val="en-ID"/>
        </w:rPr>
        <w:t xml:space="preserve"> </w:t>
      </w:r>
    </w:p>
    <w:p w14:paraId="22C6563A" w14:textId="77777777" w:rsidR="000D7D79" w:rsidRPr="005A30B6" w:rsidRDefault="000D7D79" w:rsidP="000D7D79">
      <w:pPr>
        <w:spacing w:before="0" w:beforeAutospacing="0" w:after="0" w:afterAutospacing="0"/>
        <w:ind w:left="0" w:right="0" w:firstLine="284"/>
        <w:jc w:val="both"/>
        <w:rPr>
          <w:rFonts w:ascii="Times" w:eastAsia="Times New Roman" w:hAnsi="Times" w:cs="Times New Roman"/>
          <w:sz w:val="20"/>
          <w:szCs w:val="20"/>
          <w:lang w:val="en-ID"/>
        </w:rPr>
      </w:pPr>
    </w:p>
    <w:p w14:paraId="7DEB09D7" w14:textId="77777777" w:rsidR="00F221E4" w:rsidRPr="006452E5" w:rsidRDefault="00F221E4" w:rsidP="004B4D38">
      <w:pPr>
        <w:pStyle w:val="ListParagraph"/>
        <w:numPr>
          <w:ilvl w:val="0"/>
          <w:numId w:val="23"/>
        </w:numPr>
        <w:spacing w:before="0" w:beforeAutospacing="0" w:after="0" w:afterAutospacing="0"/>
        <w:ind w:left="284" w:right="0" w:hanging="284"/>
        <w:jc w:val="both"/>
        <w:rPr>
          <w:rFonts w:ascii="Times New Roman" w:hAnsi="Times New Roman" w:cs="Times New Roman"/>
          <w:i/>
          <w:lang w:val="id-ID"/>
        </w:rPr>
      </w:pPr>
      <w:r w:rsidRPr="006452E5">
        <w:rPr>
          <w:rFonts w:ascii="Times New Roman" w:hAnsi="Times New Roman" w:cs="Times New Roman"/>
          <w:i/>
          <w:lang w:val="id-ID"/>
        </w:rPr>
        <w:t>Berdasarkan  Tingkat Pendidikan</w:t>
      </w:r>
    </w:p>
    <w:p w14:paraId="3CE58361" w14:textId="77777777" w:rsidR="00F221E4" w:rsidRDefault="00F221E4" w:rsidP="004B4D38">
      <w:pPr>
        <w:pStyle w:val="ListParagraph"/>
        <w:ind w:left="0" w:firstLine="284"/>
        <w:jc w:val="both"/>
        <w:rPr>
          <w:rFonts w:ascii="Times New Roman" w:hAnsi="Times New Roman" w:cs="Times New Roman"/>
          <w:lang w:val="id-ID"/>
        </w:rPr>
      </w:pPr>
      <w:r>
        <w:rPr>
          <w:rFonts w:ascii="Times New Roman" w:hAnsi="Times New Roman" w:cs="Times New Roman"/>
          <w:lang w:val="id-ID"/>
        </w:rPr>
        <w:t>Dari sisi tingkat pendidikan, data yang dapat ditampilkan adalah sebagai berikut:</w:t>
      </w:r>
    </w:p>
    <w:p w14:paraId="4BEDE6E5" w14:textId="77777777" w:rsidR="00F221E4" w:rsidRDefault="00F221E4" w:rsidP="00F221E4">
      <w:pPr>
        <w:pStyle w:val="ListParagraph"/>
        <w:ind w:left="0" w:firstLine="720"/>
        <w:jc w:val="both"/>
        <w:rPr>
          <w:rFonts w:ascii="Times New Roman" w:hAnsi="Times New Roman" w:cs="Times New Roman"/>
          <w:lang w:val="id-ID"/>
        </w:rPr>
      </w:pPr>
    </w:p>
    <w:p w14:paraId="00BFC40D" w14:textId="77777777" w:rsidR="00F221E4" w:rsidRPr="00202604" w:rsidRDefault="00F221E4" w:rsidP="004B4D38">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Tabel 1.c</w:t>
      </w:r>
    </w:p>
    <w:p w14:paraId="57D0C691" w14:textId="77777777" w:rsidR="00F221E4" w:rsidRDefault="00F221E4" w:rsidP="004B4D38">
      <w:pPr>
        <w:pStyle w:val="ListParagraph"/>
        <w:ind w:left="0"/>
        <w:rPr>
          <w:rFonts w:ascii="Times New Roman" w:hAnsi="Times New Roman" w:cs="Times New Roman"/>
          <w:lang w:val="id-ID"/>
        </w:rPr>
      </w:pPr>
      <w:r w:rsidRPr="00202604">
        <w:rPr>
          <w:rFonts w:ascii="Times New Roman" w:hAnsi="Times New Roman" w:cs="Times New Roman"/>
          <w:sz w:val="20"/>
          <w:szCs w:val="20"/>
          <w:lang w:val="id-ID"/>
        </w:rPr>
        <w:t>Profil Guru Penjas A</w:t>
      </w:r>
      <w:r>
        <w:rPr>
          <w:rFonts w:ascii="Times New Roman" w:hAnsi="Times New Roman" w:cs="Times New Roman"/>
          <w:sz w:val="20"/>
          <w:szCs w:val="20"/>
          <w:lang w:val="id-ID"/>
        </w:rPr>
        <w:t>daptif Berdasarkan Tingkat Pendidikan</w:t>
      </w:r>
    </w:p>
    <w:p w14:paraId="68E43206" w14:textId="420BE4E1" w:rsidR="00F221E4" w:rsidRPr="004B4D38" w:rsidRDefault="004B4D38" w:rsidP="004B4D38">
      <w:pPr>
        <w:tabs>
          <w:tab w:val="left" w:pos="2268"/>
          <w:tab w:val="left" w:pos="3402"/>
        </w:tabs>
        <w:ind w:firstLine="57"/>
        <w:jc w:val="both"/>
        <w:rPr>
          <w:rFonts w:ascii="Times New Roman" w:hAnsi="Times New Roman" w:cs="Times New Roman"/>
          <w:b/>
          <w:sz w:val="20"/>
          <w:szCs w:val="20"/>
          <w:u w:val="single"/>
          <w:lang w:val="id-ID"/>
        </w:rPr>
      </w:pPr>
      <w:r>
        <w:rPr>
          <w:rFonts w:ascii="Times New Roman" w:hAnsi="Times New Roman" w:cs="Times New Roman"/>
          <w:b/>
          <w:i/>
          <w:sz w:val="20"/>
          <w:szCs w:val="20"/>
          <w:u w:val="single"/>
          <w:lang w:val="id-ID"/>
        </w:rPr>
        <w:t>Qualifikasi Pendidikan</w:t>
      </w:r>
      <w:r>
        <w:rPr>
          <w:rFonts w:ascii="Times New Roman" w:hAnsi="Times New Roman" w:cs="Times New Roman"/>
          <w:b/>
          <w:i/>
          <w:sz w:val="20"/>
          <w:szCs w:val="20"/>
          <w:u w:val="single"/>
          <w:lang w:val="id-ID"/>
        </w:rPr>
        <w:tab/>
      </w:r>
      <w:r w:rsidR="00F221E4" w:rsidRPr="004B4D38">
        <w:rPr>
          <w:rFonts w:ascii="Times New Roman" w:hAnsi="Times New Roman" w:cs="Times New Roman"/>
          <w:b/>
          <w:i/>
          <w:sz w:val="20"/>
          <w:szCs w:val="20"/>
          <w:u w:val="single"/>
          <w:lang w:val="id-ID"/>
        </w:rPr>
        <w:t>JUMLAH</w:t>
      </w:r>
      <w:r>
        <w:rPr>
          <w:rFonts w:ascii="Times New Roman" w:hAnsi="Times New Roman" w:cs="Times New Roman"/>
          <w:b/>
          <w:sz w:val="20"/>
          <w:szCs w:val="20"/>
          <w:u w:val="single"/>
          <w:lang w:val="id-ID"/>
        </w:rPr>
        <w:tab/>
      </w:r>
      <w:r w:rsidR="00F221E4" w:rsidRPr="004B4D38">
        <w:rPr>
          <w:rFonts w:ascii="Times New Roman" w:hAnsi="Times New Roman" w:cs="Times New Roman"/>
          <w:b/>
          <w:sz w:val="20"/>
          <w:szCs w:val="20"/>
          <w:u w:val="single"/>
          <w:lang w:val="id-ID"/>
        </w:rPr>
        <w:t>%</w:t>
      </w:r>
    </w:p>
    <w:p w14:paraId="15600DB0" w14:textId="1768EC3C" w:rsidR="00F221E4" w:rsidRPr="004B4D38" w:rsidRDefault="004B4D38" w:rsidP="004B4D38">
      <w:pPr>
        <w:tabs>
          <w:tab w:val="left" w:pos="1985"/>
          <w:tab w:val="left" w:pos="3261"/>
        </w:tabs>
        <w:spacing w:before="0" w:beforeAutospacing="0" w:after="0" w:afterAutospacing="0"/>
        <w:ind w:left="0"/>
        <w:jc w:val="both"/>
        <w:rPr>
          <w:rFonts w:ascii="Times New Roman" w:hAnsi="Times New Roman" w:cs="Times New Roman"/>
          <w:i/>
          <w:lang w:val="id-ID"/>
        </w:rPr>
      </w:pPr>
      <w:r w:rsidRPr="004B4D38">
        <w:rPr>
          <w:rFonts w:ascii="Times New Roman" w:hAnsi="Times New Roman" w:cs="Times New Roman"/>
          <w:i/>
          <w:lang w:val="id-ID"/>
        </w:rPr>
        <w:t>SMA</w:t>
      </w:r>
      <w:r w:rsidRPr="004B4D38">
        <w:rPr>
          <w:rFonts w:ascii="Times New Roman" w:hAnsi="Times New Roman" w:cs="Times New Roman"/>
          <w:i/>
          <w:lang w:val="id-ID"/>
        </w:rPr>
        <w:tab/>
        <w:t>5 orang</w:t>
      </w:r>
      <w:r w:rsidRPr="004B4D38">
        <w:rPr>
          <w:rFonts w:ascii="Times New Roman" w:hAnsi="Times New Roman" w:cs="Times New Roman"/>
          <w:i/>
          <w:lang w:val="id-ID"/>
        </w:rPr>
        <w:tab/>
      </w:r>
      <w:r w:rsidR="00F221E4" w:rsidRPr="004B4D38">
        <w:rPr>
          <w:rFonts w:ascii="Times New Roman" w:hAnsi="Times New Roman" w:cs="Times New Roman"/>
          <w:i/>
          <w:lang w:val="id-ID"/>
        </w:rPr>
        <w:t>1,44</w:t>
      </w:r>
    </w:p>
    <w:p w14:paraId="20F9D5EE" w14:textId="7150DC8C" w:rsidR="00F221E4" w:rsidRPr="004B4D38" w:rsidRDefault="004B4D38" w:rsidP="004B4D38">
      <w:pPr>
        <w:tabs>
          <w:tab w:val="left" w:pos="1985"/>
          <w:tab w:val="left" w:pos="3261"/>
        </w:tabs>
        <w:spacing w:before="0" w:beforeAutospacing="0" w:after="0" w:afterAutospacing="0"/>
        <w:ind w:left="0"/>
        <w:jc w:val="both"/>
        <w:rPr>
          <w:rFonts w:ascii="Times New Roman" w:hAnsi="Times New Roman" w:cs="Times New Roman"/>
          <w:i/>
          <w:lang w:val="id-ID"/>
        </w:rPr>
      </w:pPr>
      <w:r w:rsidRPr="004B4D38">
        <w:rPr>
          <w:rFonts w:ascii="Times New Roman" w:hAnsi="Times New Roman" w:cs="Times New Roman"/>
          <w:i/>
          <w:lang w:val="id-ID"/>
        </w:rPr>
        <w:t>D3</w:t>
      </w:r>
      <w:r w:rsidRPr="004B4D38">
        <w:rPr>
          <w:rFonts w:ascii="Times New Roman" w:hAnsi="Times New Roman" w:cs="Times New Roman"/>
          <w:i/>
          <w:lang w:val="id-ID"/>
        </w:rPr>
        <w:tab/>
        <w:t>3 orang</w:t>
      </w:r>
      <w:r w:rsidRPr="004B4D38">
        <w:rPr>
          <w:rFonts w:ascii="Times New Roman" w:hAnsi="Times New Roman" w:cs="Times New Roman"/>
          <w:i/>
          <w:lang w:val="id-ID"/>
        </w:rPr>
        <w:tab/>
      </w:r>
      <w:r w:rsidR="00F221E4" w:rsidRPr="004B4D38">
        <w:rPr>
          <w:rFonts w:ascii="Times New Roman" w:hAnsi="Times New Roman" w:cs="Times New Roman"/>
          <w:i/>
          <w:lang w:val="id-ID"/>
        </w:rPr>
        <w:t>0,86</w:t>
      </w:r>
    </w:p>
    <w:p w14:paraId="2B90DFC2" w14:textId="5C1B03AF" w:rsidR="00F221E4" w:rsidRPr="004B4D38" w:rsidRDefault="004B4D38" w:rsidP="004B4D38">
      <w:pPr>
        <w:tabs>
          <w:tab w:val="left" w:pos="1985"/>
          <w:tab w:val="left" w:pos="3261"/>
        </w:tabs>
        <w:spacing w:before="0" w:beforeAutospacing="0" w:after="0" w:afterAutospacing="0"/>
        <w:ind w:left="0"/>
        <w:jc w:val="both"/>
        <w:rPr>
          <w:rFonts w:ascii="Times New Roman" w:hAnsi="Times New Roman" w:cs="Times New Roman"/>
          <w:i/>
          <w:lang w:val="id-ID"/>
        </w:rPr>
      </w:pPr>
      <w:r w:rsidRPr="004B4D38">
        <w:rPr>
          <w:rFonts w:ascii="Times New Roman" w:hAnsi="Times New Roman" w:cs="Times New Roman"/>
          <w:i/>
          <w:lang w:val="id-ID"/>
        </w:rPr>
        <w:t>S1</w:t>
      </w:r>
      <w:r w:rsidRPr="004B4D38">
        <w:rPr>
          <w:rFonts w:ascii="Times New Roman" w:hAnsi="Times New Roman" w:cs="Times New Roman"/>
          <w:i/>
          <w:lang w:val="id-ID"/>
        </w:rPr>
        <w:tab/>
        <w:t>301 orang</w:t>
      </w:r>
      <w:r w:rsidRPr="004B4D38">
        <w:rPr>
          <w:rFonts w:ascii="Times New Roman" w:hAnsi="Times New Roman" w:cs="Times New Roman"/>
          <w:i/>
          <w:lang w:val="id-ID"/>
        </w:rPr>
        <w:tab/>
      </w:r>
      <w:r w:rsidR="00F221E4" w:rsidRPr="004B4D38">
        <w:rPr>
          <w:rFonts w:ascii="Times New Roman" w:hAnsi="Times New Roman" w:cs="Times New Roman"/>
          <w:i/>
          <w:lang w:val="id-ID"/>
        </w:rPr>
        <w:t>87,2</w:t>
      </w:r>
    </w:p>
    <w:p w14:paraId="6FE4D636" w14:textId="59F6773F" w:rsidR="00F221E4" w:rsidRPr="004B4D38" w:rsidRDefault="004B4D38" w:rsidP="004B4D38">
      <w:pPr>
        <w:tabs>
          <w:tab w:val="left" w:pos="1985"/>
          <w:tab w:val="left" w:pos="3261"/>
        </w:tabs>
        <w:spacing w:before="0" w:beforeAutospacing="0" w:after="0" w:afterAutospacing="0"/>
        <w:ind w:left="0"/>
        <w:jc w:val="both"/>
        <w:rPr>
          <w:rFonts w:ascii="Times New Roman" w:hAnsi="Times New Roman" w:cs="Times New Roman"/>
          <w:i/>
          <w:lang w:val="id-ID"/>
        </w:rPr>
      </w:pPr>
      <w:r w:rsidRPr="004B4D38">
        <w:rPr>
          <w:rFonts w:ascii="Times New Roman" w:hAnsi="Times New Roman" w:cs="Times New Roman"/>
          <w:i/>
          <w:lang w:val="id-ID"/>
        </w:rPr>
        <w:t>S2</w:t>
      </w:r>
      <w:r w:rsidRPr="004B4D38">
        <w:rPr>
          <w:rFonts w:ascii="Times New Roman" w:hAnsi="Times New Roman" w:cs="Times New Roman"/>
          <w:i/>
          <w:lang w:val="id-ID"/>
        </w:rPr>
        <w:tab/>
        <w:t>36 orang</w:t>
      </w:r>
      <w:r w:rsidRPr="004B4D38">
        <w:rPr>
          <w:rFonts w:ascii="Times New Roman" w:hAnsi="Times New Roman" w:cs="Times New Roman"/>
          <w:i/>
          <w:lang w:val="id-ID"/>
        </w:rPr>
        <w:tab/>
      </w:r>
      <w:r w:rsidR="00F221E4" w:rsidRPr="004B4D38">
        <w:rPr>
          <w:rFonts w:ascii="Times New Roman" w:hAnsi="Times New Roman" w:cs="Times New Roman"/>
          <w:i/>
          <w:lang w:val="id-ID"/>
        </w:rPr>
        <w:t>10,43</w:t>
      </w:r>
    </w:p>
    <w:p w14:paraId="098DAF2E" w14:textId="128B9718" w:rsidR="00F221E4" w:rsidRPr="00C22551" w:rsidRDefault="00F221E4" w:rsidP="004B4D38">
      <w:pPr>
        <w:ind w:firstLine="341"/>
        <w:jc w:val="both"/>
        <w:rPr>
          <w:rFonts w:ascii="Times New Roman" w:hAnsi="Times New Roman" w:cs="Times New Roman"/>
          <w:lang w:val="id-ID"/>
        </w:rPr>
      </w:pPr>
      <w:r>
        <w:rPr>
          <w:rFonts w:ascii="Times New Roman" w:hAnsi="Times New Roman" w:cs="Times New Roman"/>
          <w:lang w:val="id-ID"/>
        </w:rPr>
        <w:lastRenderedPageBreak/>
        <w:t>Artinya, sesuai dengan tuntutan dari Undang-Undang Gur</w:t>
      </w:r>
      <w:r w:rsidR="004B4D38">
        <w:rPr>
          <w:rFonts w:ascii="Times New Roman" w:hAnsi="Times New Roman" w:cs="Times New Roman"/>
          <w:lang w:val="id-ID"/>
        </w:rPr>
        <w:t>u</w:t>
      </w:r>
      <w:r>
        <w:rPr>
          <w:rFonts w:ascii="Times New Roman" w:hAnsi="Times New Roman" w:cs="Times New Roman"/>
          <w:lang w:val="id-ID"/>
        </w:rPr>
        <w:t xml:space="preserve"> dan Dosen terkait dengan kualifikasi guru yang harus setara Sarjana satu dan atau Diploma IV, para guru di SLB-PLB di Indonesia sudah mulai memenuhi syarat kualifikasi pendidikan minimal S1. Tidak diragukan bahwa dari sisi tingkat pendidikan, kualifikasi para guru sudah tidak perlu diragukan karena mencapai 87 persennya sudah berkualifikasi Sarjana. Bahkan kekuatan kualifikasi ini sudah ditambah oleh mereka yang sudah berkualifikasi S2, sebanyak 10.43 persen. Hal ini mengindikasikan bahwa kekuatan guru SLB sudah cukup kuat dan memenuhi syarat.</w:t>
      </w:r>
    </w:p>
    <w:p w14:paraId="02F1DC1C" w14:textId="77777777" w:rsidR="00F221E4" w:rsidRPr="006452E5" w:rsidRDefault="00F221E4" w:rsidP="004B4D38">
      <w:pPr>
        <w:pStyle w:val="ListParagraph"/>
        <w:numPr>
          <w:ilvl w:val="0"/>
          <w:numId w:val="23"/>
        </w:numPr>
        <w:spacing w:before="0" w:beforeAutospacing="0" w:after="0" w:afterAutospacing="0"/>
        <w:ind w:right="0"/>
        <w:jc w:val="both"/>
        <w:rPr>
          <w:rFonts w:ascii="Times New Roman" w:hAnsi="Times New Roman" w:cs="Times New Roman"/>
          <w:i/>
          <w:lang w:val="id-ID"/>
        </w:rPr>
      </w:pPr>
      <w:r w:rsidRPr="006452E5">
        <w:rPr>
          <w:rFonts w:ascii="Times New Roman" w:hAnsi="Times New Roman" w:cs="Times New Roman"/>
          <w:i/>
          <w:lang w:val="id-ID"/>
        </w:rPr>
        <w:t>Berdasarkan Latar Belakang Pendidikan</w:t>
      </w:r>
    </w:p>
    <w:p w14:paraId="732E9AC8" w14:textId="77777777" w:rsidR="00F221E4" w:rsidRDefault="00F221E4" w:rsidP="004B4D38">
      <w:pPr>
        <w:spacing w:before="0" w:beforeAutospacing="0" w:after="0" w:afterAutospacing="0"/>
        <w:ind w:firstLine="341"/>
        <w:jc w:val="both"/>
        <w:rPr>
          <w:rFonts w:ascii="Times New Roman" w:hAnsi="Times New Roman" w:cs="Times New Roman"/>
          <w:lang w:val="id-ID"/>
        </w:rPr>
      </w:pPr>
      <w:r>
        <w:rPr>
          <w:rFonts w:ascii="Times New Roman" w:hAnsi="Times New Roman" w:cs="Times New Roman"/>
          <w:lang w:val="id-ID"/>
        </w:rPr>
        <w:t>Sebagai fokus utama dari penelitian ini, profil guru dengan latar belakang pendidikan keilmuan yang relevan menunjukkan data sebagai berikut:</w:t>
      </w:r>
    </w:p>
    <w:p w14:paraId="140AFDFC" w14:textId="77777777" w:rsidR="004B4D38" w:rsidRDefault="004B4D38" w:rsidP="004B4D38">
      <w:pPr>
        <w:pStyle w:val="ListParagraph"/>
        <w:spacing w:before="0" w:beforeAutospacing="0" w:after="0" w:afterAutospacing="0"/>
        <w:rPr>
          <w:rFonts w:ascii="Times New Roman" w:hAnsi="Times New Roman" w:cs="Times New Roman"/>
          <w:sz w:val="20"/>
          <w:szCs w:val="20"/>
          <w:lang w:val="id-ID"/>
        </w:rPr>
      </w:pPr>
    </w:p>
    <w:p w14:paraId="1611209F" w14:textId="77777777" w:rsidR="00F221E4" w:rsidRPr="00202604" w:rsidRDefault="00F221E4" w:rsidP="004B4D38">
      <w:pPr>
        <w:pStyle w:val="ListParagraph"/>
        <w:spacing w:before="0" w:beforeAutospacing="0" w:after="0" w:afterAutospacing="0"/>
        <w:ind w:left="0"/>
        <w:rPr>
          <w:rFonts w:ascii="Times New Roman" w:hAnsi="Times New Roman" w:cs="Times New Roman"/>
          <w:sz w:val="20"/>
          <w:szCs w:val="20"/>
          <w:lang w:val="id-ID"/>
        </w:rPr>
      </w:pPr>
      <w:r>
        <w:rPr>
          <w:rFonts w:ascii="Times New Roman" w:hAnsi="Times New Roman" w:cs="Times New Roman"/>
          <w:sz w:val="20"/>
          <w:szCs w:val="20"/>
          <w:lang w:val="id-ID"/>
        </w:rPr>
        <w:t>Tabel 1.d</w:t>
      </w:r>
    </w:p>
    <w:p w14:paraId="2A1D3D31" w14:textId="77777777" w:rsidR="00F221E4" w:rsidRDefault="00F221E4" w:rsidP="004B4D38">
      <w:pPr>
        <w:spacing w:before="0" w:beforeAutospacing="0" w:after="0" w:afterAutospacing="0"/>
        <w:ind w:left="0"/>
        <w:rPr>
          <w:rFonts w:ascii="Times New Roman" w:hAnsi="Times New Roman" w:cs="Times New Roman"/>
          <w:sz w:val="20"/>
          <w:szCs w:val="20"/>
          <w:lang w:val="id-ID"/>
        </w:rPr>
      </w:pPr>
      <w:r w:rsidRPr="00202604">
        <w:rPr>
          <w:rFonts w:ascii="Times New Roman" w:hAnsi="Times New Roman" w:cs="Times New Roman"/>
          <w:sz w:val="20"/>
          <w:szCs w:val="20"/>
          <w:lang w:val="id-ID"/>
        </w:rPr>
        <w:t xml:space="preserve">Profil Guru Penjas Adaptif Berdasarkan </w:t>
      </w:r>
      <w:r>
        <w:rPr>
          <w:rFonts w:ascii="Times New Roman" w:hAnsi="Times New Roman" w:cs="Times New Roman"/>
          <w:sz w:val="20"/>
          <w:szCs w:val="20"/>
          <w:lang w:val="id-ID"/>
        </w:rPr>
        <w:t>Latar Belakang Pendidikan</w:t>
      </w:r>
    </w:p>
    <w:p w14:paraId="15302440" w14:textId="77777777" w:rsidR="004B4D38" w:rsidRDefault="004B4D38" w:rsidP="004B4D38">
      <w:pPr>
        <w:spacing w:before="0" w:beforeAutospacing="0" w:after="0" w:afterAutospacing="0"/>
        <w:ind w:left="0"/>
        <w:rPr>
          <w:rFonts w:ascii="Times New Roman" w:hAnsi="Times New Roman" w:cs="Times New Roman"/>
          <w:lang w:val="id-ID"/>
        </w:rPr>
      </w:pPr>
    </w:p>
    <w:p w14:paraId="64D663E7" w14:textId="5FC1494C"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hAnsi="Times New Roman" w:cs="Times New Roman"/>
          <w:b/>
          <w:i/>
          <w:sz w:val="20"/>
          <w:szCs w:val="20"/>
          <w:u w:val="single"/>
          <w:lang w:val="id-ID"/>
        </w:rPr>
        <w:t>Jenis Pendidikan</w:t>
      </w:r>
      <w:r w:rsidRPr="004B4D38">
        <w:rPr>
          <w:rFonts w:ascii="Times New Roman" w:hAnsi="Times New Roman" w:cs="Times New Roman"/>
          <w:b/>
          <w:i/>
          <w:sz w:val="20"/>
          <w:szCs w:val="20"/>
          <w:u w:val="single"/>
          <w:lang w:val="id-ID"/>
        </w:rPr>
        <w:tab/>
      </w:r>
      <w:r w:rsidR="00F221E4" w:rsidRPr="004B4D38">
        <w:rPr>
          <w:rFonts w:ascii="Times New Roman" w:hAnsi="Times New Roman" w:cs="Times New Roman"/>
          <w:b/>
          <w:i/>
          <w:sz w:val="20"/>
          <w:szCs w:val="20"/>
          <w:u w:val="single"/>
          <w:lang w:val="id-ID"/>
        </w:rPr>
        <w:t>JUMLAH</w:t>
      </w:r>
      <w:r w:rsidR="00F221E4" w:rsidRPr="004B4D38">
        <w:rPr>
          <w:rFonts w:ascii="Times New Roman" w:hAnsi="Times New Roman" w:cs="Times New Roman"/>
          <w:b/>
          <w:i/>
          <w:sz w:val="20"/>
          <w:szCs w:val="20"/>
          <w:u w:val="single"/>
          <w:lang w:val="id-ID"/>
        </w:rPr>
        <w:tab/>
        <w:t>%</w:t>
      </w:r>
    </w:p>
    <w:p w14:paraId="236CB54C" w14:textId="77777777"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 xml:space="preserve">1. Adpend </w:t>
      </w:r>
      <w:r w:rsidRPr="004B4D38">
        <w:rPr>
          <w:rFonts w:ascii="Times New Roman" w:eastAsia="Times New Roman" w:hAnsi="Times New Roman" w:cs="Times New Roman"/>
          <w:i/>
          <w:color w:val="000000"/>
          <w:lang w:val="id-ID"/>
        </w:rPr>
        <w:tab/>
        <w:t>3</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0,8</w:t>
      </w:r>
    </w:p>
    <w:p w14:paraId="639EC52B" w14:textId="77777777"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2. Akuntansi</w:t>
      </w:r>
      <w:r w:rsidRPr="004B4D38">
        <w:rPr>
          <w:rFonts w:ascii="Times New Roman" w:eastAsia="Times New Roman" w:hAnsi="Times New Roman" w:cs="Times New Roman"/>
          <w:i/>
          <w:color w:val="000000"/>
          <w:lang w:val="id-ID"/>
        </w:rPr>
        <w:tab/>
        <w:t>1</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0,3</w:t>
      </w:r>
    </w:p>
    <w:p w14:paraId="528A988B" w14:textId="77777777"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3. Bahasa dan sastra</w:t>
      </w:r>
      <w:r w:rsidRPr="004B4D38">
        <w:rPr>
          <w:rFonts w:ascii="Times New Roman" w:eastAsia="Times New Roman" w:hAnsi="Times New Roman" w:cs="Times New Roman"/>
          <w:i/>
          <w:color w:val="000000"/>
          <w:lang w:val="id-ID"/>
        </w:rPr>
        <w:tab/>
        <w:t>6</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1,73</w:t>
      </w:r>
    </w:p>
    <w:p w14:paraId="4AC559C0" w14:textId="77777777"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4. Bimb Konsel</w:t>
      </w:r>
      <w:r w:rsidRPr="004B4D38">
        <w:rPr>
          <w:rFonts w:ascii="Times New Roman" w:eastAsia="Times New Roman" w:hAnsi="Times New Roman" w:cs="Times New Roman"/>
          <w:i/>
          <w:color w:val="000000"/>
          <w:lang w:val="id-ID"/>
        </w:rPr>
        <w:tab/>
        <w:t>4</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1,15</w:t>
      </w:r>
    </w:p>
    <w:p w14:paraId="7001EAE6" w14:textId="77777777" w:rsidR="004B4D38"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5. Biologi</w:t>
      </w:r>
      <w:r w:rsidRPr="004B4D38">
        <w:rPr>
          <w:rFonts w:ascii="Times New Roman" w:eastAsia="Times New Roman" w:hAnsi="Times New Roman" w:cs="Times New Roman"/>
          <w:i/>
          <w:color w:val="000000"/>
          <w:lang w:val="id-ID"/>
        </w:rPr>
        <w:tab/>
        <w:t>1</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 xml:space="preserve">0,3 </w:t>
      </w:r>
    </w:p>
    <w:p w14:paraId="6D03EC8D" w14:textId="204179CD" w:rsidR="00F221E4" w:rsidRPr="004B4D38" w:rsidRDefault="004B4D38" w:rsidP="004B4D38">
      <w:pPr>
        <w:tabs>
          <w:tab w:val="left" w:pos="2410"/>
          <w:tab w:val="left" w:pos="3544"/>
        </w:tabs>
        <w:spacing w:before="0" w:beforeAutospacing="0" w:after="0" w:afterAutospacing="0"/>
        <w:ind w:left="0"/>
        <w:jc w:val="both"/>
        <w:rPr>
          <w:rFonts w:ascii="Times New Roman" w:hAnsi="Times New Roman" w:cs="Times New Roman"/>
          <w:b/>
          <w:i/>
          <w:sz w:val="20"/>
          <w:szCs w:val="20"/>
          <w:u w:val="single"/>
          <w:lang w:val="id-ID"/>
        </w:rPr>
      </w:pPr>
      <w:r w:rsidRPr="004B4D38">
        <w:rPr>
          <w:rFonts w:ascii="Times New Roman" w:eastAsia="Times New Roman" w:hAnsi="Times New Roman" w:cs="Times New Roman"/>
          <w:i/>
          <w:color w:val="000000"/>
          <w:lang w:val="id-ID"/>
        </w:rPr>
        <w:t>6. Ekonomi</w:t>
      </w:r>
      <w:r w:rsidRPr="004B4D38">
        <w:rPr>
          <w:rFonts w:ascii="Times New Roman" w:eastAsia="Times New Roman" w:hAnsi="Times New Roman" w:cs="Times New Roman"/>
          <w:i/>
          <w:color w:val="000000"/>
          <w:lang w:val="id-ID"/>
        </w:rPr>
        <w:tab/>
        <w:t>5</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1,44</w:t>
      </w:r>
    </w:p>
    <w:p w14:paraId="4A96BCC2" w14:textId="0878922C" w:rsidR="00F221E4" w:rsidRPr="004B4D38" w:rsidRDefault="00F221E4"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 xml:space="preserve">7. </w:t>
      </w:r>
      <w:r w:rsidR="004B4D38" w:rsidRPr="004B4D38">
        <w:rPr>
          <w:rFonts w:ascii="Times New Roman" w:eastAsia="Times New Roman" w:hAnsi="Times New Roman" w:cs="Times New Roman"/>
          <w:i/>
          <w:color w:val="000000"/>
          <w:lang w:val="id-ID"/>
        </w:rPr>
        <w:t>Geografi</w:t>
      </w:r>
      <w:r w:rsidR="004B4D38" w:rsidRPr="004B4D38">
        <w:rPr>
          <w:rFonts w:ascii="Times New Roman" w:eastAsia="Times New Roman" w:hAnsi="Times New Roman" w:cs="Times New Roman"/>
          <w:i/>
          <w:color w:val="000000"/>
          <w:lang w:val="id-ID"/>
        </w:rPr>
        <w:tab/>
        <w:t>4</w:t>
      </w:r>
      <w:r w:rsidR="004B4D38" w:rsidRPr="004B4D38">
        <w:rPr>
          <w:rFonts w:ascii="Times New Roman" w:eastAsia="Times New Roman" w:hAnsi="Times New Roman" w:cs="Times New Roman"/>
          <w:i/>
          <w:color w:val="000000"/>
          <w:lang w:val="id-ID"/>
        </w:rPr>
        <w:tab/>
      </w:r>
      <w:r w:rsidRPr="004B4D38">
        <w:rPr>
          <w:rFonts w:ascii="Times New Roman" w:eastAsia="Times New Roman" w:hAnsi="Times New Roman" w:cs="Times New Roman"/>
          <w:i/>
          <w:color w:val="000000"/>
          <w:lang w:val="id-ID"/>
        </w:rPr>
        <w:t>1,15</w:t>
      </w:r>
    </w:p>
    <w:p w14:paraId="23E0AF6D" w14:textId="77777777" w:rsidR="004B4D38"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8. IPS</w:t>
      </w:r>
      <w:r w:rsidRPr="004B4D38">
        <w:rPr>
          <w:rFonts w:ascii="Times New Roman" w:eastAsia="Times New Roman" w:hAnsi="Times New Roman" w:cs="Times New Roman"/>
          <w:i/>
          <w:color w:val="000000"/>
          <w:lang w:val="id-ID"/>
        </w:rPr>
        <w:tab/>
        <w:t>4</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1,15</w:t>
      </w:r>
    </w:p>
    <w:p w14:paraId="4D2B67FF" w14:textId="737C808E"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9. MP</w:t>
      </w:r>
      <w:r w:rsidRPr="004B4D38">
        <w:rPr>
          <w:rFonts w:ascii="Times New Roman" w:eastAsia="Times New Roman" w:hAnsi="Times New Roman" w:cs="Times New Roman"/>
          <w:i/>
          <w:color w:val="000000"/>
          <w:lang w:val="id-ID"/>
        </w:rPr>
        <w:tab/>
        <w:t>10</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2,89</w:t>
      </w:r>
    </w:p>
    <w:p w14:paraId="15418837" w14:textId="1D5AC5B1"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 xml:space="preserve">10. PAI </w:t>
      </w:r>
      <w:r w:rsidRPr="004B4D38">
        <w:rPr>
          <w:rFonts w:ascii="Times New Roman" w:eastAsia="Times New Roman" w:hAnsi="Times New Roman" w:cs="Times New Roman"/>
          <w:i/>
          <w:color w:val="000000"/>
          <w:lang w:val="id-ID"/>
        </w:rPr>
        <w:tab/>
        <w:t>6</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1,73</w:t>
      </w:r>
    </w:p>
    <w:p w14:paraId="0E137303" w14:textId="64C045E4"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11. Ilmu Keolahragaan</w:t>
      </w:r>
      <w:r w:rsidRPr="004B4D38">
        <w:rPr>
          <w:rFonts w:ascii="Times New Roman" w:eastAsia="Times New Roman" w:hAnsi="Times New Roman" w:cs="Times New Roman"/>
          <w:i/>
          <w:color w:val="000000"/>
          <w:lang w:val="id-ID"/>
        </w:rPr>
        <w:tab/>
        <w:t>2</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0,57</w:t>
      </w:r>
    </w:p>
    <w:p w14:paraId="1B2FE314" w14:textId="313326E5"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12. Kepelatihan Olahraga</w:t>
      </w:r>
      <w:r w:rsidRPr="004B4D38">
        <w:rPr>
          <w:rFonts w:ascii="Times New Roman" w:eastAsia="Times New Roman" w:hAnsi="Times New Roman" w:cs="Times New Roman"/>
          <w:i/>
          <w:color w:val="000000"/>
          <w:lang w:val="id-ID"/>
        </w:rPr>
        <w:tab/>
        <w:t>6</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1,73</w:t>
      </w:r>
    </w:p>
    <w:p w14:paraId="17273775" w14:textId="04558244" w:rsidR="00F221E4" w:rsidRPr="004B4D38" w:rsidRDefault="000D7D79" w:rsidP="000D7D79">
      <w:pPr>
        <w:tabs>
          <w:tab w:val="left" w:pos="2410"/>
          <w:tab w:val="left" w:pos="3402"/>
        </w:tabs>
        <w:spacing w:before="0" w:beforeAutospacing="0" w:after="0" w:afterAutospacing="0"/>
        <w:ind w:left="0"/>
        <w:jc w:val="both"/>
        <w:rPr>
          <w:rFonts w:ascii="Times New Roman" w:eastAsia="Times New Roman" w:hAnsi="Times New Roman" w:cs="Times New Roman"/>
          <w:i/>
          <w:color w:val="000000"/>
          <w:lang w:val="id-ID"/>
        </w:rPr>
      </w:pPr>
      <w:r>
        <w:rPr>
          <w:rFonts w:ascii="Times New Roman" w:eastAsia="Times New Roman" w:hAnsi="Times New Roman" w:cs="Times New Roman"/>
          <w:i/>
          <w:color w:val="000000"/>
          <w:lang w:val="id-ID"/>
        </w:rPr>
        <w:t xml:space="preserve">13. Pendidikan Jasmani </w:t>
      </w:r>
      <w:r>
        <w:rPr>
          <w:rFonts w:ascii="Times New Roman" w:eastAsia="Times New Roman" w:hAnsi="Times New Roman" w:cs="Times New Roman"/>
          <w:i/>
          <w:color w:val="000000"/>
          <w:lang w:val="id-ID"/>
        </w:rPr>
        <w:tab/>
        <w:t>38</w:t>
      </w:r>
      <w:r>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11,01</w:t>
      </w:r>
    </w:p>
    <w:p w14:paraId="56873807" w14:textId="5C2DB5B4"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14. PLB (Pen Luar Biasa</w:t>
      </w:r>
      <w:r w:rsidRPr="004B4D38">
        <w:rPr>
          <w:rFonts w:ascii="Times New Roman" w:eastAsia="Times New Roman" w:hAnsi="Times New Roman" w:cs="Times New Roman"/>
          <w:i/>
          <w:color w:val="000000"/>
          <w:lang w:val="id-ID"/>
        </w:rPr>
        <w:tab/>
        <w:t>209</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60,5</w:t>
      </w:r>
    </w:p>
    <w:p w14:paraId="1C7D4B0C" w14:textId="5C692C9B"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15. PGSD</w:t>
      </w:r>
      <w:r w:rsidRPr="004B4D38">
        <w:rPr>
          <w:rFonts w:ascii="Times New Roman" w:eastAsia="Times New Roman" w:hAnsi="Times New Roman" w:cs="Times New Roman"/>
          <w:i/>
          <w:color w:val="000000"/>
          <w:lang w:val="id-ID"/>
        </w:rPr>
        <w:tab/>
        <w:t>7</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2,02</w:t>
      </w:r>
    </w:p>
    <w:p w14:paraId="0DB4D16C" w14:textId="778460C8"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16. PKN</w:t>
      </w:r>
      <w:r w:rsidRPr="004B4D38">
        <w:rPr>
          <w:rFonts w:ascii="Times New Roman" w:eastAsia="Times New Roman" w:hAnsi="Times New Roman" w:cs="Times New Roman"/>
          <w:i/>
          <w:color w:val="000000"/>
          <w:lang w:val="id-ID"/>
        </w:rPr>
        <w:tab/>
        <w:t>4</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1,15</w:t>
      </w:r>
    </w:p>
    <w:p w14:paraId="6CD2C957" w14:textId="2C718DB0"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17. Psikologi</w:t>
      </w:r>
      <w:r w:rsidRPr="004B4D38">
        <w:rPr>
          <w:rFonts w:ascii="Times New Roman" w:eastAsia="Times New Roman" w:hAnsi="Times New Roman" w:cs="Times New Roman"/>
          <w:i/>
          <w:color w:val="000000"/>
          <w:lang w:val="id-ID"/>
        </w:rPr>
        <w:tab/>
        <w:t>2</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0,57</w:t>
      </w:r>
    </w:p>
    <w:p w14:paraId="6D82F5C7" w14:textId="7772C010"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18. Kesenian</w:t>
      </w:r>
      <w:r w:rsidRPr="004B4D38">
        <w:rPr>
          <w:rFonts w:ascii="Times New Roman" w:eastAsia="Times New Roman" w:hAnsi="Times New Roman" w:cs="Times New Roman"/>
          <w:i/>
          <w:color w:val="000000"/>
          <w:lang w:val="id-ID"/>
        </w:rPr>
        <w:tab/>
        <w:t>3</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 xml:space="preserve">0,8 </w:t>
      </w:r>
    </w:p>
    <w:p w14:paraId="541BD824" w14:textId="2B70466B" w:rsidR="00F221E4" w:rsidRPr="004B4D38" w:rsidRDefault="004B4D38" w:rsidP="004B4D38">
      <w:pPr>
        <w:tabs>
          <w:tab w:val="left" w:pos="2410"/>
          <w:tab w:val="left" w:pos="3544"/>
        </w:tabs>
        <w:spacing w:before="0" w:beforeAutospacing="0" w:after="0" w:afterAutospacing="0"/>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19. Tidak tercantum</w:t>
      </w:r>
      <w:r w:rsidRPr="004B4D38">
        <w:rPr>
          <w:rFonts w:ascii="Times New Roman" w:eastAsia="Times New Roman" w:hAnsi="Times New Roman" w:cs="Times New Roman"/>
          <w:i/>
          <w:color w:val="000000"/>
          <w:lang w:val="id-ID"/>
        </w:rPr>
        <w:tab/>
        <w:t>32</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 xml:space="preserve">9,3 </w:t>
      </w:r>
    </w:p>
    <w:p w14:paraId="66A3E3AE" w14:textId="77777777" w:rsidR="00F221E4" w:rsidRDefault="00F221E4" w:rsidP="004B4D38">
      <w:pPr>
        <w:ind w:firstLine="341"/>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Dengan variasi yang amat berjarak luas, latar belakang pendidikan guru memang cukup beragam. Tetapi jika dikelompokkan secara umum, maka latar belakang pendidikan guru SLB ini mayoritas berasal dari dua </w:t>
      </w:r>
      <w:r>
        <w:rPr>
          <w:rFonts w:ascii="Times New Roman" w:eastAsia="Times New Roman" w:hAnsi="Times New Roman" w:cs="Times New Roman"/>
          <w:color w:val="000000"/>
          <w:lang w:val="id-ID"/>
        </w:rPr>
        <w:lastRenderedPageBreak/>
        <w:t>fakultas, yaitu fakultas ilmu pendidikan (FIP) dan fakultas pendidikan olahraga dan kesehatan (FIK/FPOK). Cukup mengagetkan bahwa guru Penjas Adaptif dari latar belakang pendidikan jasmani umum ternyata sangat sedikit, yaitu hanya 13,5 persen. Sedangkan mayoritas berlatar belakang pendidikan luar biasa (PLB) sangat mendominasi yaitu mencapai 60,5 persen. Pada populasi yang lebih luas amat diyakini bahwa proporsi ini bahkan lebih memprihatinkan. Ini menunjukkan bahwa tidak banyak lulusan pendidikan jasmani dan olahraga yang sudah terserap oleh SLB, dan kedua menunjukkan bahwa dominasi lulusan PLB memang sangat kuat sehingga seolah-olah tidak membutuhkan guru Penjas Adaptif karna semua pelajaran dapat ditangani oleh mereka sendiri. Ini agak memprihatinkan di tengah wacana pentingnya meningkatkan isu aktivitas jasmani di kalangan anak-anak, sehingga perlu didukung oleh pemerintah yang bertanggung jawab pada pendidikan khusus ini.</w:t>
      </w:r>
    </w:p>
    <w:p w14:paraId="32C48B77" w14:textId="77777777" w:rsidR="00F221E4" w:rsidRPr="006452E5" w:rsidRDefault="00F221E4" w:rsidP="00F221E4">
      <w:pPr>
        <w:pStyle w:val="ListParagraph"/>
        <w:numPr>
          <w:ilvl w:val="0"/>
          <w:numId w:val="23"/>
        </w:numPr>
        <w:spacing w:before="0" w:beforeAutospacing="0" w:after="0" w:afterAutospacing="0"/>
        <w:ind w:right="0"/>
        <w:jc w:val="both"/>
        <w:rPr>
          <w:rFonts w:ascii="Times New Roman" w:hAnsi="Times New Roman" w:cs="Times New Roman"/>
          <w:i/>
          <w:lang w:val="id-ID"/>
        </w:rPr>
      </w:pPr>
      <w:r w:rsidRPr="006452E5">
        <w:rPr>
          <w:rFonts w:ascii="Times New Roman" w:hAnsi="Times New Roman" w:cs="Times New Roman"/>
          <w:i/>
          <w:lang w:val="id-ID"/>
        </w:rPr>
        <w:t>Berdasarkan Pengalaman Pelatihan Penjas Adaptif</w:t>
      </w:r>
    </w:p>
    <w:p w14:paraId="39271126" w14:textId="77777777" w:rsidR="00F221E4" w:rsidRDefault="00F221E4" w:rsidP="00F221E4">
      <w:pPr>
        <w:pStyle w:val="ListParagraph"/>
        <w:jc w:val="both"/>
        <w:rPr>
          <w:rFonts w:ascii="Times New Roman" w:hAnsi="Times New Roman" w:cs="Times New Roman"/>
          <w:lang w:val="id-ID"/>
        </w:rPr>
      </w:pPr>
    </w:p>
    <w:p w14:paraId="2AC9AC22" w14:textId="77777777" w:rsidR="00F221E4" w:rsidRDefault="00F221E4" w:rsidP="004B4D38">
      <w:pPr>
        <w:pStyle w:val="ListParagraph"/>
        <w:ind w:left="0" w:firstLine="284"/>
        <w:jc w:val="both"/>
        <w:rPr>
          <w:rFonts w:ascii="Times New Roman" w:hAnsi="Times New Roman" w:cs="Times New Roman"/>
          <w:lang w:val="id-ID"/>
        </w:rPr>
      </w:pPr>
      <w:r>
        <w:rPr>
          <w:rFonts w:ascii="Times New Roman" w:hAnsi="Times New Roman" w:cs="Times New Roman"/>
          <w:lang w:val="id-ID"/>
        </w:rPr>
        <w:t>Kondisi memprihatinkan dari sisi latar belakang pendidikan guru di atas perlu dilihat lagi dengan melihat data tentang pelatihan (terkait Penjas Adaptif) sebagai berikut:</w:t>
      </w:r>
    </w:p>
    <w:p w14:paraId="15DD5937" w14:textId="77777777" w:rsidR="00F221E4" w:rsidRDefault="00F221E4" w:rsidP="00F221E4">
      <w:pPr>
        <w:pStyle w:val="ListParagraph"/>
        <w:ind w:left="0" w:firstLine="709"/>
        <w:jc w:val="both"/>
        <w:rPr>
          <w:rFonts w:ascii="Times New Roman" w:hAnsi="Times New Roman" w:cs="Times New Roman"/>
          <w:lang w:val="id-ID"/>
        </w:rPr>
      </w:pPr>
    </w:p>
    <w:p w14:paraId="67B443AF" w14:textId="77777777" w:rsidR="00F221E4" w:rsidRPr="00202604" w:rsidRDefault="00F221E4" w:rsidP="004B4D38">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Tabel 1.e</w:t>
      </w:r>
    </w:p>
    <w:p w14:paraId="09956CF7" w14:textId="77777777" w:rsidR="00F221E4" w:rsidRDefault="00F221E4" w:rsidP="004B4D38">
      <w:pPr>
        <w:pStyle w:val="ListParagraph"/>
        <w:ind w:left="0"/>
        <w:rPr>
          <w:rFonts w:ascii="Times New Roman" w:hAnsi="Times New Roman" w:cs="Times New Roman"/>
          <w:sz w:val="20"/>
          <w:szCs w:val="20"/>
          <w:lang w:val="id-ID"/>
        </w:rPr>
      </w:pPr>
      <w:r w:rsidRPr="00202604">
        <w:rPr>
          <w:rFonts w:ascii="Times New Roman" w:hAnsi="Times New Roman" w:cs="Times New Roman"/>
          <w:sz w:val="20"/>
          <w:szCs w:val="20"/>
          <w:lang w:val="id-ID"/>
        </w:rPr>
        <w:t xml:space="preserve">Profil Guru Penjas Adaptif Berdasarkan </w:t>
      </w:r>
      <w:r>
        <w:rPr>
          <w:rFonts w:ascii="Times New Roman" w:hAnsi="Times New Roman" w:cs="Times New Roman"/>
          <w:sz w:val="20"/>
          <w:szCs w:val="20"/>
          <w:lang w:val="id-ID"/>
        </w:rPr>
        <w:t>Pelatihan</w:t>
      </w:r>
    </w:p>
    <w:p w14:paraId="48256C62" w14:textId="4B670E30" w:rsidR="00F221E4" w:rsidRPr="004B4D38" w:rsidRDefault="004B4D38" w:rsidP="004B4D38">
      <w:pPr>
        <w:tabs>
          <w:tab w:val="left" w:pos="2268"/>
          <w:tab w:val="left" w:pos="3402"/>
        </w:tabs>
        <w:ind w:left="0"/>
        <w:jc w:val="both"/>
        <w:rPr>
          <w:rFonts w:ascii="Times New Roman" w:hAnsi="Times New Roman" w:cs="Times New Roman"/>
          <w:b/>
          <w:i/>
          <w:sz w:val="20"/>
          <w:szCs w:val="20"/>
          <w:u w:val="single"/>
          <w:lang w:val="id-ID"/>
        </w:rPr>
      </w:pPr>
      <w:r w:rsidRPr="004B4D38">
        <w:rPr>
          <w:rFonts w:ascii="Times New Roman" w:hAnsi="Times New Roman" w:cs="Times New Roman"/>
          <w:b/>
          <w:i/>
          <w:sz w:val="20"/>
          <w:szCs w:val="20"/>
          <w:u w:val="single"/>
          <w:lang w:val="id-ID"/>
        </w:rPr>
        <w:t>Pengalaman Pelatihan</w:t>
      </w:r>
      <w:r w:rsidRPr="004B4D38">
        <w:rPr>
          <w:rFonts w:ascii="Times New Roman" w:hAnsi="Times New Roman" w:cs="Times New Roman"/>
          <w:b/>
          <w:i/>
          <w:sz w:val="20"/>
          <w:szCs w:val="20"/>
          <w:u w:val="single"/>
          <w:lang w:val="id-ID"/>
        </w:rPr>
        <w:tab/>
      </w:r>
      <w:r w:rsidR="00F221E4" w:rsidRPr="004B4D38">
        <w:rPr>
          <w:rFonts w:ascii="Times New Roman" w:hAnsi="Times New Roman" w:cs="Times New Roman"/>
          <w:b/>
          <w:i/>
          <w:sz w:val="20"/>
          <w:szCs w:val="20"/>
          <w:u w:val="single"/>
          <w:lang w:val="id-ID"/>
        </w:rPr>
        <w:t>JUMLAH</w:t>
      </w:r>
      <w:r w:rsidR="00F221E4" w:rsidRPr="004B4D38">
        <w:rPr>
          <w:rFonts w:ascii="Times New Roman" w:hAnsi="Times New Roman" w:cs="Times New Roman"/>
          <w:b/>
          <w:i/>
          <w:sz w:val="20"/>
          <w:szCs w:val="20"/>
          <w:u w:val="single"/>
          <w:lang w:val="id-ID"/>
        </w:rPr>
        <w:tab/>
        <w:t>%</w:t>
      </w:r>
    </w:p>
    <w:p w14:paraId="5EBBC690" w14:textId="30099CB1" w:rsidR="00F221E4" w:rsidRPr="004B4D38" w:rsidRDefault="004B4D38" w:rsidP="004B4D38">
      <w:pPr>
        <w:pStyle w:val="ListParagraph"/>
        <w:tabs>
          <w:tab w:val="left" w:pos="2268"/>
          <w:tab w:val="left" w:pos="3402"/>
        </w:tabs>
        <w:ind w:left="0"/>
        <w:jc w:val="both"/>
        <w:rPr>
          <w:rFonts w:ascii="Times New Roman" w:hAnsi="Times New Roman" w:cs="Times New Roman"/>
          <w:i/>
          <w:lang w:val="id-ID"/>
        </w:rPr>
      </w:pPr>
      <w:r w:rsidRPr="004B4D38">
        <w:rPr>
          <w:rFonts w:ascii="Times New Roman" w:hAnsi="Times New Roman" w:cs="Times New Roman"/>
          <w:i/>
          <w:lang w:val="id-ID"/>
        </w:rPr>
        <w:t>Pernah Pelatihan</w:t>
      </w:r>
      <w:r w:rsidRPr="004B4D38">
        <w:rPr>
          <w:rFonts w:ascii="Times New Roman" w:hAnsi="Times New Roman" w:cs="Times New Roman"/>
          <w:i/>
          <w:lang w:val="id-ID"/>
        </w:rPr>
        <w:tab/>
      </w:r>
      <w:r w:rsidRPr="004B4D38">
        <w:rPr>
          <w:rFonts w:ascii="Times New Roman" w:eastAsia="Times New Roman" w:hAnsi="Times New Roman" w:cs="Times New Roman"/>
          <w:i/>
          <w:color w:val="000000"/>
          <w:lang w:val="id-ID"/>
        </w:rPr>
        <w:t>47</w:t>
      </w:r>
      <w:r w:rsidRPr="004B4D38">
        <w:rPr>
          <w:rFonts w:ascii="Times New Roman" w:eastAsia="Times New Roman" w:hAnsi="Times New Roman" w:cs="Times New Roman"/>
          <w:i/>
          <w:color w:val="000000"/>
          <w:lang w:val="id-ID"/>
        </w:rPr>
        <w:tab/>
        <w:t>13,6</w:t>
      </w:r>
    </w:p>
    <w:p w14:paraId="64BD6FC8" w14:textId="7ABF125F" w:rsidR="00F221E4" w:rsidRPr="004B4D38" w:rsidRDefault="004B4D38" w:rsidP="004B4D38">
      <w:pPr>
        <w:pStyle w:val="ListParagraph"/>
        <w:tabs>
          <w:tab w:val="left" w:pos="2268"/>
          <w:tab w:val="left" w:pos="3402"/>
        </w:tabs>
        <w:ind w:left="0"/>
        <w:jc w:val="both"/>
        <w:rPr>
          <w:rFonts w:ascii="Times New Roman" w:eastAsia="Times New Roman" w:hAnsi="Times New Roman" w:cs="Times New Roman"/>
          <w:i/>
          <w:color w:val="000000"/>
          <w:lang w:val="id-ID"/>
        </w:rPr>
      </w:pPr>
      <w:r w:rsidRPr="004B4D38">
        <w:rPr>
          <w:rFonts w:ascii="Times New Roman" w:hAnsi="Times New Roman" w:cs="Times New Roman"/>
          <w:i/>
          <w:lang w:val="id-ID"/>
        </w:rPr>
        <w:t>TDK Pernah Pelatihan</w:t>
      </w:r>
      <w:r w:rsidRPr="004B4D38">
        <w:rPr>
          <w:rFonts w:ascii="Times New Roman" w:hAnsi="Times New Roman" w:cs="Times New Roman"/>
          <w:i/>
          <w:lang w:val="id-ID"/>
        </w:rPr>
        <w:tab/>
      </w:r>
      <w:r w:rsidRPr="004B4D38">
        <w:rPr>
          <w:rFonts w:ascii="Times New Roman" w:eastAsia="Times New Roman" w:hAnsi="Times New Roman" w:cs="Times New Roman"/>
          <w:i/>
          <w:color w:val="000000"/>
          <w:lang w:val="id-ID"/>
        </w:rPr>
        <w:t>298</w:t>
      </w:r>
      <w:r w:rsidRPr="004B4D38">
        <w:rPr>
          <w:rFonts w:ascii="Times New Roman" w:eastAsia="Times New Roman" w:hAnsi="Times New Roman" w:cs="Times New Roman"/>
          <w:i/>
          <w:color w:val="000000"/>
          <w:lang w:val="id-ID"/>
        </w:rPr>
        <w:tab/>
        <w:t>86.4</w:t>
      </w:r>
    </w:p>
    <w:p w14:paraId="527633F5" w14:textId="77777777" w:rsidR="00F221E4" w:rsidRDefault="00F221E4" w:rsidP="00F221E4">
      <w:pPr>
        <w:pStyle w:val="ListParagraph"/>
        <w:jc w:val="both"/>
        <w:rPr>
          <w:rFonts w:ascii="Times New Roman" w:eastAsia="Times New Roman" w:hAnsi="Times New Roman" w:cs="Times New Roman"/>
          <w:color w:val="000000"/>
          <w:lang w:val="id-ID"/>
        </w:rPr>
      </w:pPr>
    </w:p>
    <w:p w14:paraId="1BB411DA" w14:textId="77777777" w:rsidR="00F221E4" w:rsidRDefault="00F221E4" w:rsidP="00F221E4">
      <w:pPr>
        <w:pStyle w:val="ListParagraph"/>
        <w:ind w:left="0" w:firstLine="720"/>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Data di atas menunjukkan bahwa hanya sekitar 13,6 persen guru PLB yang pernah mengikuti pelatihan terkait dengan Penjas Adaptif selama karirnya sebagai guru PLB. Sedangkan sejumlah guru dalam prosentase yang cukup besar (86,4 %) belum pernah mengikuti pelatihan Penjas Adaptif. Dengan demikian, dapat disimpulkan bahwa selama ini Penjas Adaptif di sekolah Luar Biasa dan termasuk anak-anak penyandang </w:t>
      </w:r>
      <w:r>
        <w:rPr>
          <w:rFonts w:ascii="Times New Roman" w:eastAsia="Times New Roman" w:hAnsi="Times New Roman" w:cs="Times New Roman"/>
          <w:color w:val="000000"/>
          <w:lang w:val="id-ID"/>
        </w:rPr>
        <w:lastRenderedPageBreak/>
        <w:t>disabilitas belum mendapat perhatian yang memadai.</w:t>
      </w:r>
    </w:p>
    <w:p w14:paraId="661D957C" w14:textId="77777777" w:rsidR="00F221E4" w:rsidRPr="00C22551" w:rsidRDefault="00F221E4" w:rsidP="00F221E4">
      <w:pPr>
        <w:pStyle w:val="ListParagraph"/>
        <w:ind w:left="0" w:firstLine="720"/>
        <w:jc w:val="both"/>
        <w:rPr>
          <w:rFonts w:ascii="Times New Roman" w:eastAsia="Times New Roman" w:hAnsi="Times New Roman" w:cs="Times New Roman"/>
          <w:color w:val="000000"/>
          <w:lang w:val="id-ID"/>
        </w:rPr>
      </w:pPr>
    </w:p>
    <w:p w14:paraId="17FCA638" w14:textId="77777777" w:rsidR="00F221E4" w:rsidRPr="006452E5" w:rsidRDefault="00F221E4" w:rsidP="00F221E4">
      <w:pPr>
        <w:pStyle w:val="ListParagraph"/>
        <w:numPr>
          <w:ilvl w:val="0"/>
          <w:numId w:val="23"/>
        </w:numPr>
        <w:spacing w:before="0" w:beforeAutospacing="0" w:after="0" w:afterAutospacing="0"/>
        <w:ind w:right="0"/>
        <w:jc w:val="both"/>
        <w:rPr>
          <w:rFonts w:ascii="Times New Roman" w:eastAsia="Times New Roman" w:hAnsi="Times New Roman" w:cs="Times New Roman"/>
          <w:i/>
          <w:color w:val="000000"/>
          <w:lang w:val="id-ID"/>
        </w:rPr>
      </w:pPr>
      <w:r w:rsidRPr="006452E5">
        <w:rPr>
          <w:rFonts w:ascii="Times New Roman" w:eastAsia="Times New Roman" w:hAnsi="Times New Roman" w:cs="Times New Roman"/>
          <w:i/>
          <w:color w:val="000000"/>
          <w:lang w:val="id-ID"/>
        </w:rPr>
        <w:t>Berdasarkan Keaktifan di organisasi Sejenis</w:t>
      </w:r>
    </w:p>
    <w:p w14:paraId="52816299" w14:textId="77777777" w:rsidR="00F221E4" w:rsidRDefault="00F221E4" w:rsidP="00F221E4">
      <w:pPr>
        <w:pStyle w:val="ListParagraph"/>
        <w:jc w:val="both"/>
        <w:rPr>
          <w:rFonts w:ascii="Times New Roman" w:eastAsia="Times New Roman" w:hAnsi="Times New Roman" w:cs="Times New Roman"/>
          <w:color w:val="000000"/>
          <w:lang w:val="id-ID"/>
        </w:rPr>
      </w:pPr>
    </w:p>
    <w:p w14:paraId="48B06086" w14:textId="77777777" w:rsidR="00F221E4" w:rsidRDefault="00F221E4" w:rsidP="004B4D38">
      <w:pPr>
        <w:pStyle w:val="ListParagraph"/>
        <w:ind w:left="0" w:firstLine="426"/>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Keterlibatan guru dalam organisasi atau asosiasi profesi atau kemasyarakatan merupakan hal yang perlu dihubungkan dengan penambahan pengalaman dan kompetensi akademik sebagai seorang profesional, Namun data menunjukkan sebagai berikut:</w:t>
      </w:r>
    </w:p>
    <w:p w14:paraId="3173BF76" w14:textId="77777777" w:rsidR="00F221E4" w:rsidRDefault="00F221E4" w:rsidP="00F221E4">
      <w:pPr>
        <w:pStyle w:val="ListParagraph"/>
        <w:ind w:left="0" w:firstLine="709"/>
        <w:jc w:val="both"/>
        <w:rPr>
          <w:rFonts w:ascii="Times New Roman" w:eastAsia="Times New Roman" w:hAnsi="Times New Roman" w:cs="Times New Roman"/>
          <w:color w:val="000000"/>
          <w:lang w:val="id-ID"/>
        </w:rPr>
      </w:pPr>
    </w:p>
    <w:p w14:paraId="4084CFFC" w14:textId="77777777" w:rsidR="00F221E4" w:rsidRPr="00202604" w:rsidRDefault="00F221E4" w:rsidP="004B4D38">
      <w:pPr>
        <w:pStyle w:val="ListParagraph"/>
        <w:ind w:left="0"/>
        <w:rPr>
          <w:rFonts w:ascii="Times New Roman" w:hAnsi="Times New Roman" w:cs="Times New Roman"/>
          <w:sz w:val="20"/>
          <w:szCs w:val="20"/>
          <w:lang w:val="id-ID"/>
        </w:rPr>
      </w:pPr>
      <w:r>
        <w:rPr>
          <w:rFonts w:ascii="Times New Roman" w:hAnsi="Times New Roman" w:cs="Times New Roman"/>
          <w:sz w:val="20"/>
          <w:szCs w:val="20"/>
          <w:lang w:val="id-ID"/>
        </w:rPr>
        <w:t>Tabel 1.f</w:t>
      </w:r>
    </w:p>
    <w:p w14:paraId="422BC047" w14:textId="2AFA5D55" w:rsidR="00F221E4" w:rsidRDefault="00F221E4" w:rsidP="004B4D38">
      <w:pPr>
        <w:pStyle w:val="ListParagraph"/>
        <w:ind w:left="0"/>
        <w:rPr>
          <w:rFonts w:ascii="Times New Roman" w:hAnsi="Times New Roman" w:cs="Times New Roman"/>
          <w:sz w:val="20"/>
          <w:szCs w:val="20"/>
          <w:lang w:val="id-ID"/>
        </w:rPr>
      </w:pPr>
      <w:r w:rsidRPr="00202604">
        <w:rPr>
          <w:rFonts w:ascii="Times New Roman" w:hAnsi="Times New Roman" w:cs="Times New Roman"/>
          <w:sz w:val="20"/>
          <w:szCs w:val="20"/>
          <w:lang w:val="id-ID"/>
        </w:rPr>
        <w:t xml:space="preserve">Profil Guru Penjas Adaptif Berdasarkan </w:t>
      </w:r>
      <w:r w:rsidR="004B4D38">
        <w:rPr>
          <w:rFonts w:ascii="Times New Roman" w:hAnsi="Times New Roman" w:cs="Times New Roman"/>
          <w:sz w:val="20"/>
          <w:szCs w:val="20"/>
          <w:lang w:val="id-ID"/>
        </w:rPr>
        <w:t>Keaktif</w:t>
      </w:r>
      <w:r>
        <w:rPr>
          <w:rFonts w:ascii="Times New Roman" w:hAnsi="Times New Roman" w:cs="Times New Roman"/>
          <w:sz w:val="20"/>
          <w:szCs w:val="20"/>
          <w:lang w:val="id-ID"/>
        </w:rPr>
        <w:t>an</w:t>
      </w:r>
      <w:r w:rsidR="004B4D38">
        <w:rPr>
          <w:rFonts w:ascii="Times New Roman" w:hAnsi="Times New Roman" w:cs="Times New Roman"/>
          <w:sz w:val="20"/>
          <w:szCs w:val="20"/>
          <w:lang w:val="id-ID"/>
        </w:rPr>
        <w:t xml:space="preserve"> </w:t>
      </w:r>
      <w:r>
        <w:rPr>
          <w:rFonts w:ascii="Times New Roman" w:hAnsi="Times New Roman" w:cs="Times New Roman"/>
          <w:sz w:val="20"/>
          <w:szCs w:val="20"/>
          <w:lang w:val="id-ID"/>
        </w:rPr>
        <w:t>di Organisasi</w:t>
      </w:r>
    </w:p>
    <w:p w14:paraId="6ECE531C" w14:textId="04B99C08" w:rsidR="00F221E4" w:rsidRPr="004B4D38" w:rsidRDefault="004B4D38" w:rsidP="004B4D38">
      <w:pPr>
        <w:tabs>
          <w:tab w:val="left" w:pos="1985"/>
          <w:tab w:val="left" w:pos="3402"/>
        </w:tabs>
        <w:ind w:left="0"/>
        <w:jc w:val="both"/>
        <w:rPr>
          <w:rFonts w:ascii="Times New Roman" w:eastAsia="Times New Roman" w:hAnsi="Times New Roman" w:cs="Times New Roman"/>
          <w:b/>
          <w:i/>
          <w:color w:val="000000"/>
          <w:sz w:val="20"/>
          <w:szCs w:val="20"/>
          <w:u w:val="single"/>
          <w:lang w:val="id-ID"/>
        </w:rPr>
      </w:pPr>
      <w:r w:rsidRPr="004B4D38">
        <w:rPr>
          <w:rFonts w:ascii="Times New Roman" w:eastAsia="Times New Roman" w:hAnsi="Times New Roman" w:cs="Times New Roman"/>
          <w:b/>
          <w:i/>
          <w:color w:val="000000"/>
          <w:sz w:val="20"/>
          <w:szCs w:val="20"/>
          <w:u w:val="single"/>
          <w:lang w:val="id-ID"/>
        </w:rPr>
        <w:t xml:space="preserve">Aktif di Organisasi </w:t>
      </w:r>
      <w:r w:rsidRPr="004B4D38">
        <w:rPr>
          <w:rFonts w:ascii="Times New Roman" w:eastAsia="Times New Roman" w:hAnsi="Times New Roman" w:cs="Times New Roman"/>
          <w:b/>
          <w:i/>
          <w:color w:val="000000"/>
          <w:sz w:val="20"/>
          <w:szCs w:val="20"/>
          <w:u w:val="single"/>
          <w:lang w:val="id-ID"/>
        </w:rPr>
        <w:tab/>
        <w:t xml:space="preserve">Jumlah </w:t>
      </w:r>
      <w:r w:rsidRPr="004B4D38">
        <w:rPr>
          <w:rFonts w:ascii="Times New Roman" w:eastAsia="Times New Roman" w:hAnsi="Times New Roman" w:cs="Times New Roman"/>
          <w:b/>
          <w:i/>
          <w:color w:val="000000"/>
          <w:sz w:val="20"/>
          <w:szCs w:val="20"/>
          <w:u w:val="single"/>
          <w:lang w:val="id-ID"/>
        </w:rPr>
        <w:tab/>
      </w:r>
      <w:r w:rsidR="00F221E4" w:rsidRPr="004B4D38">
        <w:rPr>
          <w:rFonts w:ascii="Times New Roman" w:eastAsia="Times New Roman" w:hAnsi="Times New Roman" w:cs="Times New Roman"/>
          <w:b/>
          <w:i/>
          <w:color w:val="000000"/>
          <w:sz w:val="20"/>
          <w:szCs w:val="20"/>
          <w:u w:val="single"/>
          <w:lang w:val="id-ID"/>
        </w:rPr>
        <w:t>%</w:t>
      </w:r>
    </w:p>
    <w:p w14:paraId="7C5749F0" w14:textId="5B75611F" w:rsidR="00F221E4" w:rsidRPr="004B4D38" w:rsidRDefault="004B4D38" w:rsidP="004B4D38">
      <w:pPr>
        <w:pStyle w:val="ListParagraph"/>
        <w:tabs>
          <w:tab w:val="left" w:pos="1985"/>
          <w:tab w:val="left" w:pos="3402"/>
        </w:tabs>
        <w:ind w:left="0"/>
        <w:jc w:val="both"/>
        <w:rPr>
          <w:rFonts w:ascii="Times New Roman" w:eastAsia="Times New Roman" w:hAnsi="Times New Roman" w:cs="Times New Roman"/>
          <w:i/>
          <w:color w:val="000000"/>
          <w:lang w:val="id-ID"/>
        </w:rPr>
      </w:pPr>
      <w:r w:rsidRPr="004B4D38">
        <w:rPr>
          <w:rFonts w:ascii="Times New Roman" w:eastAsia="Times New Roman" w:hAnsi="Times New Roman" w:cs="Times New Roman"/>
          <w:i/>
          <w:color w:val="000000"/>
          <w:lang w:val="id-ID"/>
        </w:rPr>
        <w:t>Aktif</w:t>
      </w:r>
      <w:r w:rsidRPr="004B4D38">
        <w:rPr>
          <w:rFonts w:ascii="Times New Roman" w:eastAsia="Times New Roman" w:hAnsi="Times New Roman" w:cs="Times New Roman"/>
          <w:i/>
          <w:color w:val="000000"/>
          <w:lang w:val="id-ID"/>
        </w:rPr>
        <w:tab/>
        <w:t>36</w:t>
      </w:r>
      <w:r w:rsidRPr="004B4D38">
        <w:rPr>
          <w:rFonts w:ascii="Times New Roman" w:eastAsia="Times New Roman" w:hAnsi="Times New Roman" w:cs="Times New Roman"/>
          <w:i/>
          <w:color w:val="000000"/>
          <w:lang w:val="id-ID"/>
        </w:rPr>
        <w:tab/>
      </w:r>
      <w:r>
        <w:rPr>
          <w:rFonts w:ascii="Times New Roman" w:eastAsia="Times New Roman" w:hAnsi="Times New Roman" w:cs="Times New Roman"/>
          <w:i/>
          <w:color w:val="000000"/>
          <w:lang w:val="id-ID"/>
        </w:rPr>
        <w:t xml:space="preserve">10,4 </w:t>
      </w:r>
    </w:p>
    <w:p w14:paraId="3BBC6443" w14:textId="411BD4E7" w:rsidR="00F221E4" w:rsidRPr="004B4D38" w:rsidRDefault="004B4D38" w:rsidP="004B4D38">
      <w:pPr>
        <w:pStyle w:val="ListParagraph"/>
        <w:tabs>
          <w:tab w:val="left" w:pos="1985"/>
          <w:tab w:val="left" w:pos="3402"/>
        </w:tabs>
        <w:ind w:left="0"/>
        <w:jc w:val="both"/>
        <w:rPr>
          <w:rFonts w:ascii="Times New Roman" w:hAnsi="Times New Roman" w:cs="Times New Roman"/>
          <w:i/>
          <w:lang w:val="id-ID"/>
        </w:rPr>
      </w:pPr>
      <w:r w:rsidRPr="004B4D38">
        <w:rPr>
          <w:rFonts w:ascii="Times New Roman" w:eastAsia="Times New Roman" w:hAnsi="Times New Roman" w:cs="Times New Roman"/>
          <w:i/>
          <w:color w:val="000000"/>
          <w:lang w:val="id-ID"/>
        </w:rPr>
        <w:t>Tidak Aktif</w:t>
      </w:r>
      <w:r w:rsidRPr="004B4D38">
        <w:rPr>
          <w:rFonts w:ascii="Times New Roman" w:eastAsia="Times New Roman" w:hAnsi="Times New Roman" w:cs="Times New Roman"/>
          <w:i/>
          <w:color w:val="000000"/>
          <w:lang w:val="id-ID"/>
        </w:rPr>
        <w:tab/>
      </w:r>
      <w:r w:rsidR="00F221E4" w:rsidRPr="004B4D38">
        <w:rPr>
          <w:rFonts w:ascii="Times New Roman" w:eastAsia="Times New Roman" w:hAnsi="Times New Roman" w:cs="Times New Roman"/>
          <w:i/>
          <w:color w:val="000000"/>
          <w:lang w:val="id-ID"/>
        </w:rPr>
        <w:t>308</w:t>
      </w:r>
      <w:r w:rsidR="00F221E4" w:rsidRPr="004B4D38">
        <w:rPr>
          <w:rFonts w:ascii="Times New Roman" w:eastAsia="Times New Roman" w:hAnsi="Times New Roman" w:cs="Times New Roman"/>
          <w:i/>
          <w:color w:val="000000"/>
          <w:lang w:val="id-ID"/>
        </w:rPr>
        <w:tab/>
        <w:t xml:space="preserve">89,2 </w:t>
      </w:r>
    </w:p>
    <w:p w14:paraId="455F43B8" w14:textId="5CEB5919" w:rsidR="00F221E4" w:rsidRPr="004B4D38" w:rsidRDefault="004B4D38" w:rsidP="004B4D38">
      <w:pPr>
        <w:pStyle w:val="ListParagraph"/>
        <w:tabs>
          <w:tab w:val="left" w:pos="1985"/>
          <w:tab w:val="left" w:pos="3402"/>
        </w:tabs>
        <w:ind w:left="0"/>
        <w:jc w:val="both"/>
        <w:rPr>
          <w:rFonts w:ascii="Times New Roman" w:hAnsi="Times New Roman" w:cs="Times New Roman"/>
          <w:i/>
          <w:lang w:val="id-ID"/>
        </w:rPr>
      </w:pPr>
      <w:r w:rsidRPr="004B4D38">
        <w:rPr>
          <w:rFonts w:ascii="Times New Roman" w:hAnsi="Times New Roman" w:cs="Times New Roman"/>
          <w:i/>
          <w:lang w:val="id-ID"/>
        </w:rPr>
        <w:t>Tidak jelas</w:t>
      </w:r>
      <w:r w:rsidRPr="004B4D38">
        <w:rPr>
          <w:rFonts w:ascii="Times New Roman" w:hAnsi="Times New Roman" w:cs="Times New Roman"/>
          <w:i/>
          <w:lang w:val="id-ID"/>
        </w:rPr>
        <w:tab/>
        <w:t>1</w:t>
      </w:r>
      <w:r w:rsidRPr="004B4D38">
        <w:rPr>
          <w:rFonts w:ascii="Times New Roman" w:hAnsi="Times New Roman" w:cs="Times New Roman"/>
          <w:i/>
          <w:lang w:val="id-ID"/>
        </w:rPr>
        <w:tab/>
      </w:r>
      <w:r>
        <w:rPr>
          <w:rFonts w:ascii="Times New Roman" w:hAnsi="Times New Roman" w:cs="Times New Roman"/>
          <w:i/>
          <w:lang w:val="id-ID"/>
        </w:rPr>
        <w:t xml:space="preserve">0,3 </w:t>
      </w:r>
    </w:p>
    <w:p w14:paraId="40BF5227" w14:textId="2D1DEFDE" w:rsidR="00F221E4" w:rsidRPr="00F221E4" w:rsidRDefault="00F221E4" w:rsidP="004B4D38">
      <w:pPr>
        <w:pStyle w:val="Heading2"/>
        <w:spacing w:line="240" w:lineRule="auto"/>
        <w:ind w:firstLine="426"/>
        <w:rPr>
          <w:rFonts w:ascii="Times New Roman" w:hAnsi="Times New Roman" w:cs="Times New Roman"/>
          <w:b w:val="0"/>
          <w:sz w:val="22"/>
          <w:szCs w:val="22"/>
          <w:lang w:val="id-ID"/>
        </w:rPr>
      </w:pPr>
      <w:r w:rsidRPr="00F221E4">
        <w:rPr>
          <w:rFonts w:ascii="Times New Roman" w:hAnsi="Times New Roman" w:cs="Times New Roman"/>
          <w:b w:val="0"/>
          <w:caps w:val="0"/>
          <w:sz w:val="22"/>
          <w:szCs w:val="22"/>
          <w:lang w:val="id-ID"/>
        </w:rPr>
        <w:t>Data di atas menunjukkan bahwa guru yang terlibat dalam organisasi profesi penjas adapti</w:t>
      </w:r>
      <w:r w:rsidR="004B4D38">
        <w:rPr>
          <w:rFonts w:ascii="Times New Roman" w:hAnsi="Times New Roman" w:cs="Times New Roman"/>
          <w:b w:val="0"/>
          <w:caps w:val="0"/>
          <w:sz w:val="22"/>
          <w:szCs w:val="22"/>
          <w:lang w:val="id-ID"/>
        </w:rPr>
        <w:t>f atau olahraga cacat  seperti NPC (</w:t>
      </w:r>
      <w:r w:rsidR="004B4D38" w:rsidRPr="004B4D38">
        <w:rPr>
          <w:rFonts w:ascii="Times New Roman" w:hAnsi="Times New Roman" w:cs="Times New Roman"/>
          <w:b w:val="0"/>
          <w:i/>
          <w:caps w:val="0"/>
          <w:sz w:val="22"/>
          <w:szCs w:val="22"/>
          <w:lang w:val="id-ID"/>
        </w:rPr>
        <w:t>National Paralympic C</w:t>
      </w:r>
      <w:r w:rsidRPr="004B4D38">
        <w:rPr>
          <w:rFonts w:ascii="Times New Roman" w:hAnsi="Times New Roman" w:cs="Times New Roman"/>
          <w:b w:val="0"/>
          <w:i/>
          <w:caps w:val="0"/>
          <w:sz w:val="22"/>
          <w:szCs w:val="22"/>
          <w:lang w:val="id-ID"/>
        </w:rPr>
        <w:t>ommittee</w:t>
      </w:r>
      <w:r w:rsidRPr="00F221E4">
        <w:rPr>
          <w:rFonts w:ascii="Times New Roman" w:hAnsi="Times New Roman" w:cs="Times New Roman"/>
          <w:b w:val="0"/>
          <w:caps w:val="0"/>
          <w:sz w:val="22"/>
          <w:szCs w:val="22"/>
          <w:lang w:val="id-ID"/>
        </w:rPr>
        <w:t xml:space="preserve">), </w:t>
      </w:r>
      <w:r w:rsidR="004B4D38" w:rsidRPr="00F221E4">
        <w:rPr>
          <w:rFonts w:ascii="Times New Roman" w:hAnsi="Times New Roman" w:cs="Times New Roman"/>
          <w:b w:val="0"/>
          <w:caps w:val="0"/>
          <w:sz w:val="22"/>
          <w:szCs w:val="22"/>
          <w:lang w:val="id-ID"/>
        </w:rPr>
        <w:t>YPAC, BPOC</w:t>
      </w:r>
      <w:r w:rsidRPr="00F221E4">
        <w:rPr>
          <w:rFonts w:ascii="Times New Roman" w:hAnsi="Times New Roman" w:cs="Times New Roman"/>
          <w:b w:val="0"/>
          <w:caps w:val="0"/>
          <w:sz w:val="22"/>
          <w:szCs w:val="22"/>
          <w:lang w:val="id-ID"/>
        </w:rPr>
        <w:t>, maupun asosiasi sejenis dengan ketunaan khas seperti soina, porturin, dsb., ternyata masih amat kecil, yaitu hanya 10,4 persen dari seluruh cohort yang disurvei. Mayoritas mereka, sebanyak 89, 2 persen, tidak terlibat dan tidak aktif di organisasi dimaksud.</w:t>
      </w:r>
    </w:p>
    <w:p w14:paraId="06BF83CE" w14:textId="77777777" w:rsidR="00F221E4" w:rsidRDefault="00F221E4" w:rsidP="00F221E4">
      <w:pPr>
        <w:pStyle w:val="Heading2"/>
        <w:rPr>
          <w:rFonts w:ascii="Times New Roman" w:hAnsi="Times New Roman" w:cs="Times New Roman"/>
          <w:sz w:val="22"/>
          <w:szCs w:val="22"/>
          <w:lang w:val="id-ID"/>
        </w:rPr>
      </w:pPr>
    </w:p>
    <w:p w14:paraId="7C301CF2" w14:textId="77777777" w:rsidR="00F221E4" w:rsidRDefault="00F221E4" w:rsidP="004B4D38">
      <w:pPr>
        <w:pStyle w:val="Heading2"/>
        <w:spacing w:line="240" w:lineRule="auto"/>
        <w:rPr>
          <w:rFonts w:ascii="Times New Roman" w:hAnsi="Times New Roman" w:cs="Times New Roman"/>
          <w:sz w:val="22"/>
          <w:szCs w:val="22"/>
          <w:lang w:val="id-ID"/>
        </w:rPr>
      </w:pPr>
      <w:r>
        <w:rPr>
          <w:rFonts w:ascii="Times New Roman" w:hAnsi="Times New Roman" w:cs="Times New Roman"/>
          <w:sz w:val="22"/>
          <w:szCs w:val="22"/>
          <w:lang w:val="id-ID"/>
        </w:rPr>
        <w:t>Diskusi/Discussion</w:t>
      </w:r>
    </w:p>
    <w:p w14:paraId="2B43E14E" w14:textId="77777777" w:rsidR="004B4D38" w:rsidRDefault="004B4D38" w:rsidP="004B4D38">
      <w:pPr>
        <w:pStyle w:val="ListParagraph"/>
        <w:spacing w:before="0" w:beforeAutospacing="0" w:after="0" w:afterAutospacing="0"/>
        <w:ind w:left="0" w:firstLine="284"/>
        <w:jc w:val="both"/>
        <w:rPr>
          <w:rFonts w:ascii="Times New Roman" w:hAnsi="Times New Roman" w:cs="Times New Roman"/>
          <w:lang w:val="id-ID"/>
        </w:rPr>
      </w:pPr>
    </w:p>
    <w:p w14:paraId="5CD36912" w14:textId="77777777" w:rsidR="00F221E4" w:rsidRPr="00202604" w:rsidRDefault="00F221E4" w:rsidP="004B4D38">
      <w:pPr>
        <w:pStyle w:val="ListParagraph"/>
        <w:spacing w:before="0" w:beforeAutospacing="0" w:after="0" w:afterAutospacing="0"/>
        <w:ind w:left="0" w:right="0" w:firstLine="284"/>
        <w:jc w:val="both"/>
        <w:rPr>
          <w:rFonts w:ascii="Times New Roman" w:hAnsi="Times New Roman" w:cs="Times New Roman"/>
          <w:lang w:val="id-ID"/>
        </w:rPr>
      </w:pPr>
      <w:r w:rsidRPr="00202604">
        <w:rPr>
          <w:rFonts w:ascii="Times New Roman" w:hAnsi="Times New Roman" w:cs="Times New Roman"/>
          <w:lang w:val="id-ID"/>
        </w:rPr>
        <w:t>Dengan</w:t>
      </w:r>
      <w:r>
        <w:rPr>
          <w:rFonts w:ascii="Times New Roman" w:hAnsi="Times New Roman" w:cs="Times New Roman"/>
          <w:lang w:val="id-ID"/>
        </w:rPr>
        <w:t xml:space="preserve"> hasil di atas, berikutnya adalah menjawab pertanyaan-pertanyaan penelitian yang diajukan di awal bab. Terdapat empat pertanyaan yang ingin dijawab dalam penelitian ini, yaitu meliputi, (1) apakah</w:t>
      </w:r>
      <w:r w:rsidRPr="00C22551">
        <w:rPr>
          <w:rFonts w:ascii="Times New Roman" w:hAnsi="Times New Roman" w:cs="Times New Roman"/>
          <w:lang w:val="id-ID"/>
        </w:rPr>
        <w:t xml:space="preserve"> guru Penjas Adaptif berlatar belakang pendidikan yang </w:t>
      </w:r>
      <w:r>
        <w:rPr>
          <w:rFonts w:ascii="Times New Roman" w:hAnsi="Times New Roman" w:cs="Times New Roman"/>
          <w:lang w:val="id-ID"/>
        </w:rPr>
        <w:t xml:space="preserve">sesuai dengan bidang keilmuan yang mendukungnya?, (2) Apakah program Pendidikan jasmani adaptif sudah menjadi program yang memenuhi kebutuhan anak akan gerak? (3) Apakah program Penjas Adaptif sudah dipandang sebagai kebutuhan yang diprioritaskan di SLB di Indonesia dan menjadi salah satu pelajaran </w:t>
      </w:r>
      <w:r>
        <w:rPr>
          <w:rFonts w:ascii="Times New Roman" w:hAnsi="Times New Roman" w:cs="Times New Roman"/>
          <w:lang w:val="id-ID"/>
        </w:rPr>
        <w:lastRenderedPageBreak/>
        <w:t>bidang studi khusus? (4) Sudahkah kebutuhan guru Pendidikan Jasmani Adaptif disiapkan secara tersistem oleh sistem pendidikan di perguruan tinggi di Indonesia?</w:t>
      </w:r>
    </w:p>
    <w:p w14:paraId="3572CCCE" w14:textId="26410B87" w:rsidR="00F221E4" w:rsidRDefault="00F221E4" w:rsidP="004B4D38">
      <w:pPr>
        <w:spacing w:before="0" w:beforeAutospacing="0" w:after="0" w:afterAutospacing="0"/>
        <w:ind w:left="0" w:firstLine="284"/>
        <w:jc w:val="both"/>
        <w:rPr>
          <w:rFonts w:ascii="Times New Roman" w:hAnsi="Times New Roman" w:cs="Times New Roman"/>
          <w:lang w:val="id-ID"/>
        </w:rPr>
      </w:pPr>
      <w:r w:rsidRPr="00202604">
        <w:rPr>
          <w:rFonts w:ascii="Times New Roman" w:hAnsi="Times New Roman" w:cs="Times New Roman"/>
          <w:lang w:val="id-ID"/>
        </w:rPr>
        <w:t>Menjawab empat pertanyaan di atas memang menjadi krusial dan akan menjadi sebuah upaya untuk memformulasikan masalah dan kebutuhan kita bersama ke depan.</w:t>
      </w:r>
      <w:r>
        <w:rPr>
          <w:rFonts w:ascii="Times New Roman" w:hAnsi="Times New Roman" w:cs="Times New Roman"/>
          <w:lang w:val="id-ID"/>
        </w:rPr>
        <w:t xml:space="preserve"> Untuk iru marilah kita urai satu persatu.</w:t>
      </w:r>
    </w:p>
    <w:p w14:paraId="1027B895" w14:textId="66D4D67C" w:rsidR="00F221E4" w:rsidRDefault="00F221E4" w:rsidP="000D7D79">
      <w:pPr>
        <w:ind w:left="0" w:firstLine="426"/>
        <w:jc w:val="both"/>
        <w:rPr>
          <w:rFonts w:ascii="Times New Roman" w:hAnsi="Times New Roman" w:cs="Times New Roman"/>
          <w:lang w:val="id-ID"/>
        </w:rPr>
      </w:pPr>
      <w:r>
        <w:rPr>
          <w:rFonts w:ascii="Times New Roman" w:hAnsi="Times New Roman" w:cs="Times New Roman"/>
          <w:i/>
          <w:lang w:val="id-ID"/>
        </w:rPr>
        <w:t xml:space="preserve">Pertama, </w:t>
      </w:r>
      <w:r>
        <w:rPr>
          <w:rFonts w:ascii="Times New Roman" w:hAnsi="Times New Roman" w:cs="Times New Roman"/>
          <w:lang w:val="id-ID"/>
        </w:rPr>
        <w:t xml:space="preserve">pertanyaan terkait ‘apakah guru Penjas Adaptif berlatar belakang pendidikan yang sesuai dengan bidang keilmuan yang pendukung?, nampaknya perlu didahului oleh pertimbangan, apakah yang dibutuhkan oleh guru tersebut tentang </w:t>
      </w:r>
      <w:r w:rsidRPr="00202604">
        <w:rPr>
          <w:rFonts w:ascii="Times New Roman" w:hAnsi="Times New Roman" w:cs="Times New Roman"/>
          <w:i/>
          <w:lang w:val="id-ID"/>
        </w:rPr>
        <w:t>children characteristics</w:t>
      </w:r>
      <w:r>
        <w:rPr>
          <w:rFonts w:ascii="Times New Roman" w:hAnsi="Times New Roman" w:cs="Times New Roman"/>
          <w:lang w:val="id-ID"/>
        </w:rPr>
        <w:t xml:space="preserve"> atau lebih ke arah </w:t>
      </w:r>
      <w:r w:rsidRPr="00202604">
        <w:rPr>
          <w:rFonts w:ascii="Times New Roman" w:hAnsi="Times New Roman" w:cs="Times New Roman"/>
          <w:i/>
          <w:lang w:val="id-ID"/>
        </w:rPr>
        <w:t xml:space="preserve">content knowledge </w:t>
      </w:r>
      <w:r>
        <w:rPr>
          <w:rFonts w:ascii="Times New Roman" w:hAnsi="Times New Roman" w:cs="Times New Roman"/>
          <w:lang w:val="id-ID"/>
        </w:rPr>
        <w:t xml:space="preserve">dan </w:t>
      </w:r>
      <w:r w:rsidRPr="00202604">
        <w:rPr>
          <w:rFonts w:ascii="Times New Roman" w:hAnsi="Times New Roman" w:cs="Times New Roman"/>
          <w:i/>
          <w:lang w:val="id-ID"/>
        </w:rPr>
        <w:t>pedagogical content knowledge</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{"citationItems":[{"id":"ITEM-1","itemData":{"DOI":"10.1123/jtpe.2016-0037","ISSN":"15432769","abstract":"Pedagogical content knowledge (PCK) is a frequently used concept in the educational community. Its usage is so widespread it appears to function as a \"lingua franca\" across different subject areas and among researchers within a subject area. Critiques of PCK have suggested it may function at best as a heuristic and at worst as a masquerade; because there has been little consensus on its conceptualization and in many studies there is no operational definition of PCK provided. Recent studies, however, have moved both the conceptualization and measurement of PCK forward in ways that allow the concept to be operationalized. In this article we examine how PCK has evolved since Shulman's (1986) initial conceptualization, and discuss how the concept has been used in physical education. We describe and examine five recurring research findings for PCK in physical education. These are that PCK can be described on continuums of maturity and effectiveness; is learned, is specific to content and context; and is strongly related to both content knowledge and knowledge of students.","author":[{"dropping-particle":"","family":"Ward","given":"Phillip","non-dropping-particle":"","parse-names":false,"suffix":""},{"dropping-particle":"","family":"Ayvazo","given":"Shiri","non-dropping-particle":"","parse-names":false,"suffix":""}],"container-title":"Journal of Teaching in Physical Education","id":"ITEM-1","issue":"3","issued":{"date-parts":[["2016"]]},"page":"194-207","title":"Pedagogical content knowledge: Conceptions and findings in physical education","type":"article-journal","volume":"35"},"uris":["http://www.mendeley.com/documents/?uuid=2b3df31b-38f2-434e-920f-66d44ceb27a7"]}],"mendeley":{"formattedCitation":"(Ward &amp; Ayvazo, 2016)","plainTextFormattedCitation":"(Ward &amp; Ayvazo, 2016)"},"properties":{"noteIndex":0},"schema":"https://github.com/citation-style-language/schema/raw/master/csl-citation.json"}</w:instrText>
      </w:r>
      <w:r>
        <w:rPr>
          <w:rFonts w:ascii="Times New Roman" w:hAnsi="Times New Roman" w:cs="Times New Roman"/>
          <w:lang w:val="id-ID"/>
        </w:rPr>
        <w:fldChar w:fldCharType="separate"/>
      </w:r>
      <w:r w:rsidRPr="005A30B6">
        <w:rPr>
          <w:rFonts w:ascii="Times New Roman" w:hAnsi="Times New Roman" w:cs="Times New Roman"/>
          <w:noProof/>
          <w:lang w:val="id-ID"/>
        </w:rPr>
        <w:t>(Ward &amp; Ayvazo, 2016)</w:t>
      </w:r>
      <w:r>
        <w:rPr>
          <w:rFonts w:ascii="Times New Roman" w:hAnsi="Times New Roman" w:cs="Times New Roman"/>
          <w:lang w:val="id-ID"/>
        </w:rPr>
        <w:fldChar w:fldCharType="end"/>
      </w:r>
      <w:r>
        <w:rPr>
          <w:rFonts w:ascii="Times New Roman" w:hAnsi="Times New Roman" w:cs="Times New Roman"/>
          <w:lang w:val="id-ID"/>
        </w:rPr>
        <w:t xml:space="preserve">. Jika hal ini sudah bisa dijawab dengan tegas, maka ia bisa dijawab dengan tegas pula. </w:t>
      </w:r>
    </w:p>
    <w:p w14:paraId="5EE0D304" w14:textId="77777777" w:rsidR="00F221E4" w:rsidRDefault="00F221E4" w:rsidP="004B4D38">
      <w:pPr>
        <w:spacing w:before="0" w:beforeAutospacing="0" w:after="0" w:afterAutospacing="0"/>
        <w:ind w:left="0" w:right="0" w:firstLine="340"/>
        <w:jc w:val="both"/>
        <w:rPr>
          <w:rFonts w:ascii="Times New Roman" w:hAnsi="Times New Roman" w:cs="Times New Roman"/>
          <w:lang w:val="id-ID"/>
        </w:rPr>
      </w:pPr>
      <w:r>
        <w:rPr>
          <w:rFonts w:ascii="Times New Roman" w:hAnsi="Times New Roman" w:cs="Times New Roman"/>
          <w:lang w:val="id-ID"/>
        </w:rPr>
        <w:t xml:space="preserve">Saat ini, mayoritas guru Penjas Adaptif di Indonesia masih diisi oleh tenaga pendidik yang berasal dan menguasai keilmuan keluar-biasaan. Artinya, guru yang sehari-hari bertindak sebagai guru kelas, juga sekaligus bertindak sebagai guru Penjas Adaptif. Artinya, selama ini berlaku pandangan bahwa guru Penjas adaptif dilaksanakan oleh guru yang berlatar pendidikan yang kuat dalam hal children characteristics knowledge-nya. Tetapi mereka tentu dapat dianggap lemah dalam hal </w:t>
      </w:r>
      <w:r w:rsidRPr="00202604">
        <w:rPr>
          <w:rFonts w:ascii="Times New Roman" w:hAnsi="Times New Roman" w:cs="Times New Roman"/>
          <w:i/>
          <w:lang w:val="id-ID"/>
        </w:rPr>
        <w:t>content knowledge</w:t>
      </w:r>
      <w:r>
        <w:rPr>
          <w:rFonts w:ascii="Times New Roman" w:hAnsi="Times New Roman" w:cs="Times New Roman"/>
          <w:lang w:val="id-ID"/>
        </w:rPr>
        <w:t xml:space="preserve"> yang specifik untuk kepenjasannya. Disini dilema mulai terjadi. Dalam konteks trend saat ini di mana kesadaran tentang gerak dan aktivitas jasmani amat terkait erat dengan kesehatan dan pengembangan kapasitas anak dalam segala aspek, masih tepatkah mempertahankan keyakinan bahwa bagi anak-anak berkebutuhan khusus, programmnya tetap dilaksanakan oleh guru-guru lulusan PLB? Tentu hal ini sudah tidak tepat lagi. Kesimpulannya adalah, idealnya, guru Penjas Adaptif harus seorang profesional, yang terutama mengetahui tentang content knowledge dan aspek kependidikannya, sehingga diharapkan dapat memaksimalkan potensi anak dalam </w:t>
      </w:r>
      <w:r>
        <w:rPr>
          <w:rFonts w:ascii="Times New Roman" w:hAnsi="Times New Roman" w:cs="Times New Roman"/>
          <w:lang w:val="id-ID"/>
        </w:rPr>
        <w:lastRenderedPageBreak/>
        <w:t>berbagai aspek, melalui keutuhan konsep dalam hal kesatuan tubuh dan jiwa yang disokong oleh filsafat monisme yang kuat.</w:t>
      </w:r>
    </w:p>
    <w:p w14:paraId="720C24B4" w14:textId="77777777" w:rsidR="00F221E4" w:rsidRDefault="00F221E4" w:rsidP="004B4D38">
      <w:pPr>
        <w:spacing w:before="0" w:beforeAutospacing="0" w:after="0" w:afterAutospacing="0"/>
        <w:ind w:left="0" w:right="0" w:firstLine="283"/>
        <w:jc w:val="both"/>
        <w:rPr>
          <w:rFonts w:ascii="Times New Roman" w:hAnsi="Times New Roman" w:cs="Times New Roman"/>
          <w:lang w:val="id-ID"/>
        </w:rPr>
      </w:pPr>
      <w:r>
        <w:rPr>
          <w:rFonts w:ascii="Times New Roman" w:hAnsi="Times New Roman" w:cs="Times New Roman"/>
          <w:lang w:val="id-ID"/>
        </w:rPr>
        <w:t>Sehingga jawaban terhadap pertanyaan pertama dapat dijawab secara tegas bahwa latar belakang pendidikan dari mayoritas guru Penjas Adaptif di Indonesia belum sesuai dengan bidang keilmuan yang mendukungnya.</w:t>
      </w:r>
    </w:p>
    <w:p w14:paraId="56E90EF1" w14:textId="77777777" w:rsidR="00F221E4" w:rsidRDefault="00F221E4" w:rsidP="004B4D38">
      <w:pPr>
        <w:spacing w:before="0" w:beforeAutospacing="0" w:after="0" w:afterAutospacing="0"/>
        <w:ind w:left="0" w:right="0" w:firstLine="283"/>
        <w:jc w:val="both"/>
        <w:rPr>
          <w:rFonts w:ascii="Times New Roman" w:hAnsi="Times New Roman" w:cs="Times New Roman"/>
          <w:lang w:val="id-ID"/>
        </w:rPr>
      </w:pPr>
      <w:r>
        <w:rPr>
          <w:rFonts w:ascii="Times New Roman" w:hAnsi="Times New Roman" w:cs="Times New Roman"/>
          <w:i/>
          <w:lang w:val="id-ID"/>
        </w:rPr>
        <w:t xml:space="preserve">Kedua, </w:t>
      </w:r>
      <w:r>
        <w:rPr>
          <w:rFonts w:ascii="Times New Roman" w:hAnsi="Times New Roman" w:cs="Times New Roman"/>
          <w:lang w:val="id-ID"/>
        </w:rPr>
        <w:t xml:space="preserve"> pertanyaan terkait dengan “apakah program Pendidikan jasmani adaptif sudah menjadi program yang memenuhi kebutuhan anak akan gerak,” jawabannya pun tentu sudah dapat diduga.</w:t>
      </w:r>
    </w:p>
    <w:p w14:paraId="45EF0FA3" w14:textId="77777777" w:rsidR="00F221E4" w:rsidRDefault="00F221E4" w:rsidP="004B4D38">
      <w:pPr>
        <w:spacing w:before="0" w:beforeAutospacing="0" w:after="0" w:afterAutospacing="0"/>
        <w:ind w:firstLine="341"/>
        <w:jc w:val="both"/>
        <w:rPr>
          <w:rFonts w:ascii="Times New Roman" w:hAnsi="Times New Roman" w:cs="Times New Roman"/>
          <w:lang w:val="id-ID"/>
        </w:rPr>
      </w:pPr>
      <w:r>
        <w:rPr>
          <w:rFonts w:ascii="Times New Roman" w:hAnsi="Times New Roman" w:cs="Times New Roman"/>
          <w:lang w:val="id-ID"/>
        </w:rPr>
        <w:t>Karena mayoritas guru Penjas Adaptif di Indonesia masih dilaksanakan oleh guru yang tidak berlatar belakang pendidikan keilmuan yang relevan, maka program yang diselenggarakan pun niscaya belum dapat disebut memenuhi kebutuhan anak akan gerak dan aktivitas jasmani yang sesuai dengan tuntutan minimalnya. Oelh karena itu, hal ini harus menjadi perhatian bersama di antara berbagai pihak yang terkait, terutama pihak yang berada dalam posisi pembuat keputusan, yang diharapkan mampu mengambil keputusan yang memihak pada kebutuhan anak.</w:t>
      </w:r>
    </w:p>
    <w:p w14:paraId="7F37C31E" w14:textId="77777777" w:rsidR="00F221E4" w:rsidRDefault="00F221E4" w:rsidP="004B4D38">
      <w:pPr>
        <w:spacing w:before="0" w:beforeAutospacing="0" w:after="0" w:afterAutospacing="0"/>
        <w:ind w:firstLine="341"/>
        <w:jc w:val="both"/>
        <w:rPr>
          <w:rFonts w:ascii="Times New Roman" w:hAnsi="Times New Roman" w:cs="Times New Roman"/>
          <w:lang w:val="id-ID"/>
        </w:rPr>
      </w:pPr>
      <w:r>
        <w:rPr>
          <w:rFonts w:ascii="Times New Roman" w:hAnsi="Times New Roman" w:cs="Times New Roman"/>
          <w:i/>
          <w:lang w:val="id-ID"/>
        </w:rPr>
        <w:t xml:space="preserve">Ketiga, </w:t>
      </w:r>
      <w:r>
        <w:rPr>
          <w:rFonts w:ascii="Times New Roman" w:hAnsi="Times New Roman" w:cs="Times New Roman"/>
          <w:lang w:val="id-ID"/>
        </w:rPr>
        <w:t>pertanyaan terkait dengan “apakah program Penjas Adaptif sudah dipandang sebagai kebutuhan yang diprioritaskan di SLB di Indonesia dan menjadi salah satu pelajaran bidang studi khusus,” jawabannya sudah cukup terang benderang, yaitu bahwa Penjas Adaptif belum dipandang sebagai bidang studi yang dipandang penting, sehingga tentu juga belum diprioritaskan. Ciri bahwa ia diprioritaskan adalah jika pelajaran Penjas Adaptif dipandang satu bidang studi khusus seperti di sekolah umum, sehingga kebutuhan guru pengampunya pun perlu disiapkan secara khusus.</w:t>
      </w:r>
    </w:p>
    <w:p w14:paraId="19454D1D" w14:textId="77777777" w:rsidR="00F221E4" w:rsidRDefault="00F221E4" w:rsidP="004B4D38">
      <w:pPr>
        <w:tabs>
          <w:tab w:val="left" w:pos="4111"/>
        </w:tabs>
        <w:spacing w:before="0" w:beforeAutospacing="0" w:after="0" w:afterAutospacing="0"/>
        <w:ind w:left="0" w:right="0" w:firstLine="341"/>
        <w:jc w:val="both"/>
        <w:rPr>
          <w:rFonts w:ascii="Times New Roman" w:hAnsi="Times New Roman" w:cs="Times New Roman"/>
          <w:lang w:val="id-ID"/>
        </w:rPr>
      </w:pPr>
      <w:r>
        <w:rPr>
          <w:rFonts w:ascii="Times New Roman" w:hAnsi="Times New Roman" w:cs="Times New Roman"/>
          <w:lang w:val="id-ID"/>
        </w:rPr>
        <w:t xml:space="preserve">Sejauh ini nampaknya kebutuhan guru Penjas Adaptif, di samping diselenggarakan oleh guru-guru yang berstatus guru kelas (guru PLB), juga beberapa diisi oleh guru-guru Penjas Umum (istilah yang dipilih dengan sangat terpaksa untuk menyebut guru Penjas yang non spesialis untuk Penjas Adaptif), lulusan dari berbagai prodi-prodi seperti PJKR, Kepelatihan Olahraga, Ilmu Keolahragaan, atau PGSD Penjas. Namun </w:t>
      </w:r>
      <w:r>
        <w:rPr>
          <w:rFonts w:ascii="Times New Roman" w:hAnsi="Times New Roman" w:cs="Times New Roman"/>
          <w:lang w:val="id-ID"/>
        </w:rPr>
        <w:lastRenderedPageBreak/>
        <w:t>dapat dikatakan bahwa mereka pun belum dipandang sebagai guru spesialis, karena wawasan keilmuan ketunaannya masih amat kurang. Dalam hal ini mungkin mereka baru dipandang sebagai posisi penyelamat sebelum adanya guru Penjas Adaptif yang disiapkan khusus di lembaga yang terakui secara kelembagaan di perguruan tinggi.</w:t>
      </w:r>
    </w:p>
    <w:p w14:paraId="12AC04B7" w14:textId="77777777" w:rsidR="00F221E4" w:rsidRDefault="00F221E4" w:rsidP="004B4D38">
      <w:pPr>
        <w:spacing w:before="0" w:beforeAutospacing="0" w:after="0" w:afterAutospacing="0"/>
        <w:ind w:left="0" w:firstLine="341"/>
        <w:jc w:val="both"/>
        <w:rPr>
          <w:rFonts w:ascii="Times New Roman" w:hAnsi="Times New Roman" w:cs="Times New Roman"/>
          <w:lang w:val="id-ID"/>
        </w:rPr>
      </w:pPr>
      <w:r>
        <w:rPr>
          <w:rFonts w:ascii="Times New Roman" w:hAnsi="Times New Roman" w:cs="Times New Roman"/>
          <w:i/>
          <w:lang w:val="id-ID"/>
        </w:rPr>
        <w:t xml:space="preserve">Keempat, </w:t>
      </w:r>
      <w:r>
        <w:rPr>
          <w:rFonts w:ascii="Times New Roman" w:hAnsi="Times New Roman" w:cs="Times New Roman"/>
          <w:lang w:val="id-ID"/>
        </w:rPr>
        <w:t>pertanyaan terkait dengan “sudahkah kebutuhan guru Pendidikan Jasmani Adaptif disiapkan secara tersistem oleh sistem pendidikan di perguruan tinggi di Indonesia,” dapat dijawab dengan tegas bahwa hal itu belum terjadi. Mungkin masih memerlukan langkah panjang sampai keputusan mendirikan Prodi Penjas Adaptif ini bisa diwujudkan, setelah didukung oleh angka kebutuhan riil tentang Kebutuhan Guru Penjas Adaptif sebagai guru Bidang Studi Penjas Adaptif di sekolah luar biasa, yang tentu harus disuarakan oleh baik Direktorat PMPK di Kemendikbud maupun para Kepala Sekolah SLB se Indonesia.</w:t>
      </w:r>
    </w:p>
    <w:p w14:paraId="6C3D9647" w14:textId="374F3A8B" w:rsidR="00F221E4" w:rsidRPr="00F221E4" w:rsidRDefault="00F221E4" w:rsidP="004B4D38">
      <w:pPr>
        <w:pStyle w:val="Heading2"/>
        <w:spacing w:line="240" w:lineRule="auto"/>
        <w:ind w:firstLine="284"/>
        <w:rPr>
          <w:rFonts w:ascii="Times New Roman" w:hAnsi="Times New Roman" w:cs="Times New Roman"/>
          <w:b w:val="0"/>
        </w:rPr>
      </w:pPr>
      <w:r w:rsidRPr="00F221E4">
        <w:rPr>
          <w:rFonts w:ascii="Times New Roman" w:hAnsi="Times New Roman" w:cs="Times New Roman"/>
          <w:b w:val="0"/>
          <w:caps w:val="0"/>
          <w:sz w:val="22"/>
          <w:szCs w:val="22"/>
          <w:lang w:val="id-ID"/>
        </w:rPr>
        <w:t xml:space="preserve">Dengan penyuaraan kebutuhan tersebut, barulah perguruan tinggi di indonesia akan berupaya untuk memenuhinya melalui pendirian prodi bernama program studi pendidikan jasmani adaptif, sebagai upaya memenuhi kebutuhan nasional dimaksud. Tanpa itu, tidak akan ada urgensi terkait pendiriannya, yang di pihak tertentu harus melahirkan keprihatinan dan kepedulian tersendiri. Barangkali langkah tambal sulam saja yang dapat dilakukan, misalnya seperti yang dilakukan oleh prodi pgsd penjas di </w:t>
      </w:r>
      <w:r w:rsidR="004B4D38" w:rsidRPr="00F221E4">
        <w:rPr>
          <w:rFonts w:ascii="Times New Roman" w:hAnsi="Times New Roman" w:cs="Times New Roman"/>
          <w:b w:val="0"/>
          <w:caps w:val="0"/>
          <w:sz w:val="22"/>
          <w:szCs w:val="22"/>
          <w:lang w:val="id-ID"/>
        </w:rPr>
        <w:t>FPOK UPI</w:t>
      </w:r>
      <w:r w:rsidRPr="00F221E4">
        <w:rPr>
          <w:rFonts w:ascii="Times New Roman" w:hAnsi="Times New Roman" w:cs="Times New Roman"/>
          <w:b w:val="0"/>
          <w:caps w:val="0"/>
          <w:sz w:val="22"/>
          <w:szCs w:val="22"/>
          <w:lang w:val="id-ID"/>
        </w:rPr>
        <w:t xml:space="preserve">, yang sejauh ini sudah menyediakan kelompok mata kuliah pilihan pendidikan jasmani adaptif dalam kurikulumnya sebanyak 16 </w:t>
      </w:r>
      <w:r w:rsidR="004B4D38" w:rsidRPr="00F221E4">
        <w:rPr>
          <w:rFonts w:ascii="Times New Roman" w:hAnsi="Times New Roman" w:cs="Times New Roman"/>
          <w:b w:val="0"/>
          <w:caps w:val="0"/>
          <w:sz w:val="22"/>
          <w:szCs w:val="22"/>
          <w:lang w:val="id-ID"/>
        </w:rPr>
        <w:t>SKS</w:t>
      </w:r>
      <w:r w:rsidRPr="00F221E4">
        <w:rPr>
          <w:rFonts w:ascii="Times New Roman" w:hAnsi="Times New Roman" w:cs="Times New Roman"/>
          <w:b w:val="0"/>
          <w:caps w:val="0"/>
          <w:sz w:val="22"/>
          <w:szCs w:val="22"/>
          <w:lang w:val="id-ID"/>
        </w:rPr>
        <w:t xml:space="preserve"> ditambah mata kuliah pengantarnya yang bernilai 2 </w:t>
      </w:r>
      <w:r w:rsidR="004B4D38" w:rsidRPr="00F221E4">
        <w:rPr>
          <w:rFonts w:ascii="Times New Roman" w:hAnsi="Times New Roman" w:cs="Times New Roman"/>
          <w:b w:val="0"/>
          <w:caps w:val="0"/>
          <w:sz w:val="22"/>
          <w:szCs w:val="22"/>
          <w:lang w:val="id-ID"/>
        </w:rPr>
        <w:t>SKS</w:t>
      </w:r>
      <w:r w:rsidRPr="00F221E4">
        <w:rPr>
          <w:rFonts w:ascii="Times New Roman" w:hAnsi="Times New Roman" w:cs="Times New Roman"/>
          <w:b w:val="0"/>
          <w:caps w:val="0"/>
          <w:sz w:val="22"/>
          <w:szCs w:val="22"/>
          <w:lang w:val="id-ID"/>
        </w:rPr>
        <w:t xml:space="preserve">, sehingga secara keseluruhan meliputi 18 </w:t>
      </w:r>
      <w:r w:rsidR="004B4D38" w:rsidRPr="00F221E4">
        <w:rPr>
          <w:rFonts w:ascii="Times New Roman" w:hAnsi="Times New Roman" w:cs="Times New Roman"/>
          <w:b w:val="0"/>
          <w:caps w:val="0"/>
          <w:sz w:val="22"/>
          <w:szCs w:val="22"/>
          <w:lang w:val="id-ID"/>
        </w:rPr>
        <w:t>SKS</w:t>
      </w:r>
      <w:r w:rsidRPr="00F221E4">
        <w:rPr>
          <w:rFonts w:ascii="Times New Roman" w:hAnsi="Times New Roman" w:cs="Times New Roman"/>
          <w:b w:val="0"/>
          <w:caps w:val="0"/>
          <w:sz w:val="22"/>
          <w:szCs w:val="22"/>
          <w:lang w:val="id-ID"/>
        </w:rPr>
        <w:t>. Namun demikian, jumlah mahasiswa peminat penjas adaptif ini masih rendah, untuk tidak mengatakan tidak diminati sama sekali.</w:t>
      </w:r>
    </w:p>
    <w:p w14:paraId="11BB0BAB" w14:textId="77777777" w:rsidR="00F221E4" w:rsidRDefault="00F221E4" w:rsidP="00F221E4">
      <w:pPr>
        <w:pStyle w:val="Heading2"/>
      </w:pPr>
    </w:p>
    <w:p w14:paraId="4FBB6BEC" w14:textId="77777777" w:rsidR="008346BF" w:rsidRDefault="00790659" w:rsidP="00F221E4">
      <w:pPr>
        <w:pStyle w:val="Heading2"/>
      </w:pPr>
      <w:r>
        <w:t xml:space="preserve">KESIMPULAN </w:t>
      </w:r>
      <w:r>
        <w:rPr>
          <w:i/>
        </w:rPr>
        <w:t>(CONCLUSION)</w:t>
      </w:r>
    </w:p>
    <w:p w14:paraId="64281D8A" w14:textId="77777777" w:rsidR="00F221E4" w:rsidRPr="000D7D79" w:rsidRDefault="00F221E4" w:rsidP="004B4D38">
      <w:pPr>
        <w:spacing w:before="0" w:beforeAutospacing="0" w:after="0" w:afterAutospacing="0"/>
        <w:ind w:left="0" w:right="0" w:firstLine="284"/>
        <w:jc w:val="both"/>
        <w:rPr>
          <w:rFonts w:ascii="Times New Roman" w:hAnsi="Times New Roman" w:cs="Times New Roman"/>
          <w:lang w:val="id-ID"/>
        </w:rPr>
      </w:pPr>
      <w:r w:rsidRPr="000D7D79">
        <w:rPr>
          <w:rFonts w:ascii="Times New Roman" w:hAnsi="Times New Roman" w:cs="Times New Roman"/>
          <w:lang w:val="id-ID"/>
        </w:rPr>
        <w:t xml:space="preserve">Perhatian terhadap anak berkebutuhan khusus dalam hal kebutuhan gerak dan tingkat keaktifan fisik ternyata belum terdukung oleh sistem penyediaan guru yang sesuai bidang studinya, yaitu guru bidang </w:t>
      </w:r>
      <w:r w:rsidRPr="000D7D79">
        <w:rPr>
          <w:rFonts w:ascii="Times New Roman" w:hAnsi="Times New Roman" w:cs="Times New Roman"/>
          <w:lang w:val="id-ID"/>
        </w:rPr>
        <w:lastRenderedPageBreak/>
        <w:t xml:space="preserve">studi penjas adaptif. Belum ada satu prodi pun yang pernah atau sudah didirikan selama ini. </w:t>
      </w:r>
    </w:p>
    <w:p w14:paraId="72022B0B" w14:textId="77777777" w:rsidR="00F221E4" w:rsidRPr="000D7D79" w:rsidRDefault="00F221E4" w:rsidP="004B4D38">
      <w:pPr>
        <w:spacing w:before="0" w:beforeAutospacing="0" w:after="0" w:afterAutospacing="0"/>
        <w:ind w:left="0" w:right="0" w:firstLine="284"/>
        <w:jc w:val="both"/>
        <w:rPr>
          <w:rFonts w:ascii="Times New Roman" w:hAnsi="Times New Roman" w:cs="Times New Roman"/>
          <w:lang w:val="id-ID"/>
        </w:rPr>
      </w:pPr>
      <w:r w:rsidRPr="000D7D79">
        <w:rPr>
          <w:rFonts w:ascii="Times New Roman" w:hAnsi="Times New Roman" w:cs="Times New Roman"/>
          <w:lang w:val="id-ID"/>
        </w:rPr>
        <w:t xml:space="preserve">Penelusuran terhadap profil guru Penjas Adaptif di sekolah luar biasa mengungkapkan bahwa jumlah guru yang berlatar belakang pendidikan jasmani umum pun masih amat rendah, yaitu hanya sekitar 38 persen, dibandingkan dengan guru yang berasal dari Pendidikan Luar Biasa (PLB) yang berjumlah lebih dari 60,5 persen. Dengan demikian hal ini pun menegaskan bahwa tidak ada sama sekali guru yang disiapkan secara khusus. Sejauh dapat dikatakan sebagai upaya peningkatan kompetensi ke arah penguatan kompetensi pedagogik dan profesional guru Penjas Adaptif hanyalah program pelatihan atau program penataran. Namun belakangn, program pelatihan atau pembekalan ini pun sudah lama menghilang, sehingga mayroitas guru yang mengajar Penjas Adaptif di SLB-SLB se Indonesia, belum banyak yang merasakan sentuhan tambahan program in-service training resmi. </w:t>
      </w:r>
    </w:p>
    <w:p w14:paraId="583A451F" w14:textId="77777777" w:rsidR="00F221E4" w:rsidRPr="000D7D79" w:rsidRDefault="00F221E4" w:rsidP="004B4D38">
      <w:pPr>
        <w:spacing w:before="0" w:beforeAutospacing="0" w:after="0" w:afterAutospacing="0"/>
        <w:ind w:left="0" w:right="0" w:firstLine="284"/>
        <w:jc w:val="both"/>
        <w:rPr>
          <w:rFonts w:ascii="Times New Roman" w:hAnsi="Times New Roman" w:cs="Times New Roman"/>
          <w:lang w:val="id-ID"/>
        </w:rPr>
      </w:pPr>
      <w:r w:rsidRPr="000D7D79">
        <w:rPr>
          <w:rFonts w:ascii="Times New Roman" w:hAnsi="Times New Roman" w:cs="Times New Roman"/>
          <w:lang w:val="id-ID"/>
        </w:rPr>
        <w:t>Isu dan wacana pendirian Prodi Penjas Adaptif, hingga saat ini belum pernah bergulir kencang, karena terkait alasan yang cukup sensitif, nampaknya belum ada keterbukaan dari pihak sekolah luar biasa atau termasuk dari Direktorat Pendidikan Masyarakat Pendidikan Khusus (PMPK) di Kemendikbud, yang menyuarakan kebutuhan urgen terhadap hadirnya Pendidikan Jasmani Adaptif ini. Hal ini mendorong kita untuk terus memikirkan, bagaimanakah memecahkan kebuntuan tersebut, apakah dengan bentuk kompromi, bahwa penyiapan guru Penjas Adaptif, dapat disediakan oleh dua pihak, yaitu oleh Fakultas Ilmu Pendidikan yang diberi peluang membuka prodi Pendidikan Jasmani Adaptif disandingkan dengan guru PLB umum, atau di buka prodi Pendidikan Jasmani Adaptif di bawah Departemen POR di bawah Fakultas Ilmu Keolahragaan (FIK/FPOK).</w:t>
      </w:r>
    </w:p>
    <w:p w14:paraId="4E7AA77A" w14:textId="77777777" w:rsidR="00F221E4" w:rsidRPr="000D7D79" w:rsidRDefault="00F221E4" w:rsidP="004B4D38">
      <w:pPr>
        <w:spacing w:before="0" w:beforeAutospacing="0" w:after="0" w:afterAutospacing="0"/>
        <w:ind w:left="0" w:firstLine="284"/>
        <w:jc w:val="both"/>
        <w:rPr>
          <w:rFonts w:ascii="Times New Roman" w:hAnsi="Times New Roman" w:cs="Times New Roman"/>
          <w:lang w:val="id-ID"/>
        </w:rPr>
      </w:pPr>
      <w:r w:rsidRPr="000D7D79">
        <w:rPr>
          <w:rFonts w:ascii="Times New Roman" w:hAnsi="Times New Roman" w:cs="Times New Roman"/>
          <w:lang w:val="id-ID"/>
        </w:rPr>
        <w:t>Time will tell, where this trend tendency will lead us to.</w:t>
      </w:r>
    </w:p>
    <w:p w14:paraId="5277DEC4" w14:textId="77777777" w:rsidR="008346BF" w:rsidRPr="00BC22EE" w:rsidRDefault="008346BF" w:rsidP="004B4D38">
      <w:pPr>
        <w:spacing w:before="0" w:beforeAutospacing="0" w:after="0" w:afterAutospacing="0"/>
        <w:ind w:left="0" w:right="0" w:firstLine="360"/>
        <w:contextualSpacing/>
        <w:jc w:val="both"/>
        <w:rPr>
          <w:rFonts w:ascii="Times New Roman" w:hAnsi="Times New Roman" w:cs="Times New Roman"/>
          <w:sz w:val="24"/>
          <w:lang w:val="id-ID"/>
        </w:rPr>
      </w:pPr>
    </w:p>
    <w:p w14:paraId="5BA9F12C" w14:textId="77777777" w:rsidR="008346BF" w:rsidRDefault="008346BF" w:rsidP="004B4D38">
      <w:pPr>
        <w:pStyle w:val="Heading2"/>
        <w:spacing w:line="240" w:lineRule="auto"/>
      </w:pPr>
    </w:p>
    <w:p w14:paraId="21961B60" w14:textId="77777777" w:rsidR="008346BF" w:rsidRDefault="00790659">
      <w:pPr>
        <w:pStyle w:val="Heading2"/>
        <w:rPr>
          <w:i/>
          <w:lang w:val="id-ID"/>
        </w:rPr>
      </w:pPr>
      <w:r>
        <w:t xml:space="preserve">DaFTAR PUSTAKA </w:t>
      </w:r>
      <w:r>
        <w:rPr>
          <w:i/>
        </w:rPr>
        <w:t>(REFERENCE)</w:t>
      </w:r>
    </w:p>
    <w:p w14:paraId="16A4E50E" w14:textId="37D9FE4C"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Pr>
          <w:rFonts w:ascii="Times New Roman" w:hAnsi="Times New Roman" w:cs="Times New Roman"/>
          <w:b/>
          <w:lang w:val="id-ID"/>
        </w:rPr>
        <w:lastRenderedPageBreak/>
        <w:fldChar w:fldCharType="begin" w:fldLock="1"/>
      </w:r>
      <w:r>
        <w:rPr>
          <w:rFonts w:ascii="Times New Roman" w:hAnsi="Times New Roman" w:cs="Times New Roman"/>
          <w:b/>
          <w:lang w:val="id-ID"/>
        </w:rPr>
        <w:instrText xml:space="preserve">ADDIN Mendeley Bibliography CSL_BIBLIOGRAPHY </w:instrText>
      </w:r>
      <w:r>
        <w:rPr>
          <w:rFonts w:ascii="Times New Roman" w:hAnsi="Times New Roman" w:cs="Times New Roman"/>
          <w:b/>
          <w:lang w:val="id-ID"/>
        </w:rPr>
        <w:fldChar w:fldCharType="separate"/>
      </w:r>
      <w:r w:rsidRPr="005A30B6">
        <w:rPr>
          <w:rFonts w:ascii="Times New Roman" w:hAnsi="Times New Roman" w:cs="Times New Roman"/>
          <w:noProof/>
          <w:szCs w:val="24"/>
        </w:rPr>
        <w:t>Aubert, S., Barnes, J. D., Abdeta, C., Nader, P. A., Adeni</w:t>
      </w:r>
      <w:r w:rsidR="004B4D38">
        <w:rPr>
          <w:rFonts w:ascii="Times New Roman" w:hAnsi="Times New Roman" w:cs="Times New Roman"/>
          <w:noProof/>
          <w:szCs w:val="24"/>
        </w:rPr>
        <w:t>yi, A. F., Aguilar-Farias, N.,</w:t>
      </w:r>
      <w:r w:rsidRPr="005A30B6">
        <w:rPr>
          <w:rFonts w:ascii="Times New Roman" w:hAnsi="Times New Roman" w:cs="Times New Roman"/>
          <w:noProof/>
          <w:szCs w:val="24"/>
        </w:rPr>
        <w:t xml:space="preserve"> Tremblay, M. S. (2018). Global Matrix 3.0 physical activity Report Card grades for children and youth: Results and analysis from 49 countries. </w:t>
      </w:r>
      <w:r w:rsidRPr="005A30B6">
        <w:rPr>
          <w:rFonts w:ascii="Times New Roman" w:hAnsi="Times New Roman" w:cs="Times New Roman"/>
          <w:i/>
          <w:iCs/>
          <w:noProof/>
          <w:szCs w:val="24"/>
        </w:rPr>
        <w:t>Journal of Physical Activity and Health</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15</w:t>
      </w:r>
      <w:r w:rsidRPr="005A30B6">
        <w:rPr>
          <w:rFonts w:ascii="Times New Roman" w:hAnsi="Times New Roman" w:cs="Times New Roman"/>
          <w:noProof/>
          <w:szCs w:val="24"/>
        </w:rPr>
        <w:t>(Suppl 2), S251–S273. https://doi.org/10.1123/jpah.2018-0472</w:t>
      </w:r>
    </w:p>
    <w:p w14:paraId="4EF3FFE2" w14:textId="07C548C5"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Aubert, S., Barnes, J. D., &amp; Tremblay, M. S. (2020). Evaluation of the process and outcomes of the Global Matrix 3.0 of physical activity grades for children and youth. </w:t>
      </w:r>
      <w:r w:rsidRPr="005A30B6">
        <w:rPr>
          <w:rFonts w:ascii="Times New Roman" w:hAnsi="Times New Roman" w:cs="Times New Roman"/>
          <w:i/>
          <w:iCs/>
          <w:noProof/>
          <w:szCs w:val="24"/>
        </w:rPr>
        <w:t>Journal of Exercise Science and Fitness</w:t>
      </w:r>
      <w:r w:rsidRPr="005A30B6">
        <w:rPr>
          <w:rFonts w:ascii="Times New Roman" w:hAnsi="Times New Roman" w:cs="Times New Roman"/>
          <w:noProof/>
          <w:szCs w:val="24"/>
        </w:rPr>
        <w:t>, (xxxx). https://doi.org/10.1016/</w:t>
      </w:r>
      <w:r w:rsidR="004B4D38">
        <w:rPr>
          <w:rFonts w:ascii="Times New Roman" w:hAnsi="Times New Roman" w:cs="Times New Roman"/>
          <w:noProof/>
          <w:szCs w:val="24"/>
        </w:rPr>
        <w:t xml:space="preserve"> </w:t>
      </w:r>
      <w:r w:rsidRPr="005A30B6">
        <w:rPr>
          <w:rFonts w:ascii="Times New Roman" w:hAnsi="Times New Roman" w:cs="Times New Roman"/>
          <w:noProof/>
          <w:szCs w:val="24"/>
        </w:rPr>
        <w:t>j.jesf.2020.01.002</w:t>
      </w:r>
    </w:p>
    <w:p w14:paraId="01AC6AFB"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Brooks, J., McCluskey, S., Turley, E., &amp; King, N. (2015). The Utility of Template Analysis in Qualitative Psychology Research. </w:t>
      </w:r>
      <w:r w:rsidRPr="005A30B6">
        <w:rPr>
          <w:rFonts w:ascii="Times New Roman" w:hAnsi="Times New Roman" w:cs="Times New Roman"/>
          <w:i/>
          <w:iCs/>
          <w:noProof/>
          <w:szCs w:val="24"/>
        </w:rPr>
        <w:t>Qualitative Research in Psychology</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12</w:t>
      </w:r>
      <w:r w:rsidRPr="005A30B6">
        <w:rPr>
          <w:rFonts w:ascii="Times New Roman" w:hAnsi="Times New Roman" w:cs="Times New Roman"/>
          <w:noProof/>
          <w:szCs w:val="24"/>
        </w:rPr>
        <w:t>(2), 202–222. https://doi.org/10.1080/14780887.2014.955224</w:t>
      </w:r>
    </w:p>
    <w:p w14:paraId="4E90C58C"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Collins, K., &amp; Staples, K. (2017). The role of physical activity in improving physical fitness in children with intellectual and developmental disabilities. </w:t>
      </w:r>
      <w:r w:rsidRPr="005A30B6">
        <w:rPr>
          <w:rFonts w:ascii="Times New Roman" w:hAnsi="Times New Roman" w:cs="Times New Roman"/>
          <w:i/>
          <w:iCs/>
          <w:noProof/>
          <w:szCs w:val="24"/>
        </w:rPr>
        <w:t>Research in Developmental Disabilities</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69</w:t>
      </w:r>
      <w:r w:rsidRPr="005A30B6">
        <w:rPr>
          <w:rFonts w:ascii="Times New Roman" w:hAnsi="Times New Roman" w:cs="Times New Roman"/>
          <w:noProof/>
          <w:szCs w:val="24"/>
        </w:rPr>
        <w:t>(September 2016), 49–60. https://doi.org/10.1016/j.ridd.2017.07.020</w:t>
      </w:r>
    </w:p>
    <w:p w14:paraId="22F765B4"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de Chaves, R. N., Bustamante Valdívia, A., Nevill, A., Freitas, D., Tani, G., Katzmarzyk, P. T., &amp; Maia, J. A. R. (2016). Developmental and physical-fitness associations with gross motor coordination problems in Peruvian children. </w:t>
      </w:r>
      <w:r w:rsidRPr="005A30B6">
        <w:rPr>
          <w:rFonts w:ascii="Times New Roman" w:hAnsi="Times New Roman" w:cs="Times New Roman"/>
          <w:i/>
          <w:iCs/>
          <w:noProof/>
          <w:szCs w:val="24"/>
        </w:rPr>
        <w:t>Research in Developmental Disabilities</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53</w:t>
      </w:r>
      <w:r w:rsidRPr="005A30B6">
        <w:rPr>
          <w:rFonts w:ascii="Times New Roman" w:hAnsi="Times New Roman" w:cs="Times New Roman"/>
          <w:noProof/>
          <w:szCs w:val="24"/>
        </w:rPr>
        <w:t>–</w:t>
      </w:r>
      <w:r w:rsidRPr="005A30B6">
        <w:rPr>
          <w:rFonts w:ascii="Times New Roman" w:hAnsi="Times New Roman" w:cs="Times New Roman"/>
          <w:i/>
          <w:iCs/>
          <w:noProof/>
          <w:szCs w:val="24"/>
        </w:rPr>
        <w:t>54</w:t>
      </w:r>
      <w:r w:rsidRPr="005A30B6">
        <w:rPr>
          <w:rFonts w:ascii="Times New Roman" w:hAnsi="Times New Roman" w:cs="Times New Roman"/>
          <w:noProof/>
          <w:szCs w:val="24"/>
        </w:rPr>
        <w:t>, 107–114. https://doi.org/10.1016/j.ridd.2016.01.003</w:t>
      </w:r>
    </w:p>
    <w:p w14:paraId="08056CB5"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Durden-Myers, E. J., Green, N. R., &amp; Whitehead, M. E. (2018). Implications for promoting physical literacy. </w:t>
      </w:r>
      <w:r w:rsidRPr="005A30B6">
        <w:rPr>
          <w:rFonts w:ascii="Times New Roman" w:hAnsi="Times New Roman" w:cs="Times New Roman"/>
          <w:i/>
          <w:iCs/>
          <w:noProof/>
          <w:szCs w:val="24"/>
        </w:rPr>
        <w:t>Journal of Teaching in Physical Education</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37</w:t>
      </w:r>
      <w:r w:rsidRPr="005A30B6">
        <w:rPr>
          <w:rFonts w:ascii="Times New Roman" w:hAnsi="Times New Roman" w:cs="Times New Roman"/>
          <w:noProof/>
          <w:szCs w:val="24"/>
        </w:rPr>
        <w:t>(3), 262–271. https://doi.org/10.1123/jtpe.2018-0131</w:t>
      </w:r>
    </w:p>
    <w:p w14:paraId="532805B7"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Edwards, L. C., Bryant, A. S., Keegan, R. J., Morgan, K., &amp; Jones, A. M. (2017). Definitions, Foundations and </w:t>
      </w:r>
      <w:r w:rsidRPr="005A30B6">
        <w:rPr>
          <w:rFonts w:ascii="Times New Roman" w:hAnsi="Times New Roman" w:cs="Times New Roman"/>
          <w:noProof/>
          <w:szCs w:val="24"/>
        </w:rPr>
        <w:lastRenderedPageBreak/>
        <w:t xml:space="preserve">Associations of Physical Literacy: A Systematic Review. </w:t>
      </w:r>
      <w:r w:rsidRPr="005A30B6">
        <w:rPr>
          <w:rFonts w:ascii="Times New Roman" w:hAnsi="Times New Roman" w:cs="Times New Roman"/>
          <w:i/>
          <w:iCs/>
          <w:noProof/>
          <w:szCs w:val="24"/>
        </w:rPr>
        <w:t>Sports Medicine</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47</w:t>
      </w:r>
      <w:r w:rsidRPr="005A30B6">
        <w:rPr>
          <w:rFonts w:ascii="Times New Roman" w:hAnsi="Times New Roman" w:cs="Times New Roman"/>
          <w:noProof/>
          <w:szCs w:val="24"/>
        </w:rPr>
        <w:t>(1), 113–126. https://doi.org/10.1007/s40279-016-0560-7</w:t>
      </w:r>
    </w:p>
    <w:p w14:paraId="41700C88" w14:textId="566DA8B9"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Evidence, D., &amp; Only, F. O. R. C. (2020). </w:t>
      </w:r>
      <w:r w:rsidR="004B4D38" w:rsidRPr="005A30B6">
        <w:rPr>
          <w:rFonts w:ascii="Times New Roman" w:hAnsi="Times New Roman" w:cs="Times New Roman"/>
          <w:noProof/>
          <w:szCs w:val="24"/>
        </w:rPr>
        <w:t>Evidence Profiles Prepared For The 2020 Who Guidelines On Physical Acitvity A Nd Sedentary Behaviour For Children And Adolescents, Adults And Older Adults</w:t>
      </w:r>
      <w:r w:rsidRPr="005A30B6">
        <w:rPr>
          <w:rFonts w:ascii="Times New Roman" w:hAnsi="Times New Roman" w:cs="Times New Roman"/>
          <w:noProof/>
          <w:szCs w:val="24"/>
        </w:rPr>
        <w:t xml:space="preserve"> DRAFT Evidence profile-FOR CONSULTATION ONLY 2 DRAFT Evidence profile prepared for the WHO Guideline.</w:t>
      </w:r>
    </w:p>
    <w:p w14:paraId="029D8917"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Gába, A., Pedišić, Ž., Štefelová, N., Dygrýn, J., Hron, K., Dumuid, D., &amp; Tremblay, M. (2020). Sedentary behavior patterns and adiposity in children: A study based on compositional data analysis. </w:t>
      </w:r>
      <w:r w:rsidRPr="005A30B6">
        <w:rPr>
          <w:rFonts w:ascii="Times New Roman" w:hAnsi="Times New Roman" w:cs="Times New Roman"/>
          <w:i/>
          <w:iCs/>
          <w:noProof/>
          <w:szCs w:val="24"/>
        </w:rPr>
        <w:t>BMC Pediatrics</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20</w:t>
      </w:r>
      <w:r w:rsidRPr="005A30B6">
        <w:rPr>
          <w:rFonts w:ascii="Times New Roman" w:hAnsi="Times New Roman" w:cs="Times New Roman"/>
          <w:noProof/>
          <w:szCs w:val="24"/>
        </w:rPr>
        <w:t>(1), 1–11. https://doi.org/10.1186/s12887-020-02036-6</w:t>
      </w:r>
    </w:p>
    <w:p w14:paraId="70A0D600"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Guthold, R., Stevens, G. A., Riley, L. M., &amp; Bull, F. C. (2020). Global trends in insufficient physical activity among adolescents: a pooled analysis of 298 population-based surveys with 1·6 million participants. </w:t>
      </w:r>
      <w:r w:rsidRPr="005A30B6">
        <w:rPr>
          <w:rFonts w:ascii="Times New Roman" w:hAnsi="Times New Roman" w:cs="Times New Roman"/>
          <w:i/>
          <w:iCs/>
          <w:noProof/>
          <w:szCs w:val="24"/>
        </w:rPr>
        <w:t>The Lancet Child and Adolescent Health</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4</w:t>
      </w:r>
      <w:r w:rsidRPr="005A30B6">
        <w:rPr>
          <w:rFonts w:ascii="Times New Roman" w:hAnsi="Times New Roman" w:cs="Times New Roman"/>
          <w:noProof/>
          <w:szCs w:val="24"/>
        </w:rPr>
        <w:t>(1), 23–35. https://doi.org/10.1016/S2352-4642(19)30323-2</w:t>
      </w:r>
    </w:p>
    <w:p w14:paraId="653EA301"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Hall, W. J., Zeveloff, A., Steckler, A., Schneider, M., Thompson, D., Pham, T., … HEALTHY Study Group. (2012). Process evaluation results from the HEALTHY physical education intervention. </w:t>
      </w:r>
      <w:r w:rsidRPr="005A30B6">
        <w:rPr>
          <w:rFonts w:ascii="Times New Roman" w:hAnsi="Times New Roman" w:cs="Times New Roman"/>
          <w:i/>
          <w:iCs/>
          <w:noProof/>
          <w:szCs w:val="24"/>
        </w:rPr>
        <w:t>Health Education Research</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27</w:t>
      </w:r>
      <w:r w:rsidRPr="005A30B6">
        <w:rPr>
          <w:rFonts w:ascii="Times New Roman" w:hAnsi="Times New Roman" w:cs="Times New Roman"/>
          <w:noProof/>
          <w:szCs w:val="24"/>
        </w:rPr>
        <w:t>(2), 307–318. https://doi.org/10.1093/her/cyr107</w:t>
      </w:r>
    </w:p>
    <w:p w14:paraId="2F004896"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Hastie, P. A. (2017). Revisiting the national physical education content standards: What do we really know about our achievement of the physically educated/literate person? </w:t>
      </w:r>
      <w:r w:rsidRPr="005A30B6">
        <w:rPr>
          <w:rFonts w:ascii="Times New Roman" w:hAnsi="Times New Roman" w:cs="Times New Roman"/>
          <w:i/>
          <w:iCs/>
          <w:noProof/>
          <w:szCs w:val="24"/>
        </w:rPr>
        <w:t>Journal of Teaching in Physical Education</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36</w:t>
      </w:r>
      <w:r w:rsidRPr="005A30B6">
        <w:rPr>
          <w:rFonts w:ascii="Times New Roman" w:hAnsi="Times New Roman" w:cs="Times New Roman"/>
          <w:noProof/>
          <w:szCs w:val="24"/>
        </w:rPr>
        <w:t>(1), 3–19. https://doi.org/10.1123/jtpe.2016-0182</w:t>
      </w:r>
    </w:p>
    <w:p w14:paraId="38ED798F"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Kawada, T. (2016). Long TV watching time and the risk of physical, mental and psychiatric disorders. </w:t>
      </w:r>
      <w:r w:rsidRPr="005A30B6">
        <w:rPr>
          <w:rFonts w:ascii="Times New Roman" w:hAnsi="Times New Roman" w:cs="Times New Roman"/>
          <w:i/>
          <w:iCs/>
          <w:noProof/>
          <w:szCs w:val="24"/>
        </w:rPr>
        <w:t>International Journal of Cardiology</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223</w:t>
      </w:r>
      <w:r w:rsidRPr="005A30B6">
        <w:rPr>
          <w:rFonts w:ascii="Times New Roman" w:hAnsi="Times New Roman" w:cs="Times New Roman"/>
          <w:noProof/>
          <w:szCs w:val="24"/>
        </w:rPr>
        <w:t>, 764–765. https://doi.org/10.1016/j.ijcard.2016.08.328</w:t>
      </w:r>
    </w:p>
    <w:p w14:paraId="095D3F57"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lastRenderedPageBreak/>
        <w:t xml:space="preserve">Kokkinos, P. (2012). Physical Activity, Health Benefits, and Mortality Risk. </w:t>
      </w:r>
      <w:r w:rsidRPr="005A30B6">
        <w:rPr>
          <w:rFonts w:ascii="Times New Roman" w:hAnsi="Times New Roman" w:cs="Times New Roman"/>
          <w:i/>
          <w:iCs/>
          <w:noProof/>
          <w:szCs w:val="24"/>
        </w:rPr>
        <w:t>ISRN Cardiology</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2012</w:t>
      </w:r>
      <w:r w:rsidRPr="005A30B6">
        <w:rPr>
          <w:rFonts w:ascii="Times New Roman" w:hAnsi="Times New Roman" w:cs="Times New Roman"/>
          <w:noProof/>
          <w:szCs w:val="24"/>
        </w:rPr>
        <w:t>, 1–14. https://doi.org/10.5402/2012/718789</w:t>
      </w:r>
    </w:p>
    <w:p w14:paraId="59539EA8"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 xml:space="preserve">Lennartsson, C., &amp; Silverstein, M. (2001). Does engagement with life enhance survival of elderly people in sweden? The role of social and leisure activities. </w:t>
      </w:r>
      <w:r w:rsidRPr="005A30B6">
        <w:rPr>
          <w:rFonts w:ascii="Times New Roman" w:hAnsi="Times New Roman" w:cs="Times New Roman"/>
          <w:i/>
          <w:iCs/>
          <w:noProof/>
          <w:szCs w:val="24"/>
        </w:rPr>
        <w:t>Journals of Gerontology - Series B Psychological Sciences and Social Sciences</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56</w:t>
      </w:r>
      <w:r w:rsidRPr="005A30B6">
        <w:rPr>
          <w:rFonts w:ascii="Times New Roman" w:hAnsi="Times New Roman" w:cs="Times New Roman"/>
          <w:noProof/>
          <w:szCs w:val="24"/>
        </w:rPr>
        <w:t>(6), 335–342. https://doi.org/10.1093/geronb/56.6.S335</w:t>
      </w:r>
    </w:p>
    <w:p w14:paraId="77FA79C1" w14:textId="77777777" w:rsidR="00F221E4" w:rsidRPr="005A30B6" w:rsidRDefault="00F221E4" w:rsidP="004B4D38">
      <w:pPr>
        <w:widowControl w:val="0"/>
        <w:autoSpaceDE w:val="0"/>
        <w:autoSpaceDN w:val="0"/>
        <w:adjustRightInd w:val="0"/>
        <w:spacing w:before="0" w:beforeAutospacing="0" w:after="0" w:afterAutospacing="0"/>
        <w:ind w:left="482" w:right="0" w:hanging="482"/>
        <w:jc w:val="both"/>
        <w:rPr>
          <w:rFonts w:ascii="Times New Roman" w:hAnsi="Times New Roman" w:cs="Times New Roman"/>
          <w:noProof/>
          <w:szCs w:val="24"/>
        </w:rPr>
      </w:pPr>
      <w:r w:rsidRPr="005A30B6">
        <w:rPr>
          <w:rFonts w:ascii="Times New Roman" w:hAnsi="Times New Roman" w:cs="Times New Roman"/>
          <w:noProof/>
          <w:szCs w:val="24"/>
        </w:rPr>
        <w:t>Maher, A. J. (2019). The Self stepping into the shoes of the Other : Understanding and developing self-perceptions of empathy among prospective physical education teachers through a special school placement,</w:t>
      </w:r>
      <w:bookmarkStart w:id="0" w:name="_GoBack"/>
      <w:bookmarkEnd w:id="0"/>
      <w:r w:rsidRPr="005A30B6">
        <w:rPr>
          <w:rFonts w:ascii="Times New Roman" w:hAnsi="Times New Roman" w:cs="Times New Roman"/>
          <w:noProof/>
          <w:szCs w:val="24"/>
        </w:rPr>
        <w:t xml:space="preserve"> 1–17. https://doi.org/10.1177/1356336X19890365</w:t>
      </w:r>
    </w:p>
    <w:p w14:paraId="5F1DE270" w14:textId="77777777" w:rsidR="00F221E4" w:rsidRDefault="00F221E4" w:rsidP="004B4D38">
      <w:pPr>
        <w:widowControl w:val="0"/>
        <w:autoSpaceDE w:val="0"/>
        <w:autoSpaceDN w:val="0"/>
        <w:adjustRightInd w:val="0"/>
        <w:ind w:left="480" w:right="0" w:hanging="480"/>
        <w:jc w:val="both"/>
        <w:rPr>
          <w:rFonts w:ascii="Times New Roman" w:hAnsi="Times New Roman" w:cs="Times New Roman"/>
          <w:noProof/>
        </w:rPr>
      </w:pPr>
      <w:r w:rsidRPr="005A30B6">
        <w:rPr>
          <w:rFonts w:ascii="Times New Roman" w:hAnsi="Times New Roman" w:cs="Times New Roman"/>
          <w:noProof/>
          <w:szCs w:val="24"/>
        </w:rPr>
        <w:t xml:space="preserve">Seghers, J., de Martelaer, K., &amp; Cardon, G. (2009). Young people’s health as a challenge for physical education in schools in the twenty-first century: the case of Flanders (Belgium). </w:t>
      </w:r>
      <w:r w:rsidRPr="005A30B6">
        <w:rPr>
          <w:rFonts w:ascii="Times New Roman" w:hAnsi="Times New Roman" w:cs="Times New Roman"/>
          <w:i/>
          <w:iCs/>
          <w:noProof/>
          <w:szCs w:val="24"/>
        </w:rPr>
        <w:t>Physical Education &amp; Sport Pedagogy</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14</w:t>
      </w:r>
      <w:r w:rsidRPr="005A30B6">
        <w:rPr>
          <w:rFonts w:ascii="Times New Roman" w:hAnsi="Times New Roman" w:cs="Times New Roman"/>
          <w:noProof/>
          <w:szCs w:val="24"/>
        </w:rPr>
        <w:t>(4), 407–420. https://doi.org/10.1080/17408980902729347</w:t>
      </w:r>
    </w:p>
    <w:p w14:paraId="1884D04F" w14:textId="6715AE53" w:rsidR="00F221E4" w:rsidRPr="005A30B6" w:rsidRDefault="00F221E4" w:rsidP="004B4D38">
      <w:pPr>
        <w:ind w:left="426" w:right="0" w:hanging="426"/>
        <w:jc w:val="both"/>
        <w:rPr>
          <w:rFonts w:ascii="Times" w:eastAsia="Times New Roman" w:hAnsi="Times" w:cs="Times New Roman"/>
          <w:sz w:val="20"/>
          <w:szCs w:val="20"/>
          <w:lang w:val="en-ID"/>
        </w:rPr>
      </w:pPr>
      <w:r w:rsidRPr="005A30B6">
        <w:rPr>
          <w:rFonts w:ascii="Open Sans" w:eastAsia="Times New Roman" w:hAnsi="Open Sans" w:cs="Times New Roman"/>
          <w:color w:val="333333"/>
          <w:lang w:val="en-ID"/>
        </w:rPr>
        <w:t>Shelton</w:t>
      </w:r>
      <w:r>
        <w:rPr>
          <w:rFonts w:ascii="Open Sans" w:eastAsia="Times New Roman" w:hAnsi="Open Sans" w:cs="Times New Roman"/>
          <w:color w:val="333333"/>
          <w:lang w:val="en-ID"/>
        </w:rPr>
        <w:t xml:space="preserve">, </w:t>
      </w:r>
      <w:r w:rsidRPr="005A30B6">
        <w:rPr>
          <w:rFonts w:ascii="Open Sans" w:eastAsia="Times New Roman" w:hAnsi="Open Sans" w:cs="Times New Roman"/>
          <w:color w:val="333333"/>
          <w:lang w:val="en-ID"/>
        </w:rPr>
        <w:t>Hilary</w:t>
      </w:r>
      <w:r>
        <w:rPr>
          <w:rFonts w:ascii="Open Sans" w:eastAsia="Times New Roman" w:hAnsi="Open Sans" w:cs="Times New Roman"/>
          <w:color w:val="333333"/>
          <w:lang w:val="en-ID"/>
        </w:rPr>
        <w:t xml:space="preserve">. Is it PE or is it Sport? Achper Victoria. </w:t>
      </w:r>
      <w:r w:rsidRPr="005A30B6">
        <w:rPr>
          <w:rFonts w:ascii="Open Sans" w:eastAsia="Times New Roman" w:hAnsi="Open Sans" w:cs="Times New Roman"/>
          <w:color w:val="333333"/>
          <w:lang w:val="en-ID"/>
        </w:rPr>
        <w:t>https://achper.vic.</w:t>
      </w:r>
      <w:r w:rsidR="004B4D38">
        <w:rPr>
          <w:rFonts w:ascii="Open Sans" w:eastAsia="Times New Roman" w:hAnsi="Open Sans" w:cs="Times New Roman"/>
          <w:color w:val="333333"/>
          <w:lang w:val="en-ID"/>
        </w:rPr>
        <w:t xml:space="preserve"> </w:t>
      </w:r>
      <w:r w:rsidRPr="005A30B6">
        <w:rPr>
          <w:rFonts w:ascii="Open Sans" w:eastAsia="Times New Roman" w:hAnsi="Open Sans" w:cs="Times New Roman"/>
          <w:color w:val="333333"/>
          <w:lang w:val="en-ID"/>
        </w:rPr>
        <w:t>edu.au/public/news/new</w:t>
      </w:r>
      <w:r w:rsidR="004B4D38">
        <w:rPr>
          <w:rFonts w:ascii="Open Sans" w:eastAsia="Times New Roman" w:hAnsi="Open Sans" w:cs="Times New Roman"/>
          <w:color w:val="333333"/>
          <w:lang w:val="en-ID"/>
        </w:rPr>
        <w:t>s-items/Is-it-PE-or-is-it-sport</w:t>
      </w:r>
      <w:r w:rsidRPr="005A30B6">
        <w:rPr>
          <w:rFonts w:ascii="Open Sans" w:eastAsia="Times New Roman" w:hAnsi="Open Sans" w:cs="Times New Roman"/>
          <w:color w:val="333333"/>
          <w:lang w:val="en-ID"/>
        </w:rPr>
        <w:t>.aspx?fbclid=IwAR2a6</w:t>
      </w:r>
      <w:r w:rsidR="004B4D38">
        <w:rPr>
          <w:rFonts w:ascii="Open Sans" w:eastAsia="Times New Roman" w:hAnsi="Open Sans" w:cs="Times New Roman"/>
          <w:color w:val="333333"/>
          <w:lang w:val="en-ID"/>
        </w:rPr>
        <w:t xml:space="preserve"> </w:t>
      </w:r>
      <w:r w:rsidRPr="005A30B6">
        <w:rPr>
          <w:rFonts w:ascii="Open Sans" w:eastAsia="Times New Roman" w:hAnsi="Open Sans" w:cs="Times New Roman"/>
          <w:color w:val="333333"/>
          <w:lang w:val="en-ID"/>
        </w:rPr>
        <w:t>Mk6neDinfGYK9pkP_82krxREzei8AN5-UaXYTbjlvj1-Z4UArtmvc8</w:t>
      </w:r>
      <w:r>
        <w:rPr>
          <w:rFonts w:ascii="Open Sans" w:eastAsia="Times New Roman" w:hAnsi="Open Sans" w:cs="Times New Roman"/>
          <w:color w:val="333333"/>
          <w:lang w:val="en-ID"/>
        </w:rPr>
        <w:t>.</w:t>
      </w:r>
    </w:p>
    <w:p w14:paraId="3A383693" w14:textId="77777777" w:rsidR="00F221E4" w:rsidRPr="005A30B6" w:rsidRDefault="00F221E4" w:rsidP="004B4D38">
      <w:pPr>
        <w:widowControl w:val="0"/>
        <w:autoSpaceDE w:val="0"/>
        <w:autoSpaceDN w:val="0"/>
        <w:adjustRightInd w:val="0"/>
        <w:spacing w:before="0" w:after="0"/>
        <w:ind w:left="480" w:right="0" w:hanging="480"/>
        <w:jc w:val="both"/>
        <w:rPr>
          <w:rFonts w:ascii="Times New Roman" w:hAnsi="Times New Roman" w:cs="Times New Roman"/>
          <w:noProof/>
          <w:szCs w:val="24"/>
        </w:rPr>
      </w:pPr>
      <w:r w:rsidRPr="005A30B6">
        <w:rPr>
          <w:rFonts w:ascii="Times New Roman" w:hAnsi="Times New Roman" w:cs="Times New Roman"/>
          <w:noProof/>
          <w:szCs w:val="24"/>
        </w:rPr>
        <w:t xml:space="preserve">Ward, P., &amp; Ayvazo, S. (2016). Pedagogical content knowledge: Conceptions and findings in physical education. </w:t>
      </w:r>
      <w:r w:rsidRPr="005A30B6">
        <w:rPr>
          <w:rFonts w:ascii="Times New Roman" w:hAnsi="Times New Roman" w:cs="Times New Roman"/>
          <w:i/>
          <w:iCs/>
          <w:noProof/>
          <w:szCs w:val="24"/>
        </w:rPr>
        <w:t>Journal of Teaching in Physical Education</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35</w:t>
      </w:r>
      <w:r w:rsidRPr="005A30B6">
        <w:rPr>
          <w:rFonts w:ascii="Times New Roman" w:hAnsi="Times New Roman" w:cs="Times New Roman"/>
          <w:noProof/>
          <w:szCs w:val="24"/>
        </w:rPr>
        <w:t>(3), 194–207. https://doi.org/10.1123/jtpe.2016-0037</w:t>
      </w:r>
    </w:p>
    <w:p w14:paraId="19927102" w14:textId="77777777" w:rsidR="00F221E4" w:rsidRPr="005A30B6" w:rsidRDefault="00F221E4" w:rsidP="004B4D38">
      <w:pPr>
        <w:widowControl w:val="0"/>
        <w:autoSpaceDE w:val="0"/>
        <w:autoSpaceDN w:val="0"/>
        <w:adjustRightInd w:val="0"/>
        <w:spacing w:before="0" w:after="0"/>
        <w:ind w:left="480" w:hanging="480"/>
        <w:jc w:val="both"/>
        <w:rPr>
          <w:rFonts w:ascii="Times New Roman" w:hAnsi="Times New Roman" w:cs="Times New Roman"/>
          <w:noProof/>
          <w:szCs w:val="24"/>
        </w:rPr>
      </w:pPr>
      <w:r w:rsidRPr="005A30B6">
        <w:rPr>
          <w:rFonts w:ascii="Times New Roman" w:hAnsi="Times New Roman" w:cs="Times New Roman"/>
          <w:noProof/>
          <w:szCs w:val="24"/>
        </w:rPr>
        <w:t xml:space="preserve">WHO. (2019). </w:t>
      </w:r>
      <w:r w:rsidRPr="005A30B6">
        <w:rPr>
          <w:rFonts w:ascii="Times New Roman" w:hAnsi="Times New Roman" w:cs="Times New Roman"/>
          <w:i/>
          <w:iCs/>
          <w:noProof/>
          <w:szCs w:val="24"/>
        </w:rPr>
        <w:t>WHO Guidelines on physical activity, sedentary behaviour</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World Health Organization</w:t>
      </w:r>
      <w:r w:rsidRPr="005A30B6">
        <w:rPr>
          <w:rFonts w:ascii="Times New Roman" w:hAnsi="Times New Roman" w:cs="Times New Roman"/>
          <w:noProof/>
          <w:szCs w:val="24"/>
        </w:rPr>
        <w:t>. Retrieved from https://apps.who.int/iris/bitstream/handle/10665/325147/WHO-NMH-PND-2019.4-</w:t>
      </w:r>
      <w:r w:rsidRPr="005A30B6">
        <w:rPr>
          <w:rFonts w:ascii="Times New Roman" w:hAnsi="Times New Roman" w:cs="Times New Roman"/>
          <w:noProof/>
          <w:szCs w:val="24"/>
        </w:rPr>
        <w:lastRenderedPageBreak/>
        <w:t>eng.pdf?sequence=1&amp;isAllowed=y%0Ahttp://www.who.int/iris/handle/10665/311664%0Ahttps://apps.who.int/iris/handle/10665/325147</w:t>
      </w:r>
    </w:p>
    <w:p w14:paraId="220617C5" w14:textId="77777777" w:rsidR="00F221E4" w:rsidRPr="005A30B6" w:rsidRDefault="00F221E4" w:rsidP="003F0EFC">
      <w:pPr>
        <w:widowControl w:val="0"/>
        <w:autoSpaceDE w:val="0"/>
        <w:autoSpaceDN w:val="0"/>
        <w:adjustRightInd w:val="0"/>
        <w:spacing w:before="0" w:after="0"/>
        <w:ind w:left="480" w:hanging="480"/>
        <w:jc w:val="both"/>
        <w:rPr>
          <w:rFonts w:ascii="Times New Roman" w:hAnsi="Times New Roman" w:cs="Times New Roman"/>
          <w:noProof/>
        </w:rPr>
      </w:pPr>
      <w:r w:rsidRPr="005A30B6">
        <w:rPr>
          <w:rFonts w:ascii="Times New Roman" w:hAnsi="Times New Roman" w:cs="Times New Roman"/>
          <w:noProof/>
          <w:szCs w:val="24"/>
        </w:rPr>
        <w:t xml:space="preserve">Zhao, A., Li, Z., Ke, Y., Huo, S., Ma, Y., Zhang, Y., … Ren, Z. (2020). Dietary diversity among chinese residents during the COVID-19 outbreak and its associated factors. </w:t>
      </w:r>
      <w:r w:rsidRPr="005A30B6">
        <w:rPr>
          <w:rFonts w:ascii="Times New Roman" w:hAnsi="Times New Roman" w:cs="Times New Roman"/>
          <w:i/>
          <w:iCs/>
          <w:noProof/>
          <w:szCs w:val="24"/>
        </w:rPr>
        <w:t>Nutrients</w:t>
      </w:r>
      <w:r w:rsidRPr="005A30B6">
        <w:rPr>
          <w:rFonts w:ascii="Times New Roman" w:hAnsi="Times New Roman" w:cs="Times New Roman"/>
          <w:noProof/>
          <w:szCs w:val="24"/>
        </w:rPr>
        <w:t xml:space="preserve">, </w:t>
      </w:r>
      <w:r w:rsidRPr="005A30B6">
        <w:rPr>
          <w:rFonts w:ascii="Times New Roman" w:hAnsi="Times New Roman" w:cs="Times New Roman"/>
          <w:i/>
          <w:iCs/>
          <w:noProof/>
          <w:szCs w:val="24"/>
        </w:rPr>
        <w:t>12</w:t>
      </w:r>
      <w:r w:rsidRPr="005A30B6">
        <w:rPr>
          <w:rFonts w:ascii="Times New Roman" w:hAnsi="Times New Roman" w:cs="Times New Roman"/>
          <w:noProof/>
          <w:szCs w:val="24"/>
        </w:rPr>
        <w:t>(6), 1–13. https://doi.org/10.3390/nu12061699</w:t>
      </w:r>
    </w:p>
    <w:p w14:paraId="5ECAA353" w14:textId="77777777" w:rsidR="00CE43E7" w:rsidRPr="00CE43E7" w:rsidRDefault="00F221E4" w:rsidP="00F221E4">
      <w:pPr>
        <w:widowControl w:val="0"/>
        <w:autoSpaceDE w:val="0"/>
        <w:autoSpaceDN w:val="0"/>
        <w:adjustRightInd w:val="0"/>
        <w:ind w:left="480" w:hanging="480"/>
        <w:jc w:val="both"/>
        <w:rPr>
          <w:lang w:val="id-ID"/>
        </w:rPr>
      </w:pPr>
      <w:r>
        <w:rPr>
          <w:rFonts w:ascii="Times New Roman" w:hAnsi="Times New Roman" w:cs="Times New Roman"/>
          <w:b/>
          <w:lang w:val="id-ID"/>
        </w:rPr>
        <w:fldChar w:fldCharType="end"/>
      </w:r>
    </w:p>
    <w:p w14:paraId="1EE8A14A" w14:textId="77777777" w:rsidR="008346BF" w:rsidRDefault="008346BF" w:rsidP="00BC22EE">
      <w:pPr>
        <w:ind w:left="0" w:firstLine="547"/>
        <w:jc w:val="both"/>
      </w:pPr>
    </w:p>
    <w:sectPr w:rsidR="008346BF" w:rsidSect="004B4D38">
      <w:type w:val="continuous"/>
      <w:pgSz w:w="11907" w:h="16839"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825F9" w14:textId="77777777" w:rsidR="008E5CB7" w:rsidRDefault="008E5CB7">
      <w:pPr>
        <w:spacing w:before="0" w:after="0"/>
      </w:pPr>
      <w:r>
        <w:separator/>
      </w:r>
    </w:p>
  </w:endnote>
  <w:endnote w:type="continuationSeparator" w:id="0">
    <w:p w14:paraId="0BFFB1CF" w14:textId="77777777" w:rsidR="008E5CB7" w:rsidRDefault="008E5C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sto MT">
    <w:panose1 w:val="020406030505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Minion Pro">
    <w:altName w:val="Times New Roman"/>
    <w:charset w:val="00"/>
    <w:family w:val="roman"/>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Open Sans">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499B6" w14:textId="77777777" w:rsidR="000764B2" w:rsidRDefault="000764B2">
    <w:pPr>
      <w:pStyle w:val="Footer"/>
      <w:spacing w:before="100" w:after="100"/>
      <w:rPr>
        <w:sz w:val="20"/>
      </w:rPr>
    </w:pPr>
    <w:r>
      <w:rPr>
        <w:rFonts w:ascii="Calisto MT" w:hAnsi="Calisto MT"/>
        <w:sz w:val="20"/>
      </w:rPr>
      <w:fldChar w:fldCharType="begin"/>
    </w:r>
    <w:r>
      <w:rPr>
        <w:rFonts w:ascii="Calisto MT" w:hAnsi="Calisto MT"/>
        <w:sz w:val="20"/>
      </w:rPr>
      <w:instrText xml:space="preserve"> PAGE   \* MERGEFORMAT </w:instrText>
    </w:r>
    <w:r>
      <w:rPr>
        <w:rFonts w:ascii="Calisto MT" w:hAnsi="Calisto MT"/>
        <w:sz w:val="20"/>
      </w:rPr>
      <w:fldChar w:fldCharType="separate"/>
    </w:r>
    <w:r w:rsidR="00283BE9">
      <w:rPr>
        <w:rFonts w:ascii="Calisto MT" w:hAnsi="Calisto MT"/>
        <w:noProof/>
        <w:sz w:val="20"/>
      </w:rPr>
      <w:t>54</w:t>
    </w:r>
    <w:r>
      <w:rPr>
        <w:rFonts w:ascii="Calisto MT" w:hAnsi="Calisto MT"/>
        <w:noProof/>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337F4" w14:textId="77777777" w:rsidR="008E5CB7" w:rsidRDefault="008E5CB7">
      <w:pPr>
        <w:spacing w:before="0" w:after="0"/>
      </w:pPr>
      <w:r>
        <w:separator/>
      </w:r>
    </w:p>
  </w:footnote>
  <w:footnote w:type="continuationSeparator" w:id="0">
    <w:p w14:paraId="48248CD4" w14:textId="77777777" w:rsidR="008E5CB7" w:rsidRDefault="008E5CB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25CB6" w14:textId="77777777" w:rsidR="000764B2" w:rsidRDefault="000764B2">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48B4C" w14:textId="77777777" w:rsidR="000764B2" w:rsidRDefault="00F221E4" w:rsidP="00F221E4">
    <w:pPr>
      <w:tabs>
        <w:tab w:val="left" w:pos="7740"/>
      </w:tabs>
      <w:autoSpaceDE w:val="0"/>
      <w:autoSpaceDN w:val="0"/>
      <w:adjustRightInd w:val="0"/>
      <w:spacing w:before="0" w:beforeAutospacing="0" w:after="0" w:afterAutospacing="0" w:line="288" w:lineRule="auto"/>
      <w:ind w:left="0" w:right="0" w:firstLine="547"/>
      <w:jc w:val="both"/>
      <w:textAlignment w:val="center"/>
      <w:rPr>
        <w:rFonts w:ascii="Calisto MT" w:hAnsi="Calisto MT" w:cs="Calisto MT"/>
        <w:color w:val="000000"/>
        <w:sz w:val="18"/>
        <w:szCs w:val="18"/>
        <w:lang w:val="id-ID"/>
      </w:rPr>
    </w:pPr>
    <w:r>
      <w:rPr>
        <w:rFonts w:ascii="Calisto MT" w:hAnsi="Calisto MT" w:cs="Calisto MT"/>
        <w:bCs/>
        <w:sz w:val="18"/>
        <w:szCs w:val="18"/>
        <w:lang w:val="id-ID"/>
      </w:rPr>
      <w:t>Agus Mahendra</w:t>
    </w:r>
    <w:r w:rsidR="000764B2">
      <w:rPr>
        <w:rFonts w:ascii="Calisto MT" w:hAnsi="Calisto MT" w:cs="Calisto MT"/>
        <w:bCs/>
        <w:sz w:val="18"/>
        <w:szCs w:val="18"/>
        <w:lang w:val="sv-SE"/>
      </w:rPr>
      <w:t xml:space="preserve"> dkk. </w:t>
    </w:r>
    <w:r w:rsidR="000764B2">
      <w:rPr>
        <w:rFonts w:ascii="Calisto MT" w:hAnsi="Calisto MT" w:cs="Calisto MT"/>
        <w:color w:val="000000"/>
        <w:sz w:val="18"/>
        <w:szCs w:val="18"/>
      </w:rPr>
      <w:t xml:space="preserve">/ Journal of Teaching Physical </w:t>
    </w:r>
    <w:proofErr w:type="gramStart"/>
    <w:r w:rsidR="000764B2">
      <w:rPr>
        <w:rFonts w:ascii="Calisto MT" w:hAnsi="Calisto MT" w:cs="Calisto MT"/>
        <w:color w:val="000000"/>
        <w:sz w:val="18"/>
        <w:szCs w:val="18"/>
      </w:rPr>
      <w:t xml:space="preserve">Education </w:t>
    </w:r>
    <w:r>
      <w:rPr>
        <w:rFonts w:ascii="Calisto MT" w:hAnsi="Calisto MT" w:cs="Calisto MT"/>
        <w:color w:val="000000"/>
        <w:sz w:val="18"/>
        <w:szCs w:val="18"/>
      </w:rPr>
      <w:t xml:space="preserve"> in</w:t>
    </w:r>
    <w:proofErr w:type="gramEnd"/>
    <w:r>
      <w:rPr>
        <w:rFonts w:ascii="Calisto MT" w:hAnsi="Calisto MT" w:cs="Calisto MT"/>
        <w:color w:val="000000"/>
        <w:sz w:val="18"/>
        <w:szCs w:val="18"/>
      </w:rPr>
      <w:t xml:space="preserve"> Elementary School 2 (2) (2020</w:t>
    </w:r>
    <w:r w:rsidR="000764B2">
      <w:rPr>
        <w:rFonts w:ascii="Calisto MT" w:hAnsi="Calisto MT" w:cs="Calisto MT"/>
        <w:color w:val="000000"/>
        <w:sz w:val="18"/>
        <w:szCs w:val="18"/>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0000002"/>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0000003"/>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0000004"/>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4">
    <w:nsid w:val="0000000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6">
    <w:nsid w:val="00000007"/>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8"/>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09"/>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0000000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0000000B"/>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0000000C"/>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000000D"/>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3">
    <w:nsid w:val="0000000E"/>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5">
    <w:nsid w:val="068E1FF6"/>
    <w:multiLevelType w:val="hybridMultilevel"/>
    <w:tmpl w:val="75ACB6AA"/>
    <w:lvl w:ilvl="0" w:tplc="7B40E1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1B8D3380"/>
    <w:multiLevelType w:val="hybridMultilevel"/>
    <w:tmpl w:val="96FCC2C0"/>
    <w:lvl w:ilvl="0" w:tplc="39303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224183"/>
    <w:multiLevelType w:val="multilevel"/>
    <w:tmpl w:val="11EC02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FEC3E93"/>
    <w:multiLevelType w:val="multilevel"/>
    <w:tmpl w:val="8ED613D2"/>
    <w:lvl w:ilvl="0">
      <w:start w:val="3"/>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nsid w:val="3D093702"/>
    <w:multiLevelType w:val="hybridMultilevel"/>
    <w:tmpl w:val="9460B662"/>
    <w:lvl w:ilvl="0" w:tplc="428A10C8">
      <w:start w:val="1"/>
      <w:numFmt w:val="decimal"/>
      <w:lvlText w:val="%1."/>
      <w:lvlJc w:val="left"/>
      <w:pPr>
        <w:ind w:left="644" w:hanging="360"/>
      </w:pPr>
      <w:rPr>
        <w:rFonts w:ascii="Times New Roman" w:hAnsi="Times New Roman" w:cs="Times New Roman" w:hint="default"/>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46C41626"/>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5D0202D"/>
    <w:multiLevelType w:val="hybridMultilevel"/>
    <w:tmpl w:val="7696D47C"/>
    <w:lvl w:ilvl="0" w:tplc="A96296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2F43B29"/>
    <w:multiLevelType w:val="hybridMultilevel"/>
    <w:tmpl w:val="508C65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12"/>
  </w:num>
  <w:num w:numId="16">
    <w:abstractNumId w:val="14"/>
  </w:num>
  <w:num w:numId="17">
    <w:abstractNumId w:val="18"/>
  </w:num>
  <w:num w:numId="18">
    <w:abstractNumId w:val="21"/>
  </w:num>
  <w:num w:numId="19">
    <w:abstractNumId w:val="17"/>
  </w:num>
  <w:num w:numId="20">
    <w:abstractNumId w:val="15"/>
  </w:num>
  <w:num w:numId="21">
    <w:abstractNumId w:val="19"/>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8346BF"/>
    <w:rsid w:val="00007A8C"/>
    <w:rsid w:val="000764B2"/>
    <w:rsid w:val="000D7D79"/>
    <w:rsid w:val="0016560F"/>
    <w:rsid w:val="00175C08"/>
    <w:rsid w:val="00181599"/>
    <w:rsid w:val="00185D75"/>
    <w:rsid w:val="001B2485"/>
    <w:rsid w:val="00252F78"/>
    <w:rsid w:val="00283BE9"/>
    <w:rsid w:val="002A13BD"/>
    <w:rsid w:val="002D381D"/>
    <w:rsid w:val="00313893"/>
    <w:rsid w:val="003749D5"/>
    <w:rsid w:val="0038082D"/>
    <w:rsid w:val="003F0EFC"/>
    <w:rsid w:val="00401795"/>
    <w:rsid w:val="00413177"/>
    <w:rsid w:val="00422B98"/>
    <w:rsid w:val="004B44E4"/>
    <w:rsid w:val="004B4D38"/>
    <w:rsid w:val="004D2A73"/>
    <w:rsid w:val="004F0F79"/>
    <w:rsid w:val="00507B9F"/>
    <w:rsid w:val="00515A7D"/>
    <w:rsid w:val="005661FE"/>
    <w:rsid w:val="005C2E8C"/>
    <w:rsid w:val="005D55FF"/>
    <w:rsid w:val="00606A6A"/>
    <w:rsid w:val="006342B7"/>
    <w:rsid w:val="00644BAA"/>
    <w:rsid w:val="006A1661"/>
    <w:rsid w:val="006C07BA"/>
    <w:rsid w:val="006D673C"/>
    <w:rsid w:val="0075125E"/>
    <w:rsid w:val="00790659"/>
    <w:rsid w:val="007C09BE"/>
    <w:rsid w:val="007E1DF4"/>
    <w:rsid w:val="00803C43"/>
    <w:rsid w:val="008346BF"/>
    <w:rsid w:val="00872AFE"/>
    <w:rsid w:val="00884035"/>
    <w:rsid w:val="008E5CB7"/>
    <w:rsid w:val="00921F86"/>
    <w:rsid w:val="00963D03"/>
    <w:rsid w:val="009860A8"/>
    <w:rsid w:val="00994B98"/>
    <w:rsid w:val="009C477C"/>
    <w:rsid w:val="00A67AA8"/>
    <w:rsid w:val="00AE61BB"/>
    <w:rsid w:val="00AF4EAF"/>
    <w:rsid w:val="00B25A08"/>
    <w:rsid w:val="00B25BA2"/>
    <w:rsid w:val="00B331DF"/>
    <w:rsid w:val="00B85F7D"/>
    <w:rsid w:val="00BB0A88"/>
    <w:rsid w:val="00BC15E6"/>
    <w:rsid w:val="00BC22EE"/>
    <w:rsid w:val="00BF02C8"/>
    <w:rsid w:val="00BF2F08"/>
    <w:rsid w:val="00C02FF3"/>
    <w:rsid w:val="00CC7E22"/>
    <w:rsid w:val="00CE43E7"/>
    <w:rsid w:val="00D03520"/>
    <w:rsid w:val="00D05DB3"/>
    <w:rsid w:val="00D126C1"/>
    <w:rsid w:val="00DC51DC"/>
    <w:rsid w:val="00DD09D8"/>
    <w:rsid w:val="00DF27D8"/>
    <w:rsid w:val="00E16C7E"/>
    <w:rsid w:val="00E31B92"/>
    <w:rsid w:val="00E346B4"/>
    <w:rsid w:val="00E50CA1"/>
    <w:rsid w:val="00EB2929"/>
    <w:rsid w:val="00EF66DF"/>
    <w:rsid w:val="00F221E4"/>
    <w:rsid w:val="00F47A9D"/>
    <w:rsid w:val="00F74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9C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AbstrakEnglish"/>
    <w:next w:val="Normal"/>
    <w:link w:val="Heading1Char"/>
    <w:uiPriority w:val="9"/>
    <w:qFormat/>
    <w:pPr>
      <w:outlineLvl w:val="0"/>
    </w:pPr>
    <w:rPr>
      <w:sz w:val="16"/>
      <w:szCs w:val="18"/>
    </w:rPr>
  </w:style>
  <w:style w:type="paragraph" w:styleId="Heading2">
    <w:name w:val="heading 2"/>
    <w:basedOn w:val="ISI"/>
    <w:next w:val="Normal"/>
    <w:link w:val="Heading2Char"/>
    <w:uiPriority w:val="9"/>
    <w:qFormat/>
    <w:pPr>
      <w:suppressAutoHyphens/>
      <w:ind w:firstLine="0"/>
      <w:outlineLvl w:val="1"/>
    </w:pPr>
    <w:rPr>
      <w:b/>
      <w:bCs/>
      <w:caps/>
      <w:sz w:val="20"/>
      <w:szCs w:val="20"/>
    </w:rPr>
  </w:style>
  <w:style w:type="paragraph" w:styleId="Heading3">
    <w:name w:val="heading 3"/>
    <w:basedOn w:val="Heading2"/>
    <w:next w:val="Normal"/>
    <w:link w:val="Heading3Char"/>
    <w:uiPriority w:val="9"/>
    <w:qFormat/>
    <w:pPr>
      <w:outlineLvl w:val="2"/>
    </w:pPr>
    <w:rPr>
      <w:caps w:val="0"/>
    </w:rPr>
  </w:style>
  <w:style w:type="paragraph" w:styleId="Heading4">
    <w:name w:val="heading 4"/>
    <w:basedOn w:val="ISI"/>
    <w:next w:val="Normal"/>
    <w:link w:val="Heading4Char"/>
    <w:uiPriority w:val="9"/>
    <w:qFormat/>
    <w:pPr>
      <w:suppressAutoHyphens/>
      <w:outlineLvl w:val="3"/>
    </w:pPr>
    <w:rPr>
      <w:sz w:val="20"/>
      <w:szCs w:val="20"/>
      <w:lang w:val="id-ID"/>
    </w:rPr>
  </w:style>
  <w:style w:type="paragraph" w:styleId="Heading5">
    <w:name w:val="heading 5"/>
    <w:basedOn w:val="ISI"/>
    <w:next w:val="Normal"/>
    <w:link w:val="Heading5Char"/>
    <w:uiPriority w:val="9"/>
    <w:qFormat/>
    <w:pPr>
      <w:suppressAutoHyphens/>
      <w:spacing w:line="240" w:lineRule="auto"/>
      <w:ind w:firstLine="0"/>
      <w:outlineLvl w:val="4"/>
    </w:pPr>
    <w:rPr>
      <w:bCs/>
      <w:sz w:val="20"/>
      <w:szCs w:val="20"/>
      <w:lang w:val="id-ID"/>
    </w:rPr>
  </w:style>
  <w:style w:type="paragraph" w:styleId="Heading6">
    <w:name w:val="heading 6"/>
    <w:basedOn w:val="ISI"/>
    <w:next w:val="Normal"/>
    <w:link w:val="Heading6Char"/>
    <w:uiPriority w:val="9"/>
    <w:qFormat/>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Judul">
    <w:name w:val="Judul"/>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before="0" w:after="0"/>
    </w:pPr>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pPr>
      <w:ind w:firstLine="547"/>
      <w:jc w:val="both"/>
    </w:pPr>
    <w:rPr>
      <w:rFonts w:ascii="Calisto MT" w:hAnsi="Calisto MT" w:cs="Calisto MT"/>
      <w:sz w:val="22"/>
      <w:szCs w:val="22"/>
      <w:lang w:val="fi-FI"/>
    </w:rPr>
  </w:style>
  <w:style w:type="paragraph" w:customStyle="1" w:styleId="BAB">
    <w:name w:val="BAB"/>
    <w:basedOn w:val="ISI"/>
    <w:uiPriority w:val="99"/>
    <w:pPr>
      <w:ind w:firstLine="0"/>
      <w:jc w:val="left"/>
    </w:pPr>
    <w:rPr>
      <w:b/>
      <w:bCs/>
      <w:caps/>
      <w:lang w:val="en-US"/>
    </w:rPr>
  </w:style>
  <w:style w:type="paragraph" w:customStyle="1" w:styleId="Kutipan">
    <w:name w:val="Kutipan"/>
    <w:basedOn w:val="ISI"/>
    <w:uiPriority w:val="99"/>
    <w:pPr>
      <w:ind w:left="567" w:firstLine="0"/>
    </w:pPr>
    <w:rPr>
      <w:lang w:val="en-US"/>
    </w:rPr>
  </w:style>
  <w:style w:type="paragraph" w:customStyle="1" w:styleId="DAFTARPUSTAKA">
    <w:name w:val="DAFTAR PUSTAKA"/>
    <w:basedOn w:val="ISI"/>
    <w:uiPriority w:val="99"/>
    <w:pPr>
      <w:ind w:left="567" w:hanging="567"/>
    </w:pPr>
    <w:rPr>
      <w:sz w:val="18"/>
      <w:szCs w:val="18"/>
      <w:lang w:val="en-US"/>
    </w:rPr>
  </w:style>
  <w:style w:type="character" w:styleId="Hyperlink">
    <w:name w:val="Hyperlink"/>
    <w:basedOn w:val="DefaultParagraphFont"/>
    <w:uiPriority w:val="99"/>
    <w:rPr>
      <w:color w:val="0000FF"/>
      <w:w w:val="100"/>
      <w:u w:val="thick" w:color="0000FF"/>
    </w:rPr>
  </w:style>
  <w:style w:type="character" w:styleId="Emphasis">
    <w:name w:val="Emphasis"/>
    <w:basedOn w:val="DefaultParagraphFont"/>
    <w:uiPriority w:val="99"/>
    <w:qFormat/>
    <w:rPr>
      <w:i/>
      <w:iCs/>
      <w:w w:val="100"/>
    </w:rPr>
  </w:style>
  <w:style w:type="table" w:styleId="LightGrid-Accent2">
    <w:name w:val="Light Grid Accent 2"/>
    <w:basedOn w:val="TableNormal"/>
    <w:uiPriority w:val="62"/>
    <w:pPr>
      <w:spacing w:before="0" w:beforeAutospacing="0" w:after="0" w:afterAutospacing="0"/>
      <w:ind w:left="0" w:right="0"/>
      <w:jc w:val="left"/>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pPr>
      <w:ind w:firstLine="0"/>
    </w:pPr>
    <w:rPr>
      <w:sz w:val="20"/>
      <w:szCs w:val="20"/>
      <w:lang w:val="en-US"/>
    </w:rPr>
  </w:style>
  <w:style w:type="paragraph" w:customStyle="1" w:styleId="JudulDaftarPustaka">
    <w:name w:val="Judul Daftar Pustaka"/>
    <w:basedOn w:val="NoParagraphStyle"/>
    <w:uiPriority w:val="99"/>
    <w:pPr>
      <w:suppressAutoHyphens/>
    </w:pPr>
    <w:rPr>
      <w:rFonts w:ascii="Calisto MT" w:hAnsi="Calisto MT" w:cs="Calisto MT"/>
      <w:b/>
      <w:bCs/>
      <w:sz w:val="18"/>
      <w:szCs w:val="18"/>
      <w:lang w:val="sv-SE"/>
    </w:rPr>
  </w:style>
  <w:style w:type="paragraph" w:customStyle="1" w:styleId="JUDUL0">
    <w:name w:val="JUDUL"/>
    <w:basedOn w:val="NoParagraphStyle"/>
    <w:uiPriority w:val="99"/>
    <w:pPr>
      <w:suppressAutoHyphens/>
      <w:jc w:val="center"/>
    </w:pPr>
    <w:rPr>
      <w:rFonts w:ascii="Calisto MT" w:hAnsi="Calisto MT" w:cs="Calisto MT"/>
      <w:b/>
      <w:bCs/>
      <w:caps/>
    </w:rPr>
  </w:style>
  <w:style w:type="paragraph" w:styleId="NoSpacing">
    <w:name w:val="No Spacing"/>
    <w:basedOn w:val="IsiAbstrakIndo"/>
    <w:uiPriority w:val="1"/>
    <w:qFormat/>
    <w:rPr>
      <w:b w:val="0"/>
      <w:iCs/>
      <w:sz w:val="16"/>
      <w:szCs w:val="16"/>
      <w:lang w:val="id-ID"/>
    </w:rPr>
  </w:style>
  <w:style w:type="character" w:customStyle="1" w:styleId="Heading1Char">
    <w:name w:val="Heading 1 Char"/>
    <w:basedOn w:val="DefaultParagraphFont"/>
    <w:link w:val="Heading1"/>
    <w:uiPriority w:val="9"/>
    <w:rPr>
      <w:rFonts w:ascii="Calisto MT" w:hAnsi="Calisto MT" w:cs="Calisto MT"/>
      <w:i/>
      <w:iCs/>
      <w:color w:val="000000"/>
      <w:sz w:val="16"/>
      <w:szCs w:val="18"/>
    </w:rPr>
  </w:style>
  <w:style w:type="character" w:customStyle="1" w:styleId="Heading3Char">
    <w:name w:val="Heading 3 Char"/>
    <w:basedOn w:val="DefaultParagraphFont"/>
    <w:link w:val="Heading3"/>
    <w:uiPriority w:val="9"/>
    <w:rPr>
      <w:rFonts w:ascii="Calisto MT" w:hAnsi="Calisto MT" w:cs="Calisto MT"/>
      <w:b/>
      <w:bCs/>
      <w:color w:val="000000"/>
      <w:sz w:val="20"/>
      <w:szCs w:val="20"/>
      <w:lang w:val="fi-FI"/>
    </w:rPr>
  </w:style>
  <w:style w:type="character" w:customStyle="1" w:styleId="Heading4Char">
    <w:name w:val="Heading 4 Char"/>
    <w:basedOn w:val="DefaultParagraphFont"/>
    <w:link w:val="Heading4"/>
    <w:uiPriority w:val="9"/>
    <w:rPr>
      <w:rFonts w:ascii="Calisto MT"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hAnsi="Calisto MT" w:cs="Calisto MT"/>
      <w:bCs/>
      <w:color w:val="000000"/>
      <w:sz w:val="20"/>
      <w:szCs w:val="20"/>
      <w:lang w:val="id-ID"/>
    </w:rPr>
  </w:style>
  <w:style w:type="character" w:customStyle="1" w:styleId="Heading6Char">
    <w:name w:val="Heading 6 Char"/>
    <w:basedOn w:val="DefaultParagraphFont"/>
    <w:link w:val="Heading6"/>
    <w:uiPriority w:val="9"/>
    <w:rPr>
      <w:rFonts w:ascii="Calisto MT" w:hAnsi="Calisto MT" w:cs="Calisto MT"/>
      <w:color w:val="000000"/>
      <w:sz w:val="18"/>
      <w:szCs w:val="20"/>
      <w:lang w:val="id-ID"/>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tyle>
  <w:style w:type="paragraph" w:styleId="FootnoteText">
    <w:name w:val="footnote text"/>
    <w:basedOn w:val="Normal"/>
    <w:link w:val="FootnoteTextChar"/>
    <w:pPr>
      <w:spacing w:before="0" w:after="0"/>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rPr>
      <w:vertAlign w:val="superscript"/>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pPr>
      <w:spacing w:before="0" w:beforeAutospacing="0" w:after="0" w:afterAutospacing="0"/>
      <w:ind w:left="0" w:right="0"/>
      <w:jc w:val="left"/>
    </w:pPr>
  </w:style>
  <w:style w:type="table" w:customStyle="1" w:styleId="TableGrid12">
    <w:name w:val="Table Grid12"/>
    <w:basedOn w:val="TableNormal"/>
    <w:next w:val="TableGrid"/>
    <w:uiPriority w:val="59"/>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3D03"/>
    <w:pPr>
      <w:spacing w:before="0" w:beforeAutospacing="0" w:after="0" w:afterAutospacing="0"/>
      <w:ind w:left="0" w:right="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AbstrakEnglish"/>
    <w:next w:val="Normal"/>
    <w:link w:val="Heading1Char"/>
    <w:uiPriority w:val="9"/>
    <w:qFormat/>
    <w:pPr>
      <w:outlineLvl w:val="0"/>
    </w:pPr>
    <w:rPr>
      <w:sz w:val="16"/>
      <w:szCs w:val="18"/>
    </w:rPr>
  </w:style>
  <w:style w:type="paragraph" w:styleId="Heading2">
    <w:name w:val="heading 2"/>
    <w:basedOn w:val="ISI"/>
    <w:next w:val="Normal"/>
    <w:link w:val="Heading2Char"/>
    <w:uiPriority w:val="9"/>
    <w:qFormat/>
    <w:pPr>
      <w:suppressAutoHyphens/>
      <w:ind w:firstLine="0"/>
      <w:outlineLvl w:val="1"/>
    </w:pPr>
    <w:rPr>
      <w:b/>
      <w:bCs/>
      <w:caps/>
      <w:sz w:val="20"/>
      <w:szCs w:val="20"/>
    </w:rPr>
  </w:style>
  <w:style w:type="paragraph" w:styleId="Heading3">
    <w:name w:val="heading 3"/>
    <w:basedOn w:val="Heading2"/>
    <w:next w:val="Normal"/>
    <w:link w:val="Heading3Char"/>
    <w:uiPriority w:val="9"/>
    <w:qFormat/>
    <w:pPr>
      <w:outlineLvl w:val="2"/>
    </w:pPr>
    <w:rPr>
      <w:caps w:val="0"/>
    </w:rPr>
  </w:style>
  <w:style w:type="paragraph" w:styleId="Heading4">
    <w:name w:val="heading 4"/>
    <w:basedOn w:val="ISI"/>
    <w:next w:val="Normal"/>
    <w:link w:val="Heading4Char"/>
    <w:uiPriority w:val="9"/>
    <w:qFormat/>
    <w:pPr>
      <w:suppressAutoHyphens/>
      <w:outlineLvl w:val="3"/>
    </w:pPr>
    <w:rPr>
      <w:sz w:val="20"/>
      <w:szCs w:val="20"/>
      <w:lang w:val="id-ID"/>
    </w:rPr>
  </w:style>
  <w:style w:type="paragraph" w:styleId="Heading5">
    <w:name w:val="heading 5"/>
    <w:basedOn w:val="ISI"/>
    <w:next w:val="Normal"/>
    <w:link w:val="Heading5Char"/>
    <w:uiPriority w:val="9"/>
    <w:qFormat/>
    <w:pPr>
      <w:suppressAutoHyphens/>
      <w:spacing w:line="240" w:lineRule="auto"/>
      <w:ind w:firstLine="0"/>
      <w:outlineLvl w:val="4"/>
    </w:pPr>
    <w:rPr>
      <w:bCs/>
      <w:sz w:val="20"/>
      <w:szCs w:val="20"/>
      <w:lang w:val="id-ID"/>
    </w:rPr>
  </w:style>
  <w:style w:type="paragraph" w:styleId="Heading6">
    <w:name w:val="heading 6"/>
    <w:basedOn w:val="ISI"/>
    <w:next w:val="Normal"/>
    <w:link w:val="Heading6Char"/>
    <w:uiPriority w:val="9"/>
    <w:qFormat/>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Judul">
    <w:name w:val="Judul"/>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basedOn w:val="Normal"/>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before="0" w:after="0"/>
    </w:pPr>
  </w:style>
  <w:style w:type="character" w:customStyle="1" w:styleId="FooterChar">
    <w:name w:val="Footer Char"/>
    <w:basedOn w:val="DefaultParagraphFont"/>
    <w:link w:val="Footer"/>
    <w:uiPriority w:val="99"/>
  </w:style>
  <w:style w:type="paragraph" w:customStyle="1" w:styleId="NoParagraphStyle">
    <w:name w:val="[No Paragraph Style]"/>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pPr>
      <w:ind w:firstLine="547"/>
      <w:jc w:val="both"/>
    </w:pPr>
    <w:rPr>
      <w:rFonts w:ascii="Calisto MT" w:hAnsi="Calisto MT" w:cs="Calisto MT"/>
      <w:sz w:val="22"/>
      <w:szCs w:val="22"/>
      <w:lang w:val="fi-FI"/>
    </w:rPr>
  </w:style>
  <w:style w:type="paragraph" w:customStyle="1" w:styleId="BAB">
    <w:name w:val="BAB"/>
    <w:basedOn w:val="ISI"/>
    <w:uiPriority w:val="99"/>
    <w:pPr>
      <w:ind w:firstLine="0"/>
      <w:jc w:val="left"/>
    </w:pPr>
    <w:rPr>
      <w:b/>
      <w:bCs/>
      <w:caps/>
      <w:lang w:val="en-US"/>
    </w:rPr>
  </w:style>
  <w:style w:type="paragraph" w:customStyle="1" w:styleId="Kutipan">
    <w:name w:val="Kutipan"/>
    <w:basedOn w:val="ISI"/>
    <w:uiPriority w:val="99"/>
    <w:pPr>
      <w:ind w:left="567" w:firstLine="0"/>
    </w:pPr>
    <w:rPr>
      <w:lang w:val="en-US"/>
    </w:rPr>
  </w:style>
  <w:style w:type="paragraph" w:customStyle="1" w:styleId="DAFTARPUSTAKA">
    <w:name w:val="DAFTAR PUSTAKA"/>
    <w:basedOn w:val="ISI"/>
    <w:uiPriority w:val="99"/>
    <w:pPr>
      <w:ind w:left="567" w:hanging="567"/>
    </w:pPr>
    <w:rPr>
      <w:sz w:val="18"/>
      <w:szCs w:val="18"/>
      <w:lang w:val="en-US"/>
    </w:rPr>
  </w:style>
  <w:style w:type="character" w:styleId="Hyperlink">
    <w:name w:val="Hyperlink"/>
    <w:basedOn w:val="DefaultParagraphFont"/>
    <w:uiPriority w:val="99"/>
    <w:rPr>
      <w:color w:val="0000FF"/>
      <w:w w:val="100"/>
      <w:u w:val="thick" w:color="0000FF"/>
    </w:rPr>
  </w:style>
  <w:style w:type="character" w:styleId="Emphasis">
    <w:name w:val="Emphasis"/>
    <w:basedOn w:val="DefaultParagraphFont"/>
    <w:uiPriority w:val="99"/>
    <w:qFormat/>
    <w:rPr>
      <w:i/>
      <w:iCs/>
      <w:w w:val="100"/>
    </w:rPr>
  </w:style>
  <w:style w:type="table" w:styleId="LightGrid-Accent2">
    <w:name w:val="Light Grid Accent 2"/>
    <w:basedOn w:val="TableNormal"/>
    <w:uiPriority w:val="62"/>
    <w:pPr>
      <w:spacing w:before="0" w:beforeAutospacing="0" w:after="0" w:afterAutospacing="0"/>
      <w:ind w:left="0" w:right="0"/>
      <w:jc w:val="left"/>
    </w:p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basedOn w:val="DefaultParagraphFont"/>
    <w:link w:val="Heading2"/>
    <w:uiPriority w:val="9"/>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pPr>
      <w:ind w:firstLine="0"/>
    </w:pPr>
    <w:rPr>
      <w:sz w:val="20"/>
      <w:szCs w:val="20"/>
      <w:lang w:val="en-US"/>
    </w:rPr>
  </w:style>
  <w:style w:type="paragraph" w:customStyle="1" w:styleId="JudulDaftarPustaka">
    <w:name w:val="Judul Daftar Pustaka"/>
    <w:basedOn w:val="NoParagraphStyle"/>
    <w:uiPriority w:val="99"/>
    <w:pPr>
      <w:suppressAutoHyphens/>
    </w:pPr>
    <w:rPr>
      <w:rFonts w:ascii="Calisto MT" w:hAnsi="Calisto MT" w:cs="Calisto MT"/>
      <w:b/>
      <w:bCs/>
      <w:sz w:val="18"/>
      <w:szCs w:val="18"/>
      <w:lang w:val="sv-SE"/>
    </w:rPr>
  </w:style>
  <w:style w:type="paragraph" w:customStyle="1" w:styleId="JUDUL0">
    <w:name w:val="JUDUL"/>
    <w:basedOn w:val="NoParagraphStyle"/>
    <w:uiPriority w:val="99"/>
    <w:pPr>
      <w:suppressAutoHyphens/>
      <w:jc w:val="center"/>
    </w:pPr>
    <w:rPr>
      <w:rFonts w:ascii="Calisto MT" w:hAnsi="Calisto MT" w:cs="Calisto MT"/>
      <w:b/>
      <w:bCs/>
      <w:caps/>
    </w:rPr>
  </w:style>
  <w:style w:type="paragraph" w:styleId="NoSpacing">
    <w:name w:val="No Spacing"/>
    <w:basedOn w:val="IsiAbstrakIndo"/>
    <w:uiPriority w:val="1"/>
    <w:qFormat/>
    <w:rPr>
      <w:b w:val="0"/>
      <w:iCs/>
      <w:sz w:val="16"/>
      <w:szCs w:val="16"/>
      <w:lang w:val="id-ID"/>
    </w:rPr>
  </w:style>
  <w:style w:type="character" w:customStyle="1" w:styleId="Heading1Char">
    <w:name w:val="Heading 1 Char"/>
    <w:basedOn w:val="DefaultParagraphFont"/>
    <w:link w:val="Heading1"/>
    <w:uiPriority w:val="9"/>
    <w:rPr>
      <w:rFonts w:ascii="Calisto MT" w:hAnsi="Calisto MT" w:cs="Calisto MT"/>
      <w:i/>
      <w:iCs/>
      <w:color w:val="000000"/>
      <w:sz w:val="16"/>
      <w:szCs w:val="18"/>
    </w:rPr>
  </w:style>
  <w:style w:type="character" w:customStyle="1" w:styleId="Heading3Char">
    <w:name w:val="Heading 3 Char"/>
    <w:basedOn w:val="DefaultParagraphFont"/>
    <w:link w:val="Heading3"/>
    <w:uiPriority w:val="9"/>
    <w:rPr>
      <w:rFonts w:ascii="Calisto MT" w:hAnsi="Calisto MT" w:cs="Calisto MT"/>
      <w:b/>
      <w:bCs/>
      <w:color w:val="000000"/>
      <w:sz w:val="20"/>
      <w:szCs w:val="20"/>
      <w:lang w:val="fi-FI"/>
    </w:rPr>
  </w:style>
  <w:style w:type="character" w:customStyle="1" w:styleId="Heading4Char">
    <w:name w:val="Heading 4 Char"/>
    <w:basedOn w:val="DefaultParagraphFont"/>
    <w:link w:val="Heading4"/>
    <w:uiPriority w:val="9"/>
    <w:rPr>
      <w:rFonts w:ascii="Calisto MT" w:hAnsi="Calisto MT" w:cs="Calisto MT"/>
      <w:color w:val="000000"/>
      <w:sz w:val="20"/>
      <w:szCs w:val="20"/>
      <w:lang w:val="id-ID"/>
    </w:rPr>
  </w:style>
  <w:style w:type="character" w:customStyle="1" w:styleId="Heading5Char">
    <w:name w:val="Heading 5 Char"/>
    <w:basedOn w:val="DefaultParagraphFont"/>
    <w:link w:val="Heading5"/>
    <w:uiPriority w:val="9"/>
    <w:rPr>
      <w:rFonts w:ascii="Calisto MT" w:hAnsi="Calisto MT" w:cs="Calisto MT"/>
      <w:bCs/>
      <w:color w:val="000000"/>
      <w:sz w:val="20"/>
      <w:szCs w:val="20"/>
      <w:lang w:val="id-ID"/>
    </w:rPr>
  </w:style>
  <w:style w:type="character" w:customStyle="1" w:styleId="Heading6Char">
    <w:name w:val="Heading 6 Char"/>
    <w:basedOn w:val="DefaultParagraphFont"/>
    <w:link w:val="Heading6"/>
    <w:uiPriority w:val="9"/>
    <w:rPr>
      <w:rFonts w:ascii="Calisto MT" w:hAnsi="Calisto MT" w:cs="Calisto MT"/>
      <w:color w:val="000000"/>
      <w:sz w:val="18"/>
      <w:szCs w:val="20"/>
      <w:lang w:val="id-ID"/>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pPr>
      <w:spacing w:after="120"/>
      <w:ind w:left="360"/>
    </w:pPr>
  </w:style>
  <w:style w:type="character" w:customStyle="1" w:styleId="BodyTextIndentChar">
    <w:name w:val="Body Text Indent Char"/>
    <w:basedOn w:val="DefaultParagraphFont"/>
    <w:link w:val="BodyTextIndent"/>
    <w:uiPriority w:val="99"/>
  </w:style>
  <w:style w:type="paragraph" w:styleId="FootnoteText">
    <w:name w:val="footnote text"/>
    <w:basedOn w:val="Normal"/>
    <w:link w:val="FootnoteTextChar"/>
    <w:pPr>
      <w:spacing w:before="0" w:after="0"/>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rPr>
      <w:vertAlign w:val="superscript"/>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Revision">
    <w:name w:val="Revision"/>
    <w:uiPriority w:val="99"/>
    <w:pPr>
      <w:spacing w:before="0" w:beforeAutospacing="0" w:after="0" w:afterAutospacing="0"/>
      <w:ind w:left="0" w:right="0"/>
      <w:jc w:val="left"/>
    </w:pPr>
  </w:style>
  <w:style w:type="table" w:customStyle="1" w:styleId="TableGrid12">
    <w:name w:val="Table Grid12"/>
    <w:basedOn w:val="TableNormal"/>
    <w:next w:val="TableGrid"/>
    <w:uiPriority w:val="59"/>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963D03"/>
    <w:pPr>
      <w:spacing w:before="0" w:beforeAutospacing="0" w:after="0" w:afterAutospacing="0"/>
      <w:ind w:left="0" w:right="0"/>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ejournal.upi.edu/index.php/tega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FEDA5-8F6F-9E44-A6C6-D2C3F61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14107</Words>
  <Characters>80415</Characters>
  <Application>Microsoft Macintosh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Agus Mahendra</cp:lastModifiedBy>
  <cp:revision>8</cp:revision>
  <cp:lastPrinted>2019-01-24T02:38:00Z</cp:lastPrinted>
  <dcterms:created xsi:type="dcterms:W3CDTF">2020-10-17T02:29:00Z</dcterms:created>
  <dcterms:modified xsi:type="dcterms:W3CDTF">2020-10-17T10:15:00Z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072de8de-6bde-355c-84f3-c808fb6b56ae</vt:lpwstr>
  </property>
  <property fmtid="{D5CDD505-2E9C-101B-9397-08002B2CF9AE}" pid="24" name="Mendeley Citation Style_1">
    <vt:lpwstr>http://www.zotero.org/styles/apa</vt:lpwstr>
  </property>
</Properties>
</file>